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4"/>
          <w:szCs w:val="24"/>
          <w:color w:val="auto"/>
        </w:rPr>
      </w:pPr>
    </w:p>
    <w:p>
      <w:pPr>
        <w:ind w:right="380"/>
        <w:spacing w:after="0" w:line="258" w:lineRule="auto"/>
        <w:rPr>
          <w:sz w:val="20"/>
          <w:szCs w:val="20"/>
          <w:color w:val="auto"/>
        </w:rPr>
      </w:pPr>
      <w:r>
        <w:rPr>
          <w:rFonts w:ascii="Arial" w:cs="Arial" w:eastAsia="Arial" w:hAnsi="Arial"/>
          <w:sz w:val="18"/>
          <w:szCs w:val="18"/>
          <w:b w:val="1"/>
          <w:bCs w:val="1"/>
          <w:color w:val="DE1A1E"/>
        </w:rPr>
        <w:t>The information in this preliminary prospectus supplement and the accompanying prospectus is not complete and may be changed. This preliminary prospectus supplement and the accompanying prospectus are not an offer to sell these securities and we are not soliciting offers to buy these securities in any jurisdiction where the offer or sale is not permitted.</w:t>
      </w:r>
    </w:p>
    <w:p>
      <w:pPr>
        <w:spacing w:after="0" w:line="9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333-135159</w:t>
      </w:r>
    </w:p>
    <w:p>
      <w:pPr>
        <w:spacing w:after="0" w:line="9" w:lineRule="exact"/>
        <w:rPr>
          <w:sz w:val="24"/>
          <w:szCs w:val="24"/>
          <w:color w:val="auto"/>
        </w:rPr>
      </w:pPr>
    </w:p>
    <w:p>
      <w:pPr>
        <w:ind w:left="7240"/>
        <w:spacing w:after="0"/>
        <w:rPr>
          <w:sz w:val="20"/>
          <w:szCs w:val="20"/>
          <w:color w:val="auto"/>
        </w:rPr>
      </w:pPr>
      <w:r>
        <w:rPr>
          <w:rFonts w:ascii="Times New Roman" w:cs="Times New Roman" w:eastAsia="Times New Roman" w:hAnsi="Times New Roman"/>
          <w:sz w:val="16"/>
          <w:szCs w:val="16"/>
          <w:b w:val="1"/>
          <w:bCs w:val="1"/>
          <w:color w:val="DE1A1E"/>
        </w:rPr>
        <w:t>SUBJECT TO COMPLETION, DATED JULY 12, 2006</w:t>
      </w:r>
    </w:p>
    <w:p>
      <w:pPr>
        <w:spacing w:after="0" w:line="85"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FFFFFF"/>
        </w:rPr>
        <w:t>P R O S P E C T U S  S U P P L E M E N 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2178050" cy="94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78050" cy="946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32406B"/>
        </w:rPr>
        <w:t>(To Prospectus Dated June 20, 2006)</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32406B"/>
        </w:rPr>
        <w:t>$250,000,000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2560955</wp:posOffset>
            </wp:positionH>
            <wp:positionV relativeFrom="paragraph">
              <wp:posOffset>121920</wp:posOffset>
            </wp:positionV>
            <wp:extent cx="2143760" cy="814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4376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tbl>
      <w:tblPr>
        <w:tblLayout w:type="fixed"/>
        <w:tblInd w:w="0" w:type="dxa"/>
        <w:tblCellMar>
          <w:top w:w="0" w:type="dxa"/>
          <w:left w:w="0" w:type="dxa"/>
          <w:bottom w:w="0" w:type="dxa"/>
          <w:right w:w="0" w:type="dxa"/>
        </w:tblCellMar>
      </w:tblPr>
      <w:tr>
        <w:trPr>
          <w:trHeight w:val="429"/>
        </w:trPr>
        <w:tc>
          <w:tcPr>
            <w:tcW w:w="1080" w:type="dxa"/>
            <w:vAlign w:val="bottom"/>
          </w:tcPr>
          <w:p>
            <w:pPr>
              <w:spacing w:after="0"/>
              <w:rPr>
                <w:sz w:val="24"/>
                <w:szCs w:val="24"/>
                <w:color w:val="auto"/>
              </w:rPr>
            </w:pPr>
          </w:p>
        </w:tc>
        <w:tc>
          <w:tcPr>
            <w:tcW w:w="4280" w:type="dxa"/>
            <w:vAlign w:val="bottom"/>
          </w:tcPr>
          <w:p>
            <w:pPr>
              <w:jc w:val="right"/>
              <w:ind w:right="1695"/>
              <w:spacing w:after="0"/>
              <w:rPr>
                <w:sz w:val="20"/>
                <w:szCs w:val="20"/>
                <w:color w:val="auto"/>
              </w:rPr>
            </w:pPr>
            <w:r>
              <w:rPr>
                <w:rFonts w:ascii="Times New Roman" w:cs="Times New Roman" w:eastAsia="Times New Roman" w:hAnsi="Times New Roman"/>
                <w:sz w:val="32"/>
                <w:szCs w:val="32"/>
                <w:b w:val="1"/>
                <w:bCs w:val="1"/>
                <w:color w:val="32406B"/>
              </w:rPr>
              <w:t>$</w:t>
            </w:r>
          </w:p>
        </w:tc>
        <w:tc>
          <w:tcPr>
            <w:tcW w:w="2760" w:type="dxa"/>
            <w:vAlign w:val="bottom"/>
            <w:gridSpan w:val="2"/>
          </w:tcPr>
          <w:p>
            <w:pPr>
              <w:ind w:left="200"/>
              <w:spacing w:after="0"/>
              <w:rPr>
                <w:sz w:val="20"/>
                <w:szCs w:val="20"/>
                <w:color w:val="auto"/>
              </w:rPr>
            </w:pPr>
            <w:r>
              <w:rPr>
                <w:rFonts w:ascii="Times New Roman" w:cs="Times New Roman" w:eastAsia="Times New Roman" w:hAnsi="Times New Roman"/>
                <w:sz w:val="32"/>
                <w:szCs w:val="32"/>
                <w:b w:val="1"/>
                <w:bCs w:val="1"/>
                <w:color w:val="32406B"/>
              </w:rPr>
              <w:t>% Notes due 2012</w:t>
            </w: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513"/>
        </w:trPr>
        <w:tc>
          <w:tcPr>
            <w:tcW w:w="1080" w:type="dxa"/>
            <w:vAlign w:val="bottom"/>
          </w:tcPr>
          <w:p>
            <w:pPr>
              <w:spacing w:after="0"/>
              <w:rPr>
                <w:sz w:val="24"/>
                <w:szCs w:val="24"/>
                <w:color w:val="auto"/>
              </w:rPr>
            </w:pPr>
          </w:p>
        </w:tc>
        <w:tc>
          <w:tcPr>
            <w:tcW w:w="4280" w:type="dxa"/>
            <w:vAlign w:val="bottom"/>
          </w:tcPr>
          <w:p>
            <w:pPr>
              <w:jc w:val="right"/>
              <w:ind w:right="1695"/>
              <w:spacing w:after="0"/>
              <w:rPr>
                <w:sz w:val="20"/>
                <w:szCs w:val="20"/>
                <w:color w:val="auto"/>
              </w:rPr>
            </w:pPr>
            <w:r>
              <w:rPr>
                <w:rFonts w:ascii="Times New Roman" w:cs="Times New Roman" w:eastAsia="Times New Roman" w:hAnsi="Times New Roman"/>
                <w:sz w:val="32"/>
                <w:szCs w:val="32"/>
                <w:b w:val="1"/>
                <w:bCs w:val="1"/>
                <w:color w:val="32406B"/>
              </w:rPr>
              <w:t>$</w:t>
            </w:r>
          </w:p>
        </w:tc>
        <w:tc>
          <w:tcPr>
            <w:tcW w:w="2760" w:type="dxa"/>
            <w:vAlign w:val="bottom"/>
            <w:gridSpan w:val="2"/>
          </w:tcPr>
          <w:p>
            <w:pPr>
              <w:ind w:left="200"/>
              <w:spacing w:after="0"/>
              <w:rPr>
                <w:sz w:val="20"/>
                <w:szCs w:val="20"/>
                <w:color w:val="auto"/>
              </w:rPr>
            </w:pPr>
            <w:r>
              <w:rPr>
                <w:rFonts w:ascii="Times New Roman" w:cs="Times New Roman" w:eastAsia="Times New Roman" w:hAnsi="Times New Roman"/>
                <w:sz w:val="32"/>
                <w:szCs w:val="32"/>
                <w:b w:val="1"/>
                <w:bCs w:val="1"/>
                <w:color w:val="32406B"/>
              </w:rPr>
              <w:t>% Notes due 2017</w:t>
            </w: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40"/>
        </w:trPr>
        <w:tc>
          <w:tcPr>
            <w:tcW w:w="1080" w:type="dxa"/>
            <w:vAlign w:val="bottom"/>
            <w:tcBorders>
              <w:bottom w:val="single" w:sz="8" w:color="32406B"/>
            </w:tcBorders>
          </w:tcPr>
          <w:p>
            <w:pPr>
              <w:spacing w:after="0"/>
              <w:rPr>
                <w:sz w:val="20"/>
                <w:szCs w:val="20"/>
                <w:color w:val="auto"/>
              </w:rPr>
            </w:pPr>
          </w:p>
        </w:tc>
        <w:tc>
          <w:tcPr>
            <w:tcW w:w="4980" w:type="dxa"/>
            <w:vAlign w:val="bottom"/>
            <w:tcBorders>
              <w:bottom w:val="single" w:sz="8" w:color="32406B"/>
            </w:tcBorders>
            <w:gridSpan w:val="2"/>
          </w:tcPr>
          <w:p>
            <w:pPr>
              <w:spacing w:after="0"/>
              <w:rPr>
                <w:sz w:val="20"/>
                <w:szCs w:val="20"/>
                <w:color w:val="auto"/>
              </w:rPr>
            </w:pPr>
          </w:p>
        </w:tc>
        <w:tc>
          <w:tcPr>
            <w:tcW w:w="2060" w:type="dxa"/>
            <w:vAlign w:val="bottom"/>
            <w:tcBorders>
              <w:bottom w:val="single" w:sz="8" w:color="32406B"/>
            </w:tcBorders>
          </w:tcPr>
          <w:p>
            <w:pPr>
              <w:spacing w:after="0"/>
              <w:rPr>
                <w:sz w:val="20"/>
                <w:szCs w:val="20"/>
                <w:color w:val="auto"/>
              </w:rPr>
            </w:pPr>
          </w:p>
        </w:tc>
        <w:tc>
          <w:tcPr>
            <w:tcW w:w="3300" w:type="dxa"/>
            <w:vAlign w:val="bottom"/>
            <w:tcBorders>
              <w:bottom w:val="single" w:sz="8" w:color="32406B"/>
            </w:tcBorders>
            <w:gridSpan w:val="3"/>
          </w:tcPr>
          <w:p>
            <w:pPr>
              <w:spacing w:after="0"/>
              <w:rPr>
                <w:sz w:val="20"/>
                <w:szCs w:val="20"/>
                <w:color w:val="auto"/>
              </w:rPr>
            </w:pPr>
          </w:p>
        </w:tc>
      </w:tr>
      <w:tr>
        <w:trPr>
          <w:trHeight w:val="452"/>
        </w:trPr>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color w:val="32406B"/>
              </w:rPr>
              <w:t>The</w:t>
            </w:r>
          </w:p>
        </w:tc>
        <w:tc>
          <w:tcPr>
            <w:tcW w:w="4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2406B"/>
              </w:rPr>
              <w:t>% notes due 2012 (the “2012 Notes”) will bear interest at the rate of</w:t>
            </w:r>
          </w:p>
        </w:tc>
        <w:tc>
          <w:tcPr>
            <w:tcW w:w="2060" w:type="dxa"/>
            <w:vAlign w:val="bottom"/>
          </w:tcPr>
          <w:p>
            <w:pPr>
              <w:ind w:left="360"/>
              <w:spacing w:after="0"/>
              <w:rPr>
                <w:sz w:val="20"/>
                <w:szCs w:val="20"/>
                <w:color w:val="auto"/>
              </w:rPr>
            </w:pPr>
            <w:r>
              <w:rPr>
                <w:rFonts w:ascii="Times New Roman" w:cs="Times New Roman" w:eastAsia="Times New Roman" w:hAnsi="Times New Roman"/>
                <w:sz w:val="18"/>
                <w:szCs w:val="18"/>
                <w:color w:val="32406B"/>
              </w:rPr>
              <w:t>% per year, and the</w:t>
            </w:r>
          </w:p>
        </w:tc>
        <w:tc>
          <w:tcPr>
            <w:tcW w:w="3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32406B"/>
              </w:rPr>
              <w:t>% notes due 2017 (the “2017 Notes” and,</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32406B"/>
              </w:rPr>
              <w:t>together with the 2012 Notes, the “Notes”) will bear interest at the rate of</w:t>
            </w:r>
          </w:p>
        </w:tc>
        <w:tc>
          <w:tcPr>
            <w:tcW w:w="36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32406B"/>
              </w:rPr>
              <w:t>% per year. Interest on the Notes is payable on</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32406B"/>
              </w:rPr>
              <w:t>and</w:t>
            </w:r>
          </w:p>
        </w:tc>
        <w:tc>
          <w:tcPr>
            <w:tcW w:w="1560" w:type="dxa"/>
            <w:vAlign w:val="bottom"/>
          </w:tcPr>
          <w:p>
            <w:pPr>
              <w:ind w:left="100"/>
              <w:spacing w:after="0"/>
              <w:rPr>
                <w:sz w:val="20"/>
                <w:szCs w:val="20"/>
                <w:color w:val="auto"/>
              </w:rPr>
            </w:pPr>
            <w:r>
              <w:rPr>
                <w:rFonts w:ascii="Times New Roman" w:cs="Times New Roman" w:eastAsia="Times New Roman" w:hAnsi="Times New Roman"/>
                <w:sz w:val="18"/>
                <w:szCs w:val="18"/>
                <w:color w:val="32406B"/>
              </w:rPr>
              <w:t>of each year,</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32406B"/>
              </w:rPr>
              <w:t>beginning on</w:t>
            </w:r>
          </w:p>
        </w:tc>
        <w:tc>
          <w:tcPr>
            <w:tcW w:w="4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2406B"/>
              </w:rPr>
              <w:t>, 2007. The 2012 Notes will mature on July 15, 2012, and the 2017</w:t>
            </w:r>
          </w:p>
        </w:tc>
        <w:tc>
          <w:tcPr>
            <w:tcW w:w="5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32406B"/>
                <w:w w:val="99"/>
              </w:rPr>
              <w:t>Notes will mature on January 15, 2017. We may redeem some or all of the</w:t>
            </w:r>
          </w:p>
        </w:tc>
      </w:tr>
      <w:tr>
        <w:trPr>
          <w:trHeight w:val="228"/>
        </w:trPr>
        <w:tc>
          <w:tcPr>
            <w:tcW w:w="9860" w:type="dxa"/>
            <w:vAlign w:val="bottom"/>
            <w:gridSpan w:val="6"/>
          </w:tcPr>
          <w:p>
            <w:pPr>
              <w:spacing w:after="0"/>
              <w:rPr>
                <w:sz w:val="20"/>
                <w:szCs w:val="20"/>
                <w:color w:val="auto"/>
              </w:rPr>
            </w:pPr>
            <w:r>
              <w:rPr>
                <w:rFonts w:ascii="Times New Roman" w:cs="Times New Roman" w:eastAsia="Times New Roman" w:hAnsi="Times New Roman"/>
                <w:sz w:val="18"/>
                <w:szCs w:val="18"/>
                <w:color w:val="32406B"/>
                <w:w w:val="98"/>
              </w:rPr>
              <w:t>Notes at any time before maturity. The redemption prices are discussed under the caption “Description of Notes — Optional Redemption.”</w:t>
            </w:r>
          </w:p>
        </w:tc>
        <w:tc>
          <w:tcPr>
            <w:tcW w:w="1560" w:type="dxa"/>
            <w:vAlign w:val="bottom"/>
          </w:tcPr>
          <w:p>
            <w:pPr>
              <w:spacing w:after="0"/>
              <w:rPr>
                <w:sz w:val="19"/>
                <w:szCs w:val="19"/>
                <w:color w:val="auto"/>
              </w:rPr>
            </w:pPr>
          </w:p>
        </w:tc>
      </w:tr>
    </w:tbl>
    <w:p>
      <w:pPr>
        <w:spacing w:after="0" w:line="136"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32406B"/>
        </w:rPr>
        <w:t>The Notes will be unsecured senior obligations of our company and will rank equally with all of our other unsecured senior indebtedness.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24"/>
          <w:szCs w:val="24"/>
          <w:b w:val="1"/>
          <w:bCs w:val="1"/>
          <w:color w:val="32406B"/>
        </w:rPr>
        <w:t>Investing in the Notes involves risks. See “Risk Factors” beginning on page S-5 of this prospectus supplement and in our Annual Report on Form 10-K filed with the SEC on March 3, 2006 and amended on March 10, 2006.</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32406B"/>
              </w:rPr>
              <w:t>Per 2012</w:t>
            </w: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32406B"/>
              </w:rPr>
              <w:t>Per 2017</w:t>
            </w:r>
          </w:p>
        </w:tc>
        <w:tc>
          <w:tcPr>
            <w:tcW w:w="980" w:type="dxa"/>
            <w:vAlign w:val="bottom"/>
          </w:tcPr>
          <w:p>
            <w:pPr>
              <w:spacing w:after="0"/>
              <w:rPr>
                <w:sz w:val="13"/>
                <w:szCs w:val="13"/>
                <w:color w:val="auto"/>
              </w:rPr>
            </w:pPr>
          </w:p>
        </w:tc>
      </w:tr>
      <w:tr>
        <w:trPr>
          <w:trHeight w:val="178"/>
        </w:trPr>
        <w:tc>
          <w:tcPr>
            <w:tcW w:w="320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66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32406B"/>
              </w:rPr>
              <w:t>Note</w:t>
            </w:r>
          </w:p>
        </w:tc>
        <w:tc>
          <w:tcPr>
            <w:tcW w:w="340" w:type="dxa"/>
            <w:vAlign w:val="bottom"/>
          </w:tcPr>
          <w:p>
            <w:pPr>
              <w:spacing w:after="0"/>
              <w:rPr>
                <w:sz w:val="15"/>
                <w:szCs w:val="15"/>
                <w:color w:val="auto"/>
              </w:rPr>
            </w:pPr>
          </w:p>
        </w:tc>
        <w:tc>
          <w:tcPr>
            <w:tcW w:w="9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32406B"/>
              </w:rPr>
              <w:t>Total</w:t>
            </w:r>
          </w:p>
        </w:tc>
        <w:tc>
          <w:tcPr>
            <w:tcW w:w="340" w:type="dxa"/>
            <w:vAlign w:val="bottom"/>
          </w:tcPr>
          <w:p>
            <w:pPr>
              <w:spacing w:after="0"/>
              <w:rPr>
                <w:sz w:val="15"/>
                <w:szCs w:val="15"/>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32406B"/>
              </w:rPr>
              <w:t>Note</w:t>
            </w:r>
          </w:p>
        </w:tc>
        <w:tc>
          <w:tcPr>
            <w:tcW w:w="98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32406B"/>
              </w:rPr>
              <w:t>Total</w:t>
            </w:r>
          </w:p>
        </w:tc>
      </w:tr>
      <w:tr>
        <w:trPr>
          <w:trHeight w:val="95"/>
        </w:trPr>
        <w:tc>
          <w:tcPr>
            <w:tcW w:w="3200" w:type="dxa"/>
            <w:vAlign w:val="bottom"/>
          </w:tcPr>
          <w:p>
            <w:pPr>
              <w:spacing w:after="0"/>
              <w:rPr>
                <w:sz w:val="8"/>
                <w:szCs w:val="8"/>
                <w:color w:val="auto"/>
              </w:rPr>
            </w:pPr>
          </w:p>
        </w:tc>
        <w:tc>
          <w:tcPr>
            <w:tcW w:w="3920" w:type="dxa"/>
            <w:vAlign w:val="bottom"/>
          </w:tcPr>
          <w:p>
            <w:pPr>
              <w:spacing w:after="0"/>
              <w:rPr>
                <w:sz w:val="8"/>
                <w:szCs w:val="8"/>
                <w:color w:val="auto"/>
              </w:rPr>
            </w:pPr>
          </w:p>
        </w:tc>
        <w:tc>
          <w:tcPr>
            <w:tcW w:w="660" w:type="dxa"/>
            <w:vAlign w:val="bottom"/>
            <w:tcBorders>
              <w:bottom w:val="single" w:sz="8" w:color="32406B"/>
            </w:tcBorders>
          </w:tcPr>
          <w:p>
            <w:pPr>
              <w:spacing w:after="0"/>
              <w:rPr>
                <w:sz w:val="8"/>
                <w:szCs w:val="8"/>
                <w:color w:val="auto"/>
              </w:rPr>
            </w:pPr>
          </w:p>
        </w:tc>
        <w:tc>
          <w:tcPr>
            <w:tcW w:w="340" w:type="dxa"/>
            <w:vAlign w:val="bottom"/>
          </w:tcPr>
          <w:p>
            <w:pPr>
              <w:spacing w:after="0"/>
              <w:rPr>
                <w:sz w:val="8"/>
                <w:szCs w:val="8"/>
                <w:color w:val="auto"/>
              </w:rPr>
            </w:pPr>
          </w:p>
        </w:tc>
        <w:tc>
          <w:tcPr>
            <w:tcW w:w="980" w:type="dxa"/>
            <w:vAlign w:val="bottom"/>
            <w:tcBorders>
              <w:bottom w:val="single" w:sz="8" w:color="32406B"/>
            </w:tcBorders>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Borders>
              <w:bottom w:val="single" w:sz="8" w:color="32406B"/>
            </w:tcBorders>
          </w:tcPr>
          <w:p>
            <w:pPr>
              <w:spacing w:after="0"/>
              <w:rPr>
                <w:sz w:val="8"/>
                <w:szCs w:val="8"/>
                <w:color w:val="auto"/>
              </w:rPr>
            </w:pPr>
          </w:p>
        </w:tc>
        <w:tc>
          <w:tcPr>
            <w:tcW w:w="340" w:type="dxa"/>
            <w:vAlign w:val="bottom"/>
          </w:tcPr>
          <w:p>
            <w:pPr>
              <w:spacing w:after="0"/>
              <w:rPr>
                <w:sz w:val="8"/>
                <w:szCs w:val="8"/>
                <w:color w:val="auto"/>
              </w:rPr>
            </w:pPr>
          </w:p>
        </w:tc>
        <w:tc>
          <w:tcPr>
            <w:tcW w:w="980" w:type="dxa"/>
            <w:vAlign w:val="bottom"/>
            <w:tcBorders>
              <w:bottom w:val="single" w:sz="8" w:color="32406B"/>
            </w:tcBorders>
          </w:tcPr>
          <w:p>
            <w:pPr>
              <w:spacing w:after="0"/>
              <w:rPr>
                <w:sz w:val="8"/>
                <w:szCs w:val="8"/>
                <w:color w:val="auto"/>
              </w:rPr>
            </w:pPr>
          </w:p>
        </w:tc>
      </w:tr>
      <w:tr>
        <w:trPr>
          <w:trHeight w:val="30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32406B"/>
              </w:rPr>
              <w:t>Public Offering Price</w:t>
            </w: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1320" w:type="dxa"/>
            <w:vAlign w:val="bottom"/>
            <w:gridSpan w:val="2"/>
          </w:tcPr>
          <w:p>
            <w:pPr>
              <w:jc w:val="right"/>
              <w:ind w:right="812"/>
              <w:spacing w:after="0"/>
              <w:rPr>
                <w:sz w:val="20"/>
                <w:szCs w:val="20"/>
                <w:color w:val="auto"/>
              </w:rPr>
            </w:pPr>
            <w:r>
              <w:rPr>
                <w:rFonts w:ascii="Times New Roman" w:cs="Times New Roman" w:eastAsia="Times New Roman" w:hAnsi="Times New Roman"/>
                <w:sz w:val="18"/>
                <w:szCs w:val="18"/>
                <w:color w:val="32406B"/>
              </w:rPr>
              <w:t>$</w:t>
            </w:r>
          </w:p>
        </w:tc>
        <w:tc>
          <w:tcPr>
            <w:tcW w:w="13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32406B"/>
              </w:rPr>
              <w:t>%</w:t>
            </w:r>
          </w:p>
        </w:tc>
        <w:tc>
          <w:tcPr>
            <w:tcW w:w="980" w:type="dxa"/>
            <w:vAlign w:val="bottom"/>
          </w:tcPr>
          <w:p>
            <w:pPr>
              <w:jc w:val="right"/>
              <w:ind w:right="797"/>
              <w:spacing w:after="0"/>
              <w:rPr>
                <w:sz w:val="20"/>
                <w:szCs w:val="20"/>
                <w:color w:val="auto"/>
              </w:rPr>
            </w:pPr>
            <w:r>
              <w:rPr>
                <w:rFonts w:ascii="Times New Roman" w:cs="Times New Roman" w:eastAsia="Times New Roman" w:hAnsi="Times New Roman"/>
                <w:sz w:val="18"/>
                <w:szCs w:val="18"/>
                <w:color w:val="32406B"/>
                <w:w w:val="88"/>
              </w:rPr>
              <w:t>$</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32406B"/>
              </w:rPr>
              <w:t>Underwriting Discount</w:t>
            </w: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1320" w:type="dxa"/>
            <w:vAlign w:val="bottom"/>
            <w:gridSpan w:val="2"/>
          </w:tcPr>
          <w:p>
            <w:pPr>
              <w:jc w:val="right"/>
              <w:ind w:right="812"/>
              <w:spacing w:after="0"/>
              <w:rPr>
                <w:sz w:val="20"/>
                <w:szCs w:val="20"/>
                <w:color w:val="auto"/>
              </w:rPr>
            </w:pPr>
            <w:r>
              <w:rPr>
                <w:rFonts w:ascii="Times New Roman" w:cs="Times New Roman" w:eastAsia="Times New Roman" w:hAnsi="Times New Roman"/>
                <w:sz w:val="18"/>
                <w:szCs w:val="18"/>
                <w:color w:val="32406B"/>
              </w:rPr>
              <w:t>$</w:t>
            </w:r>
          </w:p>
        </w:tc>
        <w:tc>
          <w:tcPr>
            <w:tcW w:w="13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32406B"/>
              </w:rPr>
              <w:t>%</w:t>
            </w:r>
          </w:p>
        </w:tc>
        <w:tc>
          <w:tcPr>
            <w:tcW w:w="980" w:type="dxa"/>
            <w:vAlign w:val="bottom"/>
          </w:tcPr>
          <w:p>
            <w:pPr>
              <w:jc w:val="right"/>
              <w:ind w:right="797"/>
              <w:spacing w:after="0"/>
              <w:rPr>
                <w:sz w:val="20"/>
                <w:szCs w:val="20"/>
                <w:color w:val="auto"/>
              </w:rPr>
            </w:pPr>
            <w:r>
              <w:rPr>
                <w:rFonts w:ascii="Times New Roman" w:cs="Times New Roman" w:eastAsia="Times New Roman" w:hAnsi="Times New Roman"/>
                <w:sz w:val="18"/>
                <w:szCs w:val="18"/>
                <w:color w:val="32406B"/>
                <w:w w:val="88"/>
              </w:rPr>
              <w:t>$</w:t>
            </w:r>
          </w:p>
        </w:tc>
      </w:tr>
      <w:tr>
        <w:trPr>
          <w:trHeight w:val="22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32406B"/>
                <w:w w:val="97"/>
              </w:rPr>
              <w:t>Proceeds to Federal Realty (before expenses)</w:t>
            </w: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1320" w:type="dxa"/>
            <w:vAlign w:val="bottom"/>
            <w:gridSpan w:val="2"/>
          </w:tcPr>
          <w:p>
            <w:pPr>
              <w:jc w:val="right"/>
              <w:ind w:right="812"/>
              <w:spacing w:after="0"/>
              <w:rPr>
                <w:sz w:val="20"/>
                <w:szCs w:val="20"/>
                <w:color w:val="auto"/>
              </w:rPr>
            </w:pPr>
            <w:r>
              <w:rPr>
                <w:rFonts w:ascii="Times New Roman" w:cs="Times New Roman" w:eastAsia="Times New Roman" w:hAnsi="Times New Roman"/>
                <w:sz w:val="18"/>
                <w:szCs w:val="18"/>
                <w:color w:val="32406B"/>
              </w:rPr>
              <w:t>$</w:t>
            </w:r>
          </w:p>
        </w:tc>
        <w:tc>
          <w:tcPr>
            <w:tcW w:w="13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32406B"/>
              </w:rPr>
              <w:t>%</w:t>
            </w:r>
          </w:p>
        </w:tc>
        <w:tc>
          <w:tcPr>
            <w:tcW w:w="980" w:type="dxa"/>
            <w:vAlign w:val="bottom"/>
          </w:tcPr>
          <w:p>
            <w:pPr>
              <w:jc w:val="right"/>
              <w:ind w:right="797"/>
              <w:spacing w:after="0"/>
              <w:rPr>
                <w:sz w:val="20"/>
                <w:szCs w:val="20"/>
                <w:color w:val="auto"/>
              </w:rPr>
            </w:pPr>
            <w:r>
              <w:rPr>
                <w:rFonts w:ascii="Times New Roman" w:cs="Times New Roman" w:eastAsia="Times New Roman" w:hAnsi="Times New Roman"/>
                <w:sz w:val="18"/>
                <w:szCs w:val="18"/>
                <w:color w:val="32406B"/>
                <w:w w:val="88"/>
              </w:rPr>
              <w:t>$</w:t>
            </w:r>
          </w:p>
        </w:tc>
      </w:tr>
      <w:tr>
        <w:trPr>
          <w:trHeight w:val="365"/>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32406B"/>
              </w:rPr>
              <w:t>Interest on the Notes will accrue from July</w:t>
            </w:r>
          </w:p>
        </w:tc>
        <w:tc>
          <w:tcPr>
            <w:tcW w:w="3920" w:type="dxa"/>
            <w:vAlign w:val="bottom"/>
          </w:tcPr>
          <w:p>
            <w:pPr>
              <w:jc w:val="right"/>
              <w:ind w:right="3332"/>
              <w:spacing w:after="0"/>
              <w:rPr>
                <w:sz w:val="20"/>
                <w:szCs w:val="20"/>
                <w:color w:val="auto"/>
              </w:rPr>
            </w:pPr>
            <w:r>
              <w:rPr>
                <w:rFonts w:ascii="Times New Roman" w:cs="Times New Roman" w:eastAsia="Times New Roman" w:hAnsi="Times New Roman"/>
                <w:sz w:val="18"/>
                <w:szCs w:val="18"/>
                <w:color w:val="32406B"/>
                <w:w w:val="96"/>
              </w:rPr>
              <w:t>, 2006.</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136" w:lineRule="exact"/>
        <w:rPr>
          <w:sz w:val="24"/>
          <w:szCs w:val="24"/>
          <w:color w:val="auto"/>
        </w:rPr>
      </w:pPr>
    </w:p>
    <w:p>
      <w:pPr>
        <w:ind w:right="200" w:firstLine="571"/>
        <w:spacing w:after="0" w:line="275" w:lineRule="auto"/>
        <w:rPr>
          <w:sz w:val="20"/>
          <w:szCs w:val="20"/>
          <w:color w:val="auto"/>
        </w:rPr>
      </w:pPr>
      <w:r>
        <w:rPr>
          <w:rFonts w:ascii="Times New Roman" w:cs="Times New Roman" w:eastAsia="Times New Roman" w:hAnsi="Times New Roman"/>
          <w:sz w:val="18"/>
          <w:szCs w:val="18"/>
          <w:color w:val="32406B"/>
        </w:rPr>
        <w:t>The underwriters expect to deliver the Notes to purchasers in book-entry only form through the facilities of The Depository Trust Company on or about July , 2006.</w:t>
      </w:r>
    </w:p>
    <w:p>
      <w:pPr>
        <w:spacing w:after="0" w:line="104" w:lineRule="exact"/>
        <w:rPr>
          <w:sz w:val="24"/>
          <w:szCs w:val="24"/>
          <w:color w:val="auto"/>
        </w:rPr>
      </w:pPr>
    </w:p>
    <w:p>
      <w:pPr>
        <w:ind w:right="460" w:firstLine="571"/>
        <w:spacing w:after="0" w:line="264" w:lineRule="auto"/>
        <w:rPr>
          <w:sz w:val="20"/>
          <w:szCs w:val="20"/>
          <w:color w:val="auto"/>
        </w:rPr>
      </w:pPr>
      <w:r>
        <w:rPr>
          <w:rFonts w:ascii="Times New Roman" w:cs="Times New Roman" w:eastAsia="Times New Roman" w:hAnsi="Times New Roman"/>
          <w:sz w:val="18"/>
          <w:szCs w:val="18"/>
          <w:b w:val="1"/>
          <w:bCs w:val="1"/>
          <w:color w:val="32406B"/>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32406B"/>
        </w:rPr>
        <w:t>Joint Book-Running Managers</w:t>
      </w:r>
    </w:p>
    <w:p>
      <w:pPr>
        <w:spacing w:after="0" w:line="194" w:lineRule="exact"/>
        <w:rPr>
          <w:sz w:val="24"/>
          <w:szCs w:val="24"/>
          <w:color w:val="auto"/>
        </w:rPr>
      </w:pPr>
    </w:p>
    <w:p>
      <w:pPr>
        <w:spacing w:after="0"/>
        <w:tabs>
          <w:tab w:leader="none" w:pos="10060" w:val="left"/>
        </w:tabs>
        <w:rPr>
          <w:sz w:val="20"/>
          <w:szCs w:val="20"/>
          <w:color w:val="auto"/>
        </w:rPr>
      </w:pPr>
      <w:r>
        <w:rPr>
          <w:rFonts w:ascii="Times New Roman" w:cs="Times New Roman" w:eastAsia="Times New Roman" w:hAnsi="Times New Roman"/>
          <w:sz w:val="32"/>
          <w:szCs w:val="32"/>
          <w:b w:val="1"/>
          <w:bCs w:val="1"/>
          <w:color w:val="32406B"/>
        </w:rPr>
        <w:t>Wachovia Securities</w:t>
      </w:r>
      <w:r>
        <w:rPr>
          <w:sz w:val="20"/>
          <w:szCs w:val="20"/>
          <w:color w:val="auto"/>
        </w:rPr>
        <w:tab/>
      </w:r>
      <w:r>
        <w:rPr>
          <w:rFonts w:ascii="Times New Roman" w:cs="Times New Roman" w:eastAsia="Times New Roman" w:hAnsi="Times New Roman"/>
          <w:sz w:val="32"/>
          <w:szCs w:val="32"/>
          <w:b w:val="1"/>
          <w:bCs w:val="1"/>
          <w:color w:val="32406B"/>
        </w:rPr>
        <w:t>Citigroup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139065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19"/>
        <w:spacing w:after="0"/>
        <w:tabs>
          <w:tab w:leader="none" w:pos="180" w:val="left"/>
        </w:tabs>
        <w:rPr>
          <w:sz w:val="20"/>
          <w:szCs w:val="20"/>
          <w:color w:val="auto"/>
        </w:rPr>
      </w:pPr>
      <w:r>
        <w:rPr>
          <w:rFonts w:ascii="Times New Roman" w:cs="Times New Roman" w:eastAsia="Times New Roman" w:hAnsi="Times New Roman"/>
          <w:sz w:val="18"/>
          <w:szCs w:val="18"/>
          <w:b w:val="1"/>
          <w:bCs w:val="1"/>
          <w:color w:val="32406B"/>
        </w:rPr>
        <w:t>The date of this prospectus supplement is July</w:t>
        <w:tab/>
        <w:t>, 2006.</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tbl>
      <w:tblPr>
        <w:tblLayout w:type="fixed"/>
        <w:tblInd w:w="0" w:type="dxa"/>
        <w:tblCellMar>
          <w:top w:w="0" w:type="dxa"/>
          <w:left w:w="0" w:type="dxa"/>
          <w:bottom w:w="0" w:type="dxa"/>
          <w:right w:w="0" w:type="dxa"/>
        </w:tblCellMar>
      </w:tblPr>
      <w:tr>
        <w:trPr>
          <w:trHeight w:val="157"/>
        </w:trPr>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gridSpan w:val="2"/>
          </w:tcPr>
          <w:p>
            <w:pPr>
              <w:jc w:val="center"/>
              <w:ind w:right="440"/>
              <w:spacing w:after="0" w:line="157" w:lineRule="exact"/>
              <w:rPr>
                <w:sz w:val="20"/>
                <w:szCs w:val="20"/>
                <w:color w:val="auto"/>
              </w:rPr>
            </w:pPr>
            <w:r>
              <w:rPr>
                <w:rFonts w:ascii="Times New Roman" w:cs="Times New Roman" w:eastAsia="Times New Roman" w:hAnsi="Times New Roman"/>
                <w:sz w:val="14"/>
                <w:szCs w:val="14"/>
                <w:b w:val="1"/>
                <w:bCs w:val="1"/>
                <w:color w:val="auto"/>
                <w:w w:val="96"/>
              </w:rPr>
              <w:t>Proposed</w:t>
            </w:r>
          </w:p>
        </w:tc>
        <w:tc>
          <w:tcPr>
            <w:tcW w:w="100" w:type="dxa"/>
            <w:vAlign w:val="bottom"/>
          </w:tcPr>
          <w:p>
            <w:pPr>
              <w:spacing w:after="0"/>
              <w:rPr>
                <w:sz w:val="13"/>
                <w:szCs w:val="13"/>
                <w:color w:val="auto"/>
              </w:rPr>
            </w:pPr>
          </w:p>
        </w:tc>
        <w:tc>
          <w:tcPr>
            <w:tcW w:w="6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6"/>
              </w:rPr>
              <w:t>Proposed</w:t>
            </w: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Offering</w:t>
            </w: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Aggregate</w:t>
            </w:r>
          </w:p>
        </w:tc>
        <w:tc>
          <w:tcPr>
            <w:tcW w:w="54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r>
      <w:tr>
        <w:trPr>
          <w:trHeight w:val="149"/>
        </w:trPr>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jc w:val="right"/>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54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Price Per</w:t>
            </w: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Offering</w:t>
            </w:r>
          </w:p>
        </w:tc>
        <w:tc>
          <w:tcPr>
            <w:tcW w:w="54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Registration</w:t>
            </w:r>
          </w:p>
        </w:tc>
      </w:tr>
      <w:tr>
        <w:trPr>
          <w:trHeight w:val="178"/>
        </w:trPr>
        <w:tc>
          <w:tcPr>
            <w:tcW w:w="4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Title of Each Class of Securities to be Registered</w:t>
            </w:r>
          </w:p>
        </w:tc>
        <w:tc>
          <w:tcPr>
            <w:tcW w:w="2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Registered</w:t>
            </w:r>
          </w:p>
        </w:tc>
        <w:tc>
          <w:tcPr>
            <w:tcW w:w="540" w:type="dxa"/>
            <w:vAlign w:val="bottom"/>
          </w:tcPr>
          <w:p>
            <w:pPr>
              <w:spacing w:after="0"/>
              <w:rPr>
                <w:sz w:val="15"/>
                <w:szCs w:val="15"/>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6"/>
              </w:rPr>
              <w:t>Security</w:t>
            </w:r>
          </w:p>
        </w:tc>
        <w:tc>
          <w:tcPr>
            <w:tcW w:w="1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Price(1)</w:t>
            </w:r>
          </w:p>
        </w:tc>
        <w:tc>
          <w:tcPr>
            <w:tcW w:w="540" w:type="dxa"/>
            <w:vAlign w:val="bottom"/>
          </w:tcPr>
          <w:p>
            <w:pPr>
              <w:spacing w:after="0"/>
              <w:rPr>
                <w:sz w:val="15"/>
                <w:szCs w:val="15"/>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Fee(2)</w:t>
            </w:r>
          </w:p>
        </w:tc>
      </w:tr>
      <w:tr>
        <w:trPr>
          <w:trHeight w:val="95"/>
        </w:trPr>
        <w:tc>
          <w:tcPr>
            <w:tcW w:w="2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303"/>
        </w:trPr>
        <w:tc>
          <w:tcPr>
            <w:tcW w:w="280" w:type="dxa"/>
            <w:vAlign w:val="bottom"/>
          </w:tcPr>
          <w:p>
            <w:pPr>
              <w:spacing w:after="0"/>
              <w:rPr>
                <w:sz w:val="24"/>
                <w:szCs w:val="24"/>
                <w:color w:val="auto"/>
              </w:rPr>
            </w:pPr>
          </w:p>
        </w:tc>
        <w:tc>
          <w:tcPr>
            <w:tcW w:w="3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Notes due 2012</w:t>
            </w:r>
          </w:p>
        </w:tc>
        <w:tc>
          <w:tcPr>
            <w:tcW w:w="2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10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8"/>
        </w:trPr>
        <w:tc>
          <w:tcPr>
            <w:tcW w:w="280" w:type="dxa"/>
            <w:vAlign w:val="bottom"/>
          </w:tcPr>
          <w:p>
            <w:pPr>
              <w:spacing w:after="0"/>
              <w:rPr>
                <w:sz w:val="19"/>
                <w:szCs w:val="19"/>
                <w:color w:val="auto"/>
              </w:rPr>
            </w:pPr>
          </w:p>
        </w:tc>
        <w:tc>
          <w:tcPr>
            <w:tcW w:w="3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Notes due 2017</w:t>
            </w:r>
          </w:p>
        </w:tc>
        <w:tc>
          <w:tcPr>
            <w:tcW w:w="2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10"/>
        </w:trPr>
        <w:tc>
          <w:tcPr>
            <w:tcW w:w="2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9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800" w:type="dxa"/>
            <w:vAlign w:val="bottom"/>
            <w:gridSpan w:val="5"/>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7"/>
              </w:rPr>
              <w:t>The maximum aggregate offering price of both the</w:t>
            </w:r>
          </w:p>
        </w:tc>
        <w:tc>
          <w:tcPr>
            <w:tcW w:w="2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Notes due 2012 and the</w:t>
            </w:r>
          </w:p>
        </w:tc>
        <w:tc>
          <w:tcPr>
            <w:tcW w:w="28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 Notes due 2017 is $250,000,000.</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457(r) and Rule 457(o) of the Securities Act.</w:t>
      </w:r>
    </w:p>
    <w:p>
      <w:pPr>
        <w:spacing w:after="0" w:line="9" w:lineRule="exact"/>
        <w:rPr>
          <w:rFonts w:ascii="Times New Roman" w:cs="Times New Roman" w:eastAsia="Times New Roman" w:hAnsi="Times New Roman"/>
          <w:sz w:val="18"/>
          <w:szCs w:val="18"/>
          <w:color w:val="auto"/>
        </w:rPr>
      </w:pPr>
    </w:p>
    <w:p>
      <w:pPr>
        <w:ind w:left="580" w:right="260" w:hanging="572"/>
        <w:spacing w:after="0" w:line="253" w:lineRule="auto"/>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 with respect to the aggregate offering price of $250,000,000 is $26,750, which is partially offset by $9,200 which has already been paid, leaving the registrant with $17,550 to pay at this time. In accordance with Rules 456(b) and 457(r), upon filing of its Registration Statement on Form S-3, the registrant deferred payment of all of the registration fee, except for $9,200 that had already been paid with respect to the $100,000,000 aggregate initial offering price of securities that were previously registered pursuant to Registration Statement No. 333-100819 filed by Federal Realty Investment Trust on October 29, 2002 and that were not sold thereunder.</w:t>
      </w:r>
    </w:p>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200" w:firstLine="571"/>
        <w:spacing w:after="0" w:line="257"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 this prospectus supplement and the accompanying prospectus. We have not, and the underwriters have not, authorized anyone to provide you with different information. We are not making an offer of these securities in any state where the offer is not permitted. You should assume that the information contained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155575</wp:posOffset>
            </wp:positionV>
            <wp:extent cx="1397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TABLE OF CONTENTS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95"/>
        </w:trPr>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11060" w:type="dxa"/>
            <w:vAlign w:val="bottom"/>
            <w:gridSpan w:val="1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Cautionary Statement Concerning Forward-Looking Statements</w:t>
              </w:r>
            </w:hyperlink>
          </w:p>
        </w:tc>
        <w:tc>
          <w:tcPr>
            <w:tcW w:w="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23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Prospectus Supplement Summary</w:t>
              </w:r>
            </w:hyperlink>
          </w:p>
        </w:tc>
        <w:tc>
          <w:tcPr>
            <w:tcW w:w="2120" w:type="dxa"/>
            <w:vAlign w:val="bottom"/>
            <w:tcBorders>
              <w:top w:val="single" w:sz="8" w:color="0000EE"/>
            </w:tcBorders>
            <w:gridSpan w:val="6"/>
          </w:tcPr>
          <w:p>
            <w:pPr>
              <w:spacing w:after="0"/>
              <w:rPr>
                <w:sz w:val="17"/>
                <w:szCs w:val="17"/>
                <w:color w:val="auto"/>
              </w:rPr>
            </w:pPr>
          </w:p>
        </w:tc>
        <w:tc>
          <w:tcPr>
            <w:tcW w:w="65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9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9">
              <w:r>
                <w:rPr>
                  <w:rFonts w:ascii="Times New Roman" w:cs="Times New Roman" w:eastAsia="Times New Roman" w:hAnsi="Times New Roman"/>
                  <w:sz w:val="18"/>
                  <w:szCs w:val="18"/>
                  <w:color w:val="0000EE"/>
                  <w:w w:val="97"/>
                </w:rPr>
                <w:t>Risk Factors</w:t>
              </w:r>
            </w:hyperlink>
          </w:p>
        </w:tc>
        <w:tc>
          <w:tcPr>
            <w:tcW w:w="10160" w:type="dxa"/>
            <w:vAlign w:val="bottom"/>
            <w:gridSpan w:val="16"/>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S-5</w:t>
            </w:r>
          </w:p>
        </w:tc>
      </w:tr>
      <w:tr>
        <w:trPr>
          <w:trHeight w:val="196"/>
        </w:trPr>
        <w:tc>
          <w:tcPr>
            <w:tcW w:w="11060" w:type="dxa"/>
            <w:vAlign w:val="bottom"/>
            <w:gridSpan w:val="18"/>
          </w:tcPr>
          <w:p>
            <w:pPr>
              <w:spacing w:after="0" w:line="196"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Use of Proceeds</w:t>
              </w:r>
            </w:hyperlink>
          </w:p>
        </w:tc>
        <w:tc>
          <w:tcPr>
            <w:tcW w:w="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7"/>
              </w:rPr>
            </w:pPr>
            <w:hyperlink w:anchor="page11">
              <w:r>
                <w:rPr>
                  <w:rFonts w:ascii="Times New Roman" w:cs="Times New Roman" w:eastAsia="Times New Roman" w:hAnsi="Times New Roman"/>
                  <w:sz w:val="18"/>
                  <w:szCs w:val="18"/>
                  <w:color w:val="0000EE"/>
                  <w:w w:val="97"/>
                </w:rPr>
                <w:t>Ratios of Earnings to Fixed Charges</w:t>
              </w:r>
            </w:hyperlink>
          </w:p>
        </w:tc>
        <w:tc>
          <w:tcPr>
            <w:tcW w:w="850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w:t>
            </w:r>
          </w:p>
        </w:tc>
      </w:tr>
      <w:tr>
        <w:trPr>
          <w:trHeight w:val="196"/>
        </w:trPr>
        <w:tc>
          <w:tcPr>
            <w:tcW w:w="14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12">
              <w:r>
                <w:rPr>
                  <w:rFonts w:ascii="Times New Roman" w:cs="Times New Roman" w:eastAsia="Times New Roman" w:hAnsi="Times New Roman"/>
                  <w:sz w:val="18"/>
                  <w:szCs w:val="18"/>
                  <w:color w:val="0000EE"/>
                  <w:w w:val="97"/>
                </w:rPr>
                <w:t>Description of Notes</w:t>
              </w:r>
            </w:hyperlink>
          </w:p>
        </w:tc>
        <w:tc>
          <w:tcPr>
            <w:tcW w:w="9580" w:type="dxa"/>
            <w:vAlign w:val="bottom"/>
            <w:gridSpan w:val="11"/>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r>
      <w:tr>
        <w:trPr>
          <w:trHeight w:val="196"/>
        </w:trPr>
        <w:tc>
          <w:tcPr>
            <w:tcW w:w="30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7"/>
              </w:rPr>
            </w:pPr>
            <w:hyperlink w:anchor="page18">
              <w:r>
                <w:rPr>
                  <w:rFonts w:ascii="Times New Roman" w:cs="Times New Roman" w:eastAsia="Times New Roman" w:hAnsi="Times New Roman"/>
                  <w:sz w:val="18"/>
                  <w:szCs w:val="18"/>
                  <w:color w:val="0000EE"/>
                  <w:w w:val="97"/>
                </w:rPr>
                <w:t>Certain Federal Income Tax Considerations</w:t>
              </w:r>
            </w:hyperlink>
          </w:p>
        </w:tc>
        <w:tc>
          <w:tcPr>
            <w:tcW w:w="7980" w:type="dxa"/>
            <w:vAlign w:val="bottom"/>
            <w:gridSpan w:val="3"/>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S-14</w:t>
            </w:r>
          </w:p>
        </w:tc>
      </w:tr>
      <w:tr>
        <w:trPr>
          <w:trHeight w:val="196"/>
        </w:trPr>
        <w:tc>
          <w:tcPr>
            <w:tcW w:w="9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21">
              <w:r>
                <w:rPr>
                  <w:rFonts w:ascii="Times New Roman" w:cs="Times New Roman" w:eastAsia="Times New Roman" w:hAnsi="Times New Roman"/>
                  <w:sz w:val="18"/>
                  <w:szCs w:val="18"/>
                  <w:color w:val="0000EE"/>
                  <w:w w:val="96"/>
                </w:rPr>
                <w:t>Underwriting</w:t>
              </w:r>
            </w:hyperlink>
          </w:p>
        </w:tc>
        <w:tc>
          <w:tcPr>
            <w:tcW w:w="10100" w:type="dxa"/>
            <w:vAlign w:val="bottom"/>
            <w:gridSpan w:val="15"/>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S-17</w:t>
            </w:r>
          </w:p>
        </w:tc>
      </w:tr>
      <w:tr>
        <w:trPr>
          <w:trHeight w:val="196"/>
        </w:trPr>
        <w:tc>
          <w:tcPr>
            <w:tcW w:w="11060" w:type="dxa"/>
            <w:vAlign w:val="bottom"/>
            <w:gridSpan w:val="18"/>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Experts</w:t>
              </w:r>
            </w:hyperlink>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S-18</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96"/>
        </w:trPr>
        <w:tc>
          <w:tcPr>
            <w:tcW w:w="10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5"/>
              </w:rPr>
            </w:pPr>
            <w:hyperlink w:anchor="page22">
              <w:r>
                <w:rPr>
                  <w:rFonts w:ascii="Times New Roman" w:cs="Times New Roman" w:eastAsia="Times New Roman" w:hAnsi="Times New Roman"/>
                  <w:sz w:val="18"/>
                  <w:szCs w:val="18"/>
                  <w:color w:val="0000EE"/>
                  <w:w w:val="95"/>
                </w:rPr>
                <w:t>Legal Matters</w:t>
              </w:r>
            </w:hyperlink>
          </w:p>
        </w:tc>
        <w:tc>
          <w:tcPr>
            <w:tcW w:w="10060" w:type="dxa"/>
            <w:vAlign w:val="bottom"/>
            <w:gridSpan w:val="14"/>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S-18</w:t>
            </w:r>
          </w:p>
        </w:tc>
      </w:tr>
      <w:tr>
        <w:trPr>
          <w:trHeight w:val="196"/>
        </w:trPr>
        <w:tc>
          <w:tcPr>
            <w:tcW w:w="11060" w:type="dxa"/>
            <w:vAlign w:val="bottom"/>
            <w:gridSpan w:val="18"/>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Where You Can Find More Information</w:t>
              </w:r>
            </w:hyperlink>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S-19</w:t>
            </w:r>
          </w:p>
        </w:tc>
      </w:tr>
      <w:tr>
        <w:trPr>
          <w:trHeight w:val="383"/>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56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12"/>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95"/>
        </w:trPr>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11060" w:type="dxa"/>
            <w:vAlign w:val="bottom"/>
            <w:gridSpan w:val="18"/>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About this Prospectus</w:t>
              </w:r>
            </w:hyperlink>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96"/>
        </w:trPr>
        <w:tc>
          <w:tcPr>
            <w:tcW w:w="2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Forward-Looking Information</w:t>
              </w:r>
            </w:hyperlink>
          </w:p>
        </w:tc>
        <w:tc>
          <w:tcPr>
            <w:tcW w:w="8920" w:type="dxa"/>
            <w:vAlign w:val="bottom"/>
            <w:gridSpan w:val="9"/>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1060" w:type="dxa"/>
            <w:vAlign w:val="bottom"/>
            <w:gridSpan w:val="18"/>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The Company</w:t>
              </w:r>
            </w:hyperlink>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96"/>
        </w:trPr>
        <w:tc>
          <w:tcPr>
            <w:tcW w:w="11060" w:type="dxa"/>
            <w:vAlign w:val="bottom"/>
            <w:gridSpan w:val="18"/>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Use of Proceeds</w:t>
              </w:r>
            </w:hyperlink>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96"/>
        </w:trPr>
        <w:tc>
          <w:tcPr>
            <w:tcW w:w="55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Ratios of Earnings to Combined Fixed Charges and Preferred Share Dividends</w:t>
              </w:r>
            </w:hyperlink>
          </w:p>
        </w:tc>
        <w:tc>
          <w:tcPr>
            <w:tcW w:w="552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2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Description of Debt Securities</w:t>
              </w:r>
            </w:hyperlink>
          </w:p>
        </w:tc>
        <w:tc>
          <w:tcPr>
            <w:tcW w:w="8920" w:type="dxa"/>
            <w:vAlign w:val="bottom"/>
            <w:gridSpan w:val="9"/>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30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7"/>
              </w:rPr>
            </w:pPr>
            <w:hyperlink w:anchor="page42">
              <w:r>
                <w:rPr>
                  <w:rFonts w:ascii="Times New Roman" w:cs="Times New Roman" w:eastAsia="Times New Roman" w:hAnsi="Times New Roman"/>
                  <w:sz w:val="18"/>
                  <w:szCs w:val="18"/>
                  <w:color w:val="0000EE"/>
                  <w:w w:val="97"/>
                </w:rPr>
                <w:t>Description of Shares of Beneficial Interest</w:t>
              </w:r>
            </w:hyperlink>
          </w:p>
        </w:tc>
        <w:tc>
          <w:tcPr>
            <w:tcW w:w="8000" w:type="dxa"/>
            <w:vAlign w:val="bottom"/>
            <w:gridSpan w:val="4"/>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24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6"/>
              </w:rPr>
            </w:pPr>
            <w:hyperlink w:anchor="page56">
              <w:r>
                <w:rPr>
                  <w:rFonts w:ascii="Times New Roman" w:cs="Times New Roman" w:eastAsia="Times New Roman" w:hAnsi="Times New Roman"/>
                  <w:sz w:val="18"/>
                  <w:szCs w:val="18"/>
                  <w:color w:val="0000EE"/>
                  <w:w w:val="96"/>
                </w:rPr>
                <w:t>Federal Income Tax Consequences</w:t>
              </w:r>
            </w:hyperlink>
          </w:p>
        </w:tc>
        <w:tc>
          <w:tcPr>
            <w:tcW w:w="8600" w:type="dxa"/>
            <w:vAlign w:val="bottom"/>
            <w:gridSpan w:val="7"/>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1060" w:type="dxa"/>
            <w:vAlign w:val="bottom"/>
            <w:gridSpan w:val="18"/>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Plan of Distribution</w:t>
              </w:r>
            </w:hyperlink>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140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Legal Matters</w:t>
              </w:r>
            </w:hyperlink>
          </w:p>
        </w:tc>
        <w:tc>
          <w:tcPr>
            <w:tcW w:w="9660" w:type="dxa"/>
            <w:vAlign w:val="bottom"/>
            <w:gridSpan w:val="12"/>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10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Experts</w:t>
              </w:r>
            </w:hyperlink>
          </w:p>
        </w:tc>
        <w:tc>
          <w:tcPr>
            <w:tcW w:w="10060" w:type="dxa"/>
            <w:vAlign w:val="bottom"/>
            <w:gridSpan w:val="14"/>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2"/>
          </w:tcPr>
          <w:p>
            <w:pPr>
              <w:spacing w:after="0" w:line="20" w:lineRule="exact"/>
              <w:rPr>
                <w:sz w:val="1"/>
                <w:szCs w:val="1"/>
                <w:color w:val="auto"/>
              </w:rPr>
            </w:pPr>
          </w:p>
        </w:tc>
        <w:tc>
          <w:tcPr>
            <w:tcW w:w="826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96"/>
        </w:trPr>
        <w:tc>
          <w:tcPr>
            <w:tcW w:w="11060" w:type="dxa"/>
            <w:vAlign w:val="bottom"/>
            <w:gridSpan w:val="18"/>
          </w:tcPr>
          <w:p>
            <w:pPr>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Where You Can Find More Information</w:t>
              </w:r>
            </w:hyperlink>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160" w:lineRule="exact"/>
        <w:rPr>
          <w:sz w:val="20"/>
          <w:szCs w:val="20"/>
          <w:color w:val="auto"/>
        </w:rPr>
      </w:pPr>
    </w:p>
    <w:p>
      <w:pPr>
        <w:ind w:firstLine="571"/>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documents that we “incorporate by reference” into this prospectus supplement and the accompanying prospectus contain statements that are not based on historical facts, including statements or information with words such as “may,” “will,” “could,” “should,” “plans,” “intends,” “expects,” “believes,” “estimates,” “anticipates,” “continues,” and similar words. These statements constitute forward-looking statements within the meaning of Section 27A of the Securities Act of 1933, Section 21E of the Securities Exchange Act of 1934 and the Private Securities Litigation Reform Act of 1995. In particular, the risk factors included or incorporated by reference in this prospectus supplement and the accompanying prospectus describe forward-looking information. The risk factors, including those contained in our Annual Report on Form 10-K filed with the Securities and Exchange Commission, or the SEC, on March 3, 2006 and amended on March 10, 2006,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49" w:lineRule="exact"/>
        <w:rPr>
          <w:sz w:val="20"/>
          <w:szCs w:val="20"/>
          <w:color w:val="auto"/>
        </w:rPr>
      </w:pPr>
    </w:p>
    <w:p>
      <w:pPr>
        <w:ind w:left="800" w:hanging="225"/>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tenants will not pay rent or that we may be unable to renew leases or re-let space at favorable rents as leases expire;</w:t>
      </w:r>
    </w:p>
    <w:p>
      <w:pPr>
        <w:spacing w:after="0" w:line="103" w:lineRule="exact"/>
        <w:rPr>
          <w:rFonts w:ascii="Times New Roman" w:cs="Times New Roman" w:eastAsia="Times New Roman" w:hAnsi="Times New Roman"/>
          <w:sz w:val="18"/>
          <w:szCs w:val="18"/>
          <w:color w:val="auto"/>
        </w:rPr>
      </w:pPr>
    </w:p>
    <w:p>
      <w:pPr>
        <w:ind w:left="800" w:right="500" w:hanging="225"/>
        <w:spacing w:after="0" w:line="325" w:lineRule="auto"/>
        <w:tabs>
          <w:tab w:leader="none" w:pos="8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1" w:lineRule="exact"/>
        <w:rPr>
          <w:rFonts w:ascii="Times New Roman" w:cs="Times New Roman" w:eastAsia="Times New Roman" w:hAnsi="Times New Roman"/>
          <w:sz w:val="16"/>
          <w:szCs w:val="16"/>
          <w:color w:val="auto"/>
        </w:rPr>
      </w:pPr>
    </w:p>
    <w:p>
      <w:pPr>
        <w:ind w:left="800" w:right="120" w:hanging="225"/>
        <w:spacing w:after="0" w:line="275" w:lineRule="auto"/>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the number of properties we acquire for our own account, and therefore the amount of capital we invest in acquisitions, may be impacted by our real estate partnership;</w:t>
      </w:r>
    </w:p>
    <w:p>
      <w:pPr>
        <w:spacing w:after="0" w:line="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normally associated with the real estate industry, including risks that:</w:t>
      </w:r>
    </w:p>
    <w:p>
      <w:pPr>
        <w:spacing w:after="0" w:line="21"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occupancy levels at our properties and the amount of rent that we receive from our properties may be lower than expected,</w:t>
      </w:r>
    </w:p>
    <w:p>
      <w:pPr>
        <w:spacing w:after="0" w:line="102" w:lineRule="exact"/>
        <w:rPr>
          <w:rFonts w:ascii="Times New Roman" w:cs="Times New Roman" w:eastAsia="Times New Roman" w:hAnsi="Times New Roman"/>
          <w:sz w:val="27"/>
          <w:szCs w:val="27"/>
          <w:color w:val="auto"/>
          <w:vertAlign w:val="superscript"/>
        </w:rPr>
      </w:pPr>
    </w:p>
    <w:p>
      <w:pPr>
        <w:ind w:left="1260" w:hanging="455"/>
        <w:spacing w:after="0" w:line="181" w:lineRule="auto"/>
        <w:tabs>
          <w:tab w:leader="none" w:pos="1260" w:val="left"/>
        </w:tabs>
        <w:numPr>
          <w:ilvl w:val="1"/>
          <w:numId w:val="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new acquisitions may fail to perform as expected,</w:t>
      </w:r>
    </w:p>
    <w:p>
      <w:pPr>
        <w:spacing w:after="0" w:line="102" w:lineRule="exact"/>
        <w:rPr>
          <w:rFonts w:ascii="Times New Roman" w:cs="Times New Roman" w:eastAsia="Times New Roman" w:hAnsi="Times New Roman"/>
          <w:sz w:val="24"/>
          <w:szCs w:val="24"/>
          <w:color w:val="auto"/>
          <w:vertAlign w:val="superscript"/>
        </w:rPr>
      </w:pPr>
    </w:p>
    <w:p>
      <w:pPr>
        <w:ind w:left="1260" w:hanging="455"/>
        <w:spacing w:after="0" w:line="181" w:lineRule="auto"/>
        <w:tabs>
          <w:tab w:leader="none" w:pos="1260" w:val="left"/>
        </w:tabs>
        <w:numPr>
          <w:ilvl w:val="1"/>
          <w:numId w:val="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competition for acquisitions could result in increased prices for acquisitions,</w:t>
      </w:r>
    </w:p>
    <w:p>
      <w:pPr>
        <w:spacing w:after="0" w:line="102" w:lineRule="exact"/>
        <w:rPr>
          <w:rFonts w:ascii="Times New Roman" w:cs="Times New Roman" w:eastAsia="Times New Roman" w:hAnsi="Times New Roman"/>
          <w:sz w:val="24"/>
          <w:szCs w:val="24"/>
          <w:color w:val="auto"/>
          <w:vertAlign w:val="superscript"/>
        </w:rPr>
      </w:pPr>
    </w:p>
    <w:p>
      <w:pPr>
        <w:ind w:left="1260" w:hanging="455"/>
        <w:spacing w:after="0" w:line="181" w:lineRule="auto"/>
        <w:tabs>
          <w:tab w:leader="none" w:pos="1260" w:val="left"/>
        </w:tabs>
        <w:numPr>
          <w:ilvl w:val="1"/>
          <w:numId w:val="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environmental issues may develop at our properties and result in unanticipated costs, and</w:t>
      </w:r>
    </w:p>
    <w:p>
      <w:pPr>
        <w:spacing w:after="0" w:line="102" w:lineRule="exact"/>
        <w:rPr>
          <w:rFonts w:ascii="Times New Roman" w:cs="Times New Roman" w:eastAsia="Times New Roman" w:hAnsi="Times New Roman"/>
          <w:sz w:val="24"/>
          <w:szCs w:val="24"/>
          <w:color w:val="auto"/>
          <w:vertAlign w:val="superscript"/>
        </w:rPr>
      </w:pPr>
    </w:p>
    <w:p>
      <w:pPr>
        <w:ind w:left="1260" w:hanging="455"/>
        <w:spacing w:after="0" w:line="181" w:lineRule="auto"/>
        <w:tabs>
          <w:tab w:leader="none" w:pos="1260" w:val="left"/>
        </w:tabs>
        <w:numPr>
          <w:ilvl w:val="1"/>
          <w:numId w:val="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because real estate is illiquid, we may not be able to sell properties when appropriate;</w:t>
      </w:r>
    </w:p>
    <w:p>
      <w:pPr>
        <w:spacing w:after="0" w:line="102" w:lineRule="exact"/>
        <w:rPr>
          <w:rFonts w:ascii="Times New Roman" w:cs="Times New Roman" w:eastAsia="Times New Roman" w:hAnsi="Times New Roman"/>
          <w:sz w:val="24"/>
          <w:szCs w:val="24"/>
          <w:color w:val="auto"/>
          <w:vertAlign w:val="superscript"/>
        </w:rPr>
      </w:pPr>
    </w:p>
    <w:p>
      <w:pPr>
        <w:ind w:left="800" w:hanging="225"/>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growth will be limited if we cannot obtain additional capital;</w:t>
      </w:r>
    </w:p>
    <w:p>
      <w:pPr>
        <w:spacing w:after="0" w:line="83" w:lineRule="exact"/>
        <w:rPr>
          <w:rFonts w:ascii="Times New Roman" w:cs="Times New Roman" w:eastAsia="Times New Roman" w:hAnsi="Times New Roman"/>
          <w:sz w:val="18"/>
          <w:szCs w:val="18"/>
          <w:color w:val="auto"/>
        </w:rPr>
      </w:pPr>
    </w:p>
    <w:p>
      <w:pPr>
        <w:ind w:left="800" w:right="240" w:hanging="225"/>
        <w:spacing w:after="0" w:line="262" w:lineRule="auto"/>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7" w:lineRule="exact"/>
        <w:rPr>
          <w:rFonts w:ascii="Times New Roman" w:cs="Times New Roman" w:eastAsia="Times New Roman" w:hAnsi="Times New Roman"/>
          <w:sz w:val="18"/>
          <w:szCs w:val="18"/>
          <w:color w:val="auto"/>
        </w:rPr>
      </w:pPr>
    </w:p>
    <w:p>
      <w:pPr>
        <w:ind w:left="800" w:right="240" w:hanging="225"/>
        <w:spacing w:after="0" w:line="262" w:lineRule="auto"/>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19" w:lineRule="exact"/>
        <w:rPr>
          <w:sz w:val="20"/>
          <w:szCs w:val="20"/>
          <w:color w:val="auto"/>
        </w:rPr>
      </w:pPr>
    </w:p>
    <w:p>
      <w:pPr>
        <w:ind w:right="180" w:firstLine="571"/>
        <w:spacing w:after="0" w:line="262" w:lineRule="auto"/>
        <w:rPr>
          <w:sz w:val="20"/>
          <w:szCs w:val="20"/>
          <w:color w:val="auto"/>
        </w:rPr>
      </w:pPr>
      <w:r>
        <w:rPr>
          <w:rFonts w:ascii="Times New Roman" w:cs="Times New Roman" w:eastAsia="Times New Roman" w:hAnsi="Times New Roman"/>
          <w:sz w:val="18"/>
          <w:szCs w:val="18"/>
          <w:color w:val="auto"/>
        </w:rPr>
        <w:t>Given these uncertainties, readers are cautioned not to place undue reliance on these forward-looking statements or those incorporated by reference into this prospectus supplement and the accompanying prospectus. Except as may be required by law, we make no promise to update any of the forward-looking statements whether as a result of new information, future events or otherwise.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58" w:lineRule="exact"/>
        <w:rPr>
          <w:sz w:val="20"/>
          <w:szCs w:val="20"/>
          <w:color w:val="auto"/>
        </w:rPr>
      </w:pPr>
    </w:p>
    <w:p>
      <w:pPr>
        <w:ind w:left="240" w:right="20"/>
        <w:spacing w:after="0" w:line="342" w:lineRule="auto"/>
        <w:rPr>
          <w:sz w:val="20"/>
          <w:szCs w:val="20"/>
          <w:color w:val="auto"/>
        </w:rPr>
      </w:pPr>
      <w:r>
        <w:rPr>
          <w:rFonts w:ascii="Times New Roman" w:cs="Times New Roman" w:eastAsia="Times New Roman" w:hAnsi="Times New Roman"/>
          <w:sz w:val="16"/>
          <w:szCs w:val="16"/>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w:t>
      </w:r>
    </w:p>
    <w:p>
      <w:pPr>
        <w:spacing w:after="0" w:line="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Trust</w:t>
      </w:r>
    </w:p>
    <w:p>
      <w:pPr>
        <w:spacing w:after="0" w:line="160" w:lineRule="exact"/>
        <w:rPr>
          <w:sz w:val="20"/>
          <w:szCs w:val="20"/>
          <w:color w:val="auto"/>
        </w:rPr>
      </w:pPr>
    </w:p>
    <w:p>
      <w:pPr>
        <w:ind w:firstLine="571"/>
        <w:spacing w:after="0" w:line="256" w:lineRule="auto"/>
        <w:rPr>
          <w:sz w:val="20"/>
          <w:szCs w:val="20"/>
          <w:color w:val="auto"/>
        </w:rPr>
      </w:pPr>
      <w:r>
        <w:rPr>
          <w:rFonts w:ascii="Times New Roman" w:cs="Times New Roman" w:eastAsia="Times New Roman" w:hAnsi="Times New Roman"/>
          <w:sz w:val="18"/>
          <w:szCs w:val="18"/>
          <w:color w:val="auto"/>
        </w:rPr>
        <w:t>Federal Realty Investment Trust is an equity real estate investment trust specializing in the ownership, management, development and redevelopment of high-quality retail and mixed-use properties. As of March 31, 2006, we owned or had an interest in 104 community and neighborhood shopping centers, and mixed-use properties comprising approximately 17.6 million square feet, located primarily in densely populated and affluent communities throughout the Northeast and Mid-Atlantic United States, as well as California, and one apartment complex in Maryland. A joint venture in which we own a 30% interest owned four neighborhood shopping centers totaling approximately 0.5 million square feet as of March 31, 2006.</w:t>
      </w:r>
    </w:p>
    <w:p>
      <w:pPr>
        <w:spacing w:after="0" w:line="125" w:lineRule="exact"/>
        <w:rPr>
          <w:sz w:val="20"/>
          <w:szCs w:val="20"/>
          <w:color w:val="auto"/>
        </w:rPr>
      </w:pPr>
    </w:p>
    <w:p>
      <w:pPr>
        <w:ind w:right="20" w:firstLine="571"/>
        <w:spacing w:after="0" w:line="262" w:lineRule="auto"/>
        <w:rPr>
          <w:sz w:val="20"/>
          <w:szCs w:val="20"/>
          <w:color w:val="auto"/>
        </w:rPr>
      </w:pPr>
      <w:r>
        <w:rPr>
          <w:rFonts w:ascii="Times New Roman" w:cs="Times New Roman" w:eastAsia="Times New Roman" w:hAnsi="Times New Roman"/>
          <w:sz w:val="18"/>
          <w:szCs w:val="18"/>
          <w:color w:val="auto"/>
        </w:rPr>
        <w:t>We operate in a manner intended to qualify as a real estate investment trust for tax purposes pursuant to provisions of the Internal Revenue Code. Our offices are located at 1626 East Jefferson Street, Rockville, Maryland 20852. Our telephone number is (301) 998-8100 or (800) 658-8980. Our website address is www.federalrealty.com. The information contained on our website is not a part of this prospectus supplement.</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60" w:lineRule="exact"/>
        <w:rPr>
          <w:sz w:val="20"/>
          <w:szCs w:val="20"/>
          <w:color w:val="auto"/>
        </w:rPr>
      </w:pPr>
    </w:p>
    <w:p>
      <w:pPr>
        <w:jc w:val="both"/>
        <w:ind w:right="120" w:firstLine="571"/>
        <w:spacing w:after="0" w:line="262" w:lineRule="auto"/>
        <w:rPr>
          <w:sz w:val="20"/>
          <w:szCs w:val="20"/>
          <w:color w:val="auto"/>
        </w:rPr>
      </w:pPr>
      <w:r>
        <w:rPr>
          <w:rFonts w:ascii="Times New Roman" w:cs="Times New Roman" w:eastAsia="Times New Roman" w:hAnsi="Times New Roman"/>
          <w:sz w:val="18"/>
          <w:szCs w:val="18"/>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Securities Offered</w:t>
            </w:r>
          </w:p>
        </w:tc>
        <w:tc>
          <w:tcPr>
            <w:tcW w:w="27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aggregate principal amount of</w:t>
            </w:r>
          </w:p>
        </w:tc>
        <w:tc>
          <w:tcPr>
            <w:tcW w:w="2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Notes due 2012, and</w:t>
            </w:r>
          </w:p>
        </w:tc>
      </w:tr>
      <w:tr>
        <w:trPr>
          <w:trHeight w:val="228"/>
        </w:trPr>
        <w:tc>
          <w:tcPr>
            <w:tcW w:w="3840" w:type="dxa"/>
            <w:vAlign w:val="bottom"/>
          </w:tcPr>
          <w:p>
            <w:pPr>
              <w:spacing w:after="0"/>
              <w:rPr>
                <w:sz w:val="19"/>
                <w:szCs w:val="19"/>
                <w:color w:val="auto"/>
              </w:rPr>
            </w:pPr>
          </w:p>
        </w:tc>
        <w:tc>
          <w:tcPr>
            <w:tcW w:w="27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aggregate principal amount of</w:t>
            </w:r>
          </w:p>
        </w:tc>
        <w:tc>
          <w:tcPr>
            <w:tcW w:w="2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Notes due 2017.</w:t>
            </w:r>
          </w:p>
        </w:tc>
      </w:tr>
      <w:tr>
        <w:trPr>
          <w:trHeight w:val="312"/>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Maturity</w:t>
            </w:r>
          </w:p>
        </w:tc>
        <w:tc>
          <w:tcPr>
            <w:tcW w:w="7460" w:type="dxa"/>
            <w:vAlign w:val="bottom"/>
            <w:gridSpan w:val="4"/>
          </w:tcPr>
          <w:p>
            <w:pPr>
              <w:ind w:left="2220"/>
              <w:spacing w:after="0"/>
              <w:rPr>
                <w:sz w:val="20"/>
                <w:szCs w:val="20"/>
                <w:color w:val="auto"/>
              </w:rPr>
            </w:pPr>
            <w:r>
              <w:rPr>
                <w:rFonts w:ascii="Times New Roman" w:cs="Times New Roman" w:eastAsia="Times New Roman" w:hAnsi="Times New Roman"/>
                <w:sz w:val="18"/>
                <w:szCs w:val="18"/>
                <w:color w:val="auto"/>
                <w:w w:val="96"/>
              </w:rPr>
              <w:t>Unless redeemed prior to maturity as described below, the 2012 Notes will</w:t>
            </w:r>
          </w:p>
        </w:tc>
      </w:tr>
      <w:tr>
        <w:trPr>
          <w:trHeight w:val="216"/>
        </w:trPr>
        <w:tc>
          <w:tcPr>
            <w:tcW w:w="3840" w:type="dxa"/>
            <w:vAlign w:val="bottom"/>
          </w:tcPr>
          <w:p>
            <w:pPr>
              <w:spacing w:after="0"/>
              <w:rPr>
                <w:sz w:val="18"/>
                <w:szCs w:val="18"/>
                <w:color w:val="auto"/>
              </w:rPr>
            </w:pPr>
          </w:p>
        </w:tc>
        <w:tc>
          <w:tcPr>
            <w:tcW w:w="7460" w:type="dxa"/>
            <w:vAlign w:val="bottom"/>
            <w:gridSpan w:val="4"/>
          </w:tcPr>
          <w:p>
            <w:pPr>
              <w:ind w:left="2220"/>
              <w:spacing w:after="0"/>
              <w:rPr>
                <w:sz w:val="20"/>
                <w:szCs w:val="20"/>
                <w:color w:val="auto"/>
              </w:rPr>
            </w:pPr>
            <w:r>
              <w:rPr>
                <w:rFonts w:ascii="Times New Roman" w:cs="Times New Roman" w:eastAsia="Times New Roman" w:hAnsi="Times New Roman"/>
                <w:sz w:val="18"/>
                <w:szCs w:val="18"/>
                <w:color w:val="auto"/>
              </w:rPr>
              <w:t>mature on July 15, 2012, and the 2017 Notes will mature on January 15</w:t>
            </w:r>
          </w:p>
        </w:tc>
      </w:tr>
      <w:tr>
        <w:trPr>
          <w:trHeight w:val="228"/>
        </w:trPr>
        <w:tc>
          <w:tcPr>
            <w:tcW w:w="3840" w:type="dxa"/>
            <w:vAlign w:val="bottom"/>
          </w:tcPr>
          <w:p>
            <w:pPr>
              <w:spacing w:after="0"/>
              <w:rPr>
                <w:sz w:val="19"/>
                <w:szCs w:val="19"/>
                <w:color w:val="auto"/>
              </w:rPr>
            </w:pPr>
          </w:p>
        </w:tc>
        <w:tc>
          <w:tcPr>
            <w:tcW w:w="27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2017.</w:t>
            </w:r>
          </w:p>
        </w:tc>
        <w:tc>
          <w:tcPr>
            <w:tcW w:w="1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12"/>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7460" w:type="dxa"/>
            <w:vAlign w:val="bottom"/>
            <w:gridSpan w:val="4"/>
          </w:tcPr>
          <w:p>
            <w:pPr>
              <w:ind w:left="2220"/>
              <w:spacing w:after="0"/>
              <w:rPr>
                <w:sz w:val="20"/>
                <w:szCs w:val="20"/>
                <w:color w:val="auto"/>
              </w:rPr>
            </w:pPr>
            <w:r>
              <w:rPr>
                <w:rFonts w:ascii="Times New Roman" w:cs="Times New Roman" w:eastAsia="Times New Roman" w:hAnsi="Times New Roman"/>
                <w:sz w:val="18"/>
                <w:szCs w:val="18"/>
                <w:color w:val="auto"/>
              </w:rPr>
              <w:t>Interest on the notes will be payable semi-annually in arrears on</w:t>
            </w:r>
          </w:p>
        </w:tc>
      </w:tr>
      <w:tr>
        <w:trPr>
          <w:trHeight w:val="228"/>
        </w:trPr>
        <w:tc>
          <w:tcPr>
            <w:tcW w:w="3840" w:type="dxa"/>
            <w:vAlign w:val="bottom"/>
          </w:tcPr>
          <w:p>
            <w:pPr>
              <w:spacing w:after="0"/>
              <w:rPr>
                <w:sz w:val="19"/>
                <w:szCs w:val="19"/>
                <w:color w:val="auto"/>
              </w:rPr>
            </w:pPr>
          </w:p>
        </w:tc>
        <w:tc>
          <w:tcPr>
            <w:tcW w:w="27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and</w:t>
            </w:r>
          </w:p>
        </w:tc>
        <w:tc>
          <w:tcPr>
            <w:tcW w:w="1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commencing</w:t>
            </w:r>
          </w:p>
        </w:tc>
        <w:tc>
          <w:tcPr>
            <w:tcW w:w="3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2007, and at maturity.</w:t>
            </w:r>
          </w:p>
        </w:tc>
      </w:tr>
      <w:tr>
        <w:trPr>
          <w:trHeight w:val="312"/>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Ranking</w:t>
            </w:r>
          </w:p>
        </w:tc>
        <w:tc>
          <w:tcPr>
            <w:tcW w:w="7460" w:type="dxa"/>
            <w:vAlign w:val="bottom"/>
            <w:gridSpan w:val="4"/>
          </w:tcPr>
          <w:p>
            <w:pPr>
              <w:ind w:left="2220"/>
              <w:spacing w:after="0"/>
              <w:rPr>
                <w:sz w:val="20"/>
                <w:szCs w:val="20"/>
                <w:color w:val="auto"/>
              </w:rPr>
            </w:pPr>
            <w:r>
              <w:rPr>
                <w:rFonts w:ascii="Times New Roman" w:cs="Times New Roman" w:eastAsia="Times New Roman" w:hAnsi="Times New Roman"/>
                <w:sz w:val="18"/>
                <w:szCs w:val="18"/>
                <w:color w:val="auto"/>
                <w:w w:val="98"/>
              </w:rPr>
              <w:t xml:space="preserve">The notes will rank </w:t>
            </w:r>
            <w:r>
              <w:rPr>
                <w:rFonts w:ascii="Times New Roman" w:cs="Times New Roman" w:eastAsia="Times New Roman" w:hAnsi="Times New Roman"/>
                <w:sz w:val="18"/>
                <w:szCs w:val="18"/>
                <w:i w:val="1"/>
                <w:iCs w:val="1"/>
                <w:color w:val="auto"/>
                <w:w w:val="98"/>
              </w:rPr>
              <w:t>pari passu</w:t>
            </w:r>
            <w:r>
              <w:rPr>
                <w:rFonts w:ascii="Times New Roman" w:cs="Times New Roman" w:eastAsia="Times New Roman" w:hAnsi="Times New Roman"/>
                <w:sz w:val="18"/>
                <w:szCs w:val="18"/>
                <w:color w:val="auto"/>
                <w:w w:val="98"/>
              </w:rPr>
              <w:t>, or equally, with all of our other unsecured</w:t>
            </w:r>
          </w:p>
        </w:tc>
      </w:tr>
      <w:tr>
        <w:trPr>
          <w:trHeight w:val="216"/>
        </w:trPr>
        <w:tc>
          <w:tcPr>
            <w:tcW w:w="3840" w:type="dxa"/>
            <w:vAlign w:val="bottom"/>
          </w:tcPr>
          <w:p>
            <w:pPr>
              <w:spacing w:after="0"/>
              <w:rPr>
                <w:sz w:val="18"/>
                <w:szCs w:val="18"/>
                <w:color w:val="auto"/>
              </w:rPr>
            </w:pPr>
          </w:p>
        </w:tc>
        <w:tc>
          <w:tcPr>
            <w:tcW w:w="7460" w:type="dxa"/>
            <w:vAlign w:val="bottom"/>
            <w:gridSpan w:val="4"/>
          </w:tcPr>
          <w:p>
            <w:pPr>
              <w:ind w:left="2220"/>
              <w:spacing w:after="0"/>
              <w:rPr>
                <w:sz w:val="20"/>
                <w:szCs w:val="20"/>
                <w:color w:val="auto"/>
              </w:rPr>
            </w:pPr>
            <w:r>
              <w:rPr>
                <w:rFonts w:ascii="Times New Roman" w:cs="Times New Roman" w:eastAsia="Times New Roman" w:hAnsi="Times New Roman"/>
                <w:sz w:val="18"/>
                <w:szCs w:val="18"/>
                <w:color w:val="auto"/>
              </w:rPr>
              <w:t>and unsubordinated indebtedness, and the notes will be effectively</w:t>
            </w:r>
          </w:p>
        </w:tc>
      </w:tr>
      <w:tr>
        <w:trPr>
          <w:trHeight w:val="228"/>
        </w:trPr>
        <w:tc>
          <w:tcPr>
            <w:tcW w:w="3840" w:type="dxa"/>
            <w:vAlign w:val="bottom"/>
          </w:tcPr>
          <w:p>
            <w:pPr>
              <w:spacing w:after="0"/>
              <w:rPr>
                <w:sz w:val="19"/>
                <w:szCs w:val="19"/>
                <w:color w:val="auto"/>
              </w:rPr>
            </w:pPr>
          </w:p>
        </w:tc>
        <w:tc>
          <w:tcPr>
            <w:tcW w:w="7460" w:type="dxa"/>
            <w:vAlign w:val="bottom"/>
            <w:gridSpan w:val="4"/>
          </w:tcPr>
          <w:p>
            <w:pPr>
              <w:ind w:left="2220"/>
              <w:spacing w:after="0"/>
              <w:rPr>
                <w:sz w:val="20"/>
                <w:szCs w:val="20"/>
                <w:color w:val="auto"/>
              </w:rPr>
            </w:pPr>
            <w:r>
              <w:rPr>
                <w:rFonts w:ascii="Times New Roman" w:cs="Times New Roman" w:eastAsia="Times New Roman" w:hAnsi="Times New Roman"/>
                <w:sz w:val="18"/>
                <w:szCs w:val="18"/>
                <w:color w:val="auto"/>
              </w:rPr>
              <w:t>subordinated to the prior claims of each secured mortgage lender to any</w:t>
            </w:r>
          </w:p>
        </w:tc>
      </w:tr>
    </w:tbl>
    <w:p>
      <w:pPr>
        <w:ind w:left="6060"/>
        <w:spacing w:after="0"/>
        <w:rPr>
          <w:sz w:val="20"/>
          <w:szCs w:val="20"/>
          <w:color w:val="auto"/>
        </w:rPr>
      </w:pPr>
      <w:r>
        <w:rPr>
          <w:rFonts w:ascii="Times New Roman" w:cs="Times New Roman" w:eastAsia="Times New Roman" w:hAnsi="Times New Roman"/>
          <w:sz w:val="18"/>
          <w:szCs w:val="18"/>
          <w:color w:val="auto"/>
        </w:rPr>
        <w:t>specific property which secures such lender’s mortgage and to all of the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unsecured indebtedness issued by our subsidiaries. After giving effect to</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this offering and to the use of proceeds from this offering, we will have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outstanding approximately $269 million of secured indebtedness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collateralized by all or parts of 13 properties, approximately $11 million of</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unsecured indebtedness issued by our subsidiaries and approximately $967</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million of other unsecured indebtedness ranking equally with the notes.</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360"/>
          </w:cols>
          <w:pgMar w:left="240" w:top="455" w:right="2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2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Our net proceeds from this offering are estimated to be $</w:t>
            </w: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million</w:t>
            </w:r>
          </w:p>
        </w:tc>
      </w:tr>
      <w:tr>
        <w:trPr>
          <w:trHeight w:val="216"/>
        </w:trPr>
        <w:tc>
          <w:tcPr>
            <w:tcW w:w="4240" w:type="dxa"/>
            <w:vAlign w:val="bottom"/>
          </w:tcPr>
          <w:p>
            <w:pPr>
              <w:spacing w:after="0"/>
              <w:rPr>
                <w:sz w:val="18"/>
                <w:szCs w:val="18"/>
                <w:color w:val="auto"/>
              </w:rPr>
            </w:pPr>
          </w:p>
        </w:tc>
        <w:tc>
          <w:tcPr>
            <w:tcW w:w="7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w w:val="98"/>
              </w:rPr>
              <w:t>after deducting the underwriting discount and other estimated expenses of</w:t>
            </w:r>
          </w:p>
        </w:tc>
      </w:tr>
      <w:tr>
        <w:trPr>
          <w:trHeight w:val="216"/>
        </w:trPr>
        <w:tc>
          <w:tcPr>
            <w:tcW w:w="4240" w:type="dxa"/>
            <w:vAlign w:val="bottom"/>
          </w:tcPr>
          <w:p>
            <w:pPr>
              <w:spacing w:after="0"/>
              <w:rPr>
                <w:sz w:val="18"/>
                <w:szCs w:val="18"/>
                <w:color w:val="auto"/>
              </w:rPr>
            </w:pPr>
          </w:p>
        </w:tc>
        <w:tc>
          <w:tcPr>
            <w:tcW w:w="7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this offering. We expect to use these net proceeds to reduce amounts</w:t>
            </w:r>
          </w:p>
        </w:tc>
      </w:tr>
      <w:tr>
        <w:trPr>
          <w:trHeight w:val="216"/>
        </w:trPr>
        <w:tc>
          <w:tcPr>
            <w:tcW w:w="4240" w:type="dxa"/>
            <w:vAlign w:val="bottom"/>
          </w:tcPr>
          <w:p>
            <w:pPr>
              <w:spacing w:after="0"/>
              <w:rPr>
                <w:sz w:val="18"/>
                <w:szCs w:val="18"/>
                <w:color w:val="auto"/>
              </w:rPr>
            </w:pPr>
          </w:p>
        </w:tc>
        <w:tc>
          <w:tcPr>
            <w:tcW w:w="7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w w:val="96"/>
              </w:rPr>
              <w:t>outstanding under our unsecured credit facility, including our $150 million</w:t>
            </w:r>
          </w:p>
        </w:tc>
      </w:tr>
      <w:tr>
        <w:trPr>
          <w:trHeight w:val="216"/>
        </w:trPr>
        <w:tc>
          <w:tcPr>
            <w:tcW w:w="4240" w:type="dxa"/>
            <w:vAlign w:val="bottom"/>
          </w:tcPr>
          <w:p>
            <w:pPr>
              <w:spacing w:after="0"/>
              <w:rPr>
                <w:sz w:val="18"/>
                <w:szCs w:val="18"/>
                <w:color w:val="auto"/>
              </w:rPr>
            </w:pPr>
          </w:p>
        </w:tc>
        <w:tc>
          <w:tcPr>
            <w:tcW w:w="7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five-year term loan and our $100 million three-year term loan, and for</w:t>
            </w:r>
          </w:p>
        </w:tc>
      </w:tr>
      <w:tr>
        <w:trPr>
          <w:trHeight w:val="216"/>
        </w:trPr>
        <w:tc>
          <w:tcPr>
            <w:tcW w:w="4240" w:type="dxa"/>
            <w:vAlign w:val="bottom"/>
          </w:tcPr>
          <w:p>
            <w:pPr>
              <w:spacing w:after="0"/>
              <w:rPr>
                <w:sz w:val="18"/>
                <w:szCs w:val="18"/>
                <w:color w:val="auto"/>
              </w:rPr>
            </w:pPr>
          </w:p>
        </w:tc>
        <w:tc>
          <w:tcPr>
            <w:tcW w:w="7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w w:val="99"/>
              </w:rPr>
              <w:t>general corporate purposes. See “Use of Proceeds” on page S-7 for more</w:t>
            </w:r>
          </w:p>
        </w:tc>
      </w:tr>
      <w:tr>
        <w:trPr>
          <w:trHeight w:val="228"/>
        </w:trPr>
        <w:tc>
          <w:tcPr>
            <w:tcW w:w="4240" w:type="dxa"/>
            <w:vAlign w:val="bottom"/>
          </w:tcPr>
          <w:p>
            <w:pPr>
              <w:spacing w:after="0"/>
              <w:rPr>
                <w:sz w:val="19"/>
                <w:szCs w:val="19"/>
                <w:color w:val="auto"/>
              </w:rPr>
            </w:pPr>
          </w:p>
        </w:tc>
        <w:tc>
          <w:tcPr>
            <w:tcW w:w="62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information.</w:t>
            </w:r>
          </w:p>
        </w:tc>
        <w:tc>
          <w:tcPr>
            <w:tcW w:w="800" w:type="dxa"/>
            <w:vAlign w:val="bottom"/>
          </w:tcPr>
          <w:p>
            <w:pPr>
              <w:spacing w:after="0"/>
              <w:rPr>
                <w:sz w:val="19"/>
                <w:szCs w:val="19"/>
                <w:color w:val="auto"/>
              </w:rPr>
            </w:pPr>
          </w:p>
        </w:tc>
      </w:tr>
      <w:tr>
        <w:trPr>
          <w:trHeight w:val="32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Limitations on Incurrence of Debt</w:t>
            </w:r>
          </w:p>
        </w:tc>
        <w:tc>
          <w:tcPr>
            <w:tcW w:w="6260" w:type="dxa"/>
            <w:vAlign w:val="bottom"/>
          </w:tcPr>
          <w:p>
            <w:pPr>
              <w:ind w:left="1820"/>
              <w:spacing w:after="0"/>
              <w:rPr>
                <w:sz w:val="20"/>
                <w:szCs w:val="20"/>
                <w:color w:val="auto"/>
              </w:rPr>
            </w:pPr>
            <w:r>
              <w:rPr>
                <w:rFonts w:ascii="Times New Roman" w:cs="Times New Roman" w:eastAsia="Times New Roman" w:hAnsi="Times New Roman"/>
                <w:sz w:val="18"/>
                <w:szCs w:val="18"/>
                <w:color w:val="auto"/>
                <w:w w:val="99"/>
              </w:rPr>
              <w:t>The notes contain various covenants, including the following:</w:t>
            </w:r>
          </w:p>
        </w:tc>
        <w:tc>
          <w:tcPr>
            <w:tcW w:w="800" w:type="dxa"/>
            <w:vAlign w:val="bottom"/>
          </w:tcPr>
          <w:p>
            <w:pPr>
              <w:spacing w:after="0"/>
              <w:rPr>
                <w:sz w:val="24"/>
                <w:szCs w:val="24"/>
                <w:color w:val="auto"/>
              </w:rPr>
            </w:pPr>
          </w:p>
        </w:tc>
      </w:tr>
      <w:tr>
        <w:trPr>
          <w:trHeight w:val="284"/>
        </w:trPr>
        <w:tc>
          <w:tcPr>
            <w:tcW w:w="4240" w:type="dxa"/>
            <w:vAlign w:val="bottom"/>
          </w:tcPr>
          <w:p>
            <w:pPr>
              <w:spacing w:after="0"/>
              <w:rPr>
                <w:sz w:val="24"/>
                <w:szCs w:val="24"/>
                <w:color w:val="auto"/>
              </w:rPr>
            </w:pPr>
          </w:p>
        </w:tc>
        <w:tc>
          <w:tcPr>
            <w:tcW w:w="70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(1) we will not, and will not permit any subsidiary to, incur any Debt if,</w:t>
            </w:r>
          </w:p>
        </w:tc>
      </w:tr>
    </w:tbl>
    <w:p>
      <w:pPr>
        <w:ind w:left="6060"/>
        <w:spacing w:after="0"/>
        <w:rPr>
          <w:sz w:val="20"/>
          <w:szCs w:val="20"/>
          <w:color w:val="auto"/>
        </w:rPr>
      </w:pPr>
      <w:r>
        <w:rPr>
          <w:rFonts w:ascii="Times New Roman" w:cs="Times New Roman" w:eastAsia="Times New Roman" w:hAnsi="Times New Roman"/>
          <w:sz w:val="18"/>
          <w:szCs w:val="18"/>
          <w:color w:val="auto"/>
        </w:rPr>
        <w:t>immediately after giving effect to the incurrence of such Debt and the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application of the proceeds thereof, the aggregate principal amount of all of</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our outstanding Debt and our subsidiaries on a consolidated basis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determined in accordance with generally accepted accounting principles is</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greater than 60% of the sum of (without duplication) (a) Total Assets as of</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the end of the calendar quarter covered in our Annual Report on Form 10-K</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or Quarterly Report on Form 10-Q, as the case may be, most recently filed</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with the SEC (or, if such filing is not permitted under the Exchange Act,</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with the Trustee) prior to the incurrence of such additional Debt and (b) the</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purchase price of any real estate assets or mortgages receivable acquired,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and the amount of any securities offering proceeds received (to the extent</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such proceeds were not used to acquire real estate assets or mortgages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receivable or used to reduce Debt), by us or any subsidiary since the end of</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such calendar quarter, including those proceeds obtained in connection with</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 incurrence of such additional Debt;</w:t>
      </w:r>
    </w:p>
    <w:p>
      <w:pPr>
        <w:spacing w:after="0" w:line="6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(2) we will not, and will not permit any subsidiary to, incur any Debt</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secured by any mortgage, lien, charge, pledge, encumbrance or security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interest of any kind upon any of our or any of our subsidiaries’ property if,</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immediately after giving effect to the incurrence of such Debt and the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application of the proceeds thereof, the aggregate principal amount of all of</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our and our subsidiaries’ outstanding Debt on a consolidated basis which is</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secured by any mortgage, lien, charge, pledge, encumbrance or security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interest on our or our subsidiaries’ property is greater than 40% of the sum</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of (without duplication) (a) Total Assets as of the end of the calendar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quarter covered in our Annual Report on Form 10-K or Quarterly Report on</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Form 10-Q, as</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 case may be, most recently filed with the SEC (or, if such filing is not</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permitted under the Exchange Act, with the Trustee) prior to the incurrence</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of such additional Debt and (b) the purchase price of any real estate assets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or mortgages receivable acquired, and the amount of any securities offering</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proceeds received (to the extent such proceeds were not used to acquire real</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estate assets or mortgages receivable or used to reduce Debt), by us or any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subsidiary since the end of such calendar quarter, including those proceeds</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obtained in connection with the incurrence of such additional Debt;</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provided that for purposes of this limitation, the amount of obligations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under capital leases shown as a liability on our consolidated balance sheet</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shall be deducted from Debt and from Total Assets;</w:t>
      </w:r>
    </w:p>
    <w:p>
      <w:pPr>
        <w:spacing w:after="0" w:line="6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(3) we will not, and will not permit any subsidiary to, incur any Debt if the</w:t>
      </w:r>
    </w:p>
    <w:p>
      <w:pPr>
        <w:spacing w:after="0" w:line="4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ratio of Consolidated Income Available for Debt Service to the Annual Debt</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Service Charge for the four consecutive fiscal quarters most recently ended</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prior to the date on which such additional Debt is to be incurred shall have</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been less than 1.5 to 1, on an unaudited pro forma basis after giving effect</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thereto and to the application of the proceeds therefrom and calculated 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 assumption that (a) such Debt and any other Debt incurred by us and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our subsidiaries since the first day of such four-quarter period and the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application of the proceeds therefrom, including to refinance other Debt,</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had occurred at the beginning of such period; (b) the repayment or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retirement of any other Debt by us and our subsidiaries since the first day of</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such four-quarter period had been repaid or retired at the beginning of such</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period (except that, in making such computation, the amount of Debt under</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any revolving credit facility shall be computed based upon the average daily</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balance of such Debt during such period); (c) in the case of Acquired Debt</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or Debt incurred in connection with any acquisition since the first day of</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such four-quarter period, the related acquisition had occurred as of the first</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day of such period, with the appropriate adjustments with respect to such</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acquisition being included in such unaudited pro forma calculation; and (d)</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auto"/>
        </w:rPr>
        <w:t>in the case of any acquisition or disposition by us or our subsidiaries of any</w:t>
      </w:r>
    </w:p>
    <w:p>
      <w:pPr>
        <w:spacing w:after="0" w:line="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asset or group of assets since the first day of such four-quarter period,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whether by merger, stock</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786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w w:val="97"/>
              </w:rPr>
              <w:t>purchase or sale, or asset purchase or sale, such acquisition or disposition or</w:t>
            </w:r>
          </w:p>
        </w:tc>
      </w:tr>
      <w:tr>
        <w:trPr>
          <w:trHeight w:val="216"/>
        </w:trPr>
        <w:tc>
          <w:tcPr>
            <w:tcW w:w="3560" w:type="dxa"/>
            <w:vAlign w:val="bottom"/>
          </w:tcPr>
          <w:p>
            <w:pPr>
              <w:spacing w:after="0"/>
              <w:rPr>
                <w:sz w:val="18"/>
                <w:szCs w:val="18"/>
                <w:color w:val="auto"/>
              </w:rPr>
            </w:pPr>
          </w:p>
        </w:tc>
        <w:tc>
          <w:tcPr>
            <w:tcW w:w="786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any related repayment of Debt had occurred as of the first day of such</w:t>
            </w:r>
          </w:p>
        </w:tc>
      </w:tr>
      <w:tr>
        <w:trPr>
          <w:trHeight w:val="216"/>
        </w:trPr>
        <w:tc>
          <w:tcPr>
            <w:tcW w:w="3560" w:type="dxa"/>
            <w:vAlign w:val="bottom"/>
          </w:tcPr>
          <w:p>
            <w:pPr>
              <w:spacing w:after="0"/>
              <w:rPr>
                <w:sz w:val="18"/>
                <w:szCs w:val="18"/>
                <w:color w:val="auto"/>
              </w:rPr>
            </w:pPr>
          </w:p>
        </w:tc>
        <w:tc>
          <w:tcPr>
            <w:tcW w:w="786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w w:val="98"/>
              </w:rPr>
              <w:t>period, with the appropriate adjustments with respect to such acquisition or</w:t>
            </w:r>
          </w:p>
        </w:tc>
      </w:tr>
      <w:tr>
        <w:trPr>
          <w:trHeight w:val="228"/>
        </w:trPr>
        <w:tc>
          <w:tcPr>
            <w:tcW w:w="3560" w:type="dxa"/>
            <w:vAlign w:val="bottom"/>
          </w:tcPr>
          <w:p>
            <w:pPr>
              <w:spacing w:after="0"/>
              <w:rPr>
                <w:sz w:val="19"/>
                <w:szCs w:val="19"/>
                <w:color w:val="auto"/>
              </w:rPr>
            </w:pPr>
          </w:p>
        </w:tc>
        <w:tc>
          <w:tcPr>
            <w:tcW w:w="786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disposition being included in such unaudited pro forma calculation; and</w:t>
            </w:r>
          </w:p>
        </w:tc>
      </w:tr>
      <w:tr>
        <w:trPr>
          <w:trHeight w:val="271"/>
        </w:trPr>
        <w:tc>
          <w:tcPr>
            <w:tcW w:w="3560" w:type="dxa"/>
            <w:vAlign w:val="bottom"/>
          </w:tcPr>
          <w:p>
            <w:pPr>
              <w:spacing w:after="0"/>
              <w:rPr>
                <w:sz w:val="23"/>
                <w:szCs w:val="23"/>
                <w:color w:val="auto"/>
              </w:rPr>
            </w:pPr>
          </w:p>
        </w:tc>
        <w:tc>
          <w:tcPr>
            <w:tcW w:w="786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(4) we, together with our subsidiaries, will maintain an Unencumbered</w:t>
            </w:r>
          </w:p>
        </w:tc>
      </w:tr>
      <w:tr>
        <w:trPr>
          <w:trHeight w:val="216"/>
        </w:trPr>
        <w:tc>
          <w:tcPr>
            <w:tcW w:w="3560" w:type="dxa"/>
            <w:vAlign w:val="bottom"/>
          </w:tcPr>
          <w:p>
            <w:pPr>
              <w:spacing w:after="0"/>
              <w:rPr>
                <w:sz w:val="18"/>
                <w:szCs w:val="18"/>
                <w:color w:val="auto"/>
              </w:rPr>
            </w:pPr>
          </w:p>
        </w:tc>
        <w:tc>
          <w:tcPr>
            <w:tcW w:w="786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Total Asset Value in an amount not less than 150% of the aggregate</w:t>
            </w:r>
          </w:p>
        </w:tc>
      </w:tr>
      <w:tr>
        <w:trPr>
          <w:trHeight w:val="216"/>
        </w:trPr>
        <w:tc>
          <w:tcPr>
            <w:tcW w:w="3560" w:type="dxa"/>
            <w:vAlign w:val="bottom"/>
          </w:tcPr>
          <w:p>
            <w:pPr>
              <w:spacing w:after="0"/>
              <w:rPr>
                <w:sz w:val="18"/>
                <w:szCs w:val="18"/>
                <w:color w:val="auto"/>
              </w:rPr>
            </w:pPr>
          </w:p>
        </w:tc>
        <w:tc>
          <w:tcPr>
            <w:tcW w:w="786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outstanding principal amount of all of our and our subsidiaries’ unsecured</w:t>
            </w:r>
          </w:p>
        </w:tc>
      </w:tr>
      <w:tr>
        <w:trPr>
          <w:trHeight w:val="228"/>
        </w:trPr>
        <w:tc>
          <w:tcPr>
            <w:tcW w:w="3560" w:type="dxa"/>
            <w:vAlign w:val="bottom"/>
          </w:tcPr>
          <w:p>
            <w:pPr>
              <w:spacing w:after="0"/>
              <w:rPr>
                <w:sz w:val="19"/>
                <w:szCs w:val="19"/>
                <w:color w:val="auto"/>
              </w:rPr>
            </w:pPr>
          </w:p>
        </w:tc>
        <w:tc>
          <w:tcPr>
            <w:tcW w:w="296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Debt.</w:t>
            </w:r>
          </w:p>
        </w:tc>
        <w:tc>
          <w:tcPr>
            <w:tcW w:w="35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25"/>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786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w w:val="98"/>
              </w:rPr>
              <w:t>The notes are redeemable at any time at our option, in whole or in part, at a</w:t>
            </w:r>
          </w:p>
        </w:tc>
      </w:tr>
      <w:tr>
        <w:trPr>
          <w:trHeight w:val="216"/>
        </w:trPr>
        <w:tc>
          <w:tcPr>
            <w:tcW w:w="3560" w:type="dxa"/>
            <w:vAlign w:val="bottom"/>
          </w:tcPr>
          <w:p>
            <w:pPr>
              <w:spacing w:after="0"/>
              <w:rPr>
                <w:sz w:val="18"/>
                <w:szCs w:val="18"/>
                <w:color w:val="auto"/>
              </w:rPr>
            </w:pPr>
          </w:p>
        </w:tc>
        <w:tc>
          <w:tcPr>
            <w:tcW w:w="786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w w:val="97"/>
              </w:rPr>
              <w:t>redemption price equal to the greater of (1) 100% of the principal amount of</w:t>
            </w:r>
          </w:p>
        </w:tc>
      </w:tr>
      <w:tr>
        <w:trPr>
          <w:trHeight w:val="216"/>
        </w:trPr>
        <w:tc>
          <w:tcPr>
            <w:tcW w:w="3560" w:type="dxa"/>
            <w:vAlign w:val="bottom"/>
          </w:tcPr>
          <w:p>
            <w:pPr>
              <w:spacing w:after="0"/>
              <w:rPr>
                <w:sz w:val="18"/>
                <w:szCs w:val="18"/>
                <w:color w:val="auto"/>
              </w:rPr>
            </w:pPr>
          </w:p>
        </w:tc>
        <w:tc>
          <w:tcPr>
            <w:tcW w:w="786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the notes being redeemed, or (2) the sum of the present values of the</w:t>
            </w:r>
          </w:p>
        </w:tc>
      </w:tr>
      <w:tr>
        <w:trPr>
          <w:trHeight w:val="216"/>
        </w:trPr>
        <w:tc>
          <w:tcPr>
            <w:tcW w:w="3560" w:type="dxa"/>
            <w:vAlign w:val="bottom"/>
          </w:tcPr>
          <w:p>
            <w:pPr>
              <w:spacing w:after="0"/>
              <w:rPr>
                <w:sz w:val="18"/>
                <w:szCs w:val="18"/>
                <w:color w:val="auto"/>
              </w:rPr>
            </w:pPr>
          </w:p>
        </w:tc>
        <w:tc>
          <w:tcPr>
            <w:tcW w:w="786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w w:val="98"/>
              </w:rPr>
              <w:t>remaining scheduled payments of principal and interest thereon, discounted</w:t>
            </w:r>
          </w:p>
        </w:tc>
      </w:tr>
      <w:tr>
        <w:trPr>
          <w:trHeight w:val="216"/>
        </w:trPr>
        <w:tc>
          <w:tcPr>
            <w:tcW w:w="3560" w:type="dxa"/>
            <w:vAlign w:val="bottom"/>
          </w:tcPr>
          <w:p>
            <w:pPr>
              <w:spacing w:after="0"/>
              <w:rPr>
                <w:sz w:val="18"/>
                <w:szCs w:val="18"/>
                <w:color w:val="auto"/>
              </w:rPr>
            </w:pPr>
          </w:p>
        </w:tc>
        <w:tc>
          <w:tcPr>
            <w:tcW w:w="786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w w:val="97"/>
              </w:rPr>
              <w:t>to the redemption date on a semi-annual basis at the Adjusted Treasury Rate</w:t>
            </w:r>
          </w:p>
        </w:tc>
      </w:tr>
      <w:tr>
        <w:trPr>
          <w:trHeight w:val="216"/>
        </w:trPr>
        <w:tc>
          <w:tcPr>
            <w:tcW w:w="3560" w:type="dxa"/>
            <w:vAlign w:val="bottom"/>
          </w:tcPr>
          <w:p>
            <w:pPr>
              <w:spacing w:after="0"/>
              <w:rPr>
                <w:sz w:val="18"/>
                <w:szCs w:val="18"/>
                <w:color w:val="auto"/>
              </w:rPr>
            </w:pPr>
          </w:p>
        </w:tc>
        <w:tc>
          <w:tcPr>
            <w:tcW w:w="296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plus</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basis points, in the case of the 2012 Notes, and</w:t>
            </w:r>
          </w:p>
        </w:tc>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basis points in</w:t>
            </w:r>
          </w:p>
        </w:tc>
      </w:tr>
      <w:tr>
        <w:trPr>
          <w:trHeight w:val="216"/>
        </w:trPr>
        <w:tc>
          <w:tcPr>
            <w:tcW w:w="3560" w:type="dxa"/>
            <w:vAlign w:val="bottom"/>
          </w:tcPr>
          <w:p>
            <w:pPr>
              <w:spacing w:after="0"/>
              <w:rPr>
                <w:sz w:val="18"/>
                <w:szCs w:val="18"/>
                <w:color w:val="auto"/>
              </w:rPr>
            </w:pPr>
          </w:p>
        </w:tc>
        <w:tc>
          <w:tcPr>
            <w:tcW w:w="786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the case of the 2017 Notes, plus, in each case, accrued interest thereon to</w:t>
            </w:r>
          </w:p>
        </w:tc>
      </w:tr>
      <w:tr>
        <w:trPr>
          <w:trHeight w:val="216"/>
        </w:trPr>
        <w:tc>
          <w:tcPr>
            <w:tcW w:w="3560" w:type="dxa"/>
            <w:vAlign w:val="bottom"/>
          </w:tcPr>
          <w:p>
            <w:pPr>
              <w:spacing w:after="0"/>
              <w:rPr>
                <w:sz w:val="18"/>
                <w:szCs w:val="18"/>
                <w:color w:val="auto"/>
              </w:rPr>
            </w:pPr>
          </w:p>
        </w:tc>
        <w:tc>
          <w:tcPr>
            <w:tcW w:w="786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the redemption date. A detailed description is in “Description of Notes —</w:t>
            </w:r>
          </w:p>
        </w:tc>
      </w:tr>
      <w:tr>
        <w:trPr>
          <w:trHeight w:val="228"/>
        </w:trPr>
        <w:tc>
          <w:tcPr>
            <w:tcW w:w="3560" w:type="dxa"/>
            <w:vAlign w:val="bottom"/>
          </w:tcPr>
          <w:p>
            <w:pPr>
              <w:spacing w:after="0"/>
              <w:rPr>
                <w:sz w:val="19"/>
                <w:szCs w:val="19"/>
                <w:color w:val="auto"/>
              </w:rPr>
            </w:pPr>
          </w:p>
        </w:tc>
        <w:tc>
          <w:tcPr>
            <w:tcW w:w="648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Optional Redemption.”</w:t>
            </w:r>
          </w:p>
        </w:tc>
        <w:tc>
          <w:tcPr>
            <w:tcW w:w="1380" w:type="dxa"/>
            <w:vAlign w:val="bottom"/>
          </w:tcPr>
          <w:p>
            <w:pPr>
              <w:spacing w:after="0"/>
              <w:rPr>
                <w:sz w:val="19"/>
                <w:szCs w:val="19"/>
                <w:color w:val="auto"/>
              </w:rPr>
            </w:pPr>
          </w:p>
        </w:tc>
      </w:tr>
      <w:tr>
        <w:trPr>
          <w:trHeight w:val="365"/>
        </w:trPr>
        <w:tc>
          <w:tcPr>
            <w:tcW w:w="3560" w:type="dxa"/>
            <w:vAlign w:val="bottom"/>
          </w:tcPr>
          <w:p>
            <w:pPr>
              <w:spacing w:after="0"/>
              <w:rPr>
                <w:sz w:val="24"/>
                <w:szCs w:val="24"/>
                <w:color w:val="auto"/>
              </w:rPr>
            </w:pPr>
          </w:p>
        </w:tc>
        <w:tc>
          <w:tcPr>
            <w:tcW w:w="29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S-4</w:t>
            </w:r>
          </w:p>
        </w:tc>
        <w:tc>
          <w:tcPr>
            <w:tcW w:w="35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58"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the notes involves a significant degree of risk. You should carefully consider the following risk factors, together with all of the other information included or incorporated by reference in this prospectus supplement, including the additional risk factors included in our Annual Report on Form 10-K filed with the SEC on March 3, 2006 and amended on March 10, 2006, before you decide to purchase the notes. The risks and uncertainties described below and in the referenced Form 10-K, as amended, are not the only ones we may confront. Additional risks and uncertainties not currently known to us or that we currently deem immaterial also may impair our business operations. If any of those risks actually occur, our financial condition, operating results and prospects could be materially adversely affected. This section contains forward-looking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dependent on intercompany cash flows to satisfy our obligations under the notes.</w:t>
      </w:r>
    </w:p>
    <w:p>
      <w:pPr>
        <w:spacing w:after="0" w:line="79" w:lineRule="exact"/>
        <w:rPr>
          <w:sz w:val="20"/>
          <w:szCs w:val="20"/>
          <w:color w:val="auto"/>
        </w:rPr>
      </w:pPr>
    </w:p>
    <w:p>
      <w:pPr>
        <w:ind w:firstLine="571"/>
        <w:spacing w:after="0" w:line="254" w:lineRule="auto"/>
        <w:rPr>
          <w:sz w:val="20"/>
          <w:szCs w:val="20"/>
          <w:color w:val="auto"/>
        </w:rPr>
      </w:pPr>
      <w:r>
        <w:rPr>
          <w:rFonts w:ascii="Times New Roman" w:cs="Times New Roman" w:eastAsia="Times New Roman" w:hAnsi="Times New Roman"/>
          <w:sz w:val="18"/>
          <w:szCs w:val="18"/>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necessary funds from these sources on acceptable terms or at all.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notes are structurally subordinated to the claims of our subsidiaries’ creditors and the subsidiaries’ preferred equity holders.</w:t>
      </w:r>
    </w:p>
    <w:p>
      <w:pPr>
        <w:spacing w:after="0" w:line="79" w:lineRule="exact"/>
        <w:rPr>
          <w:sz w:val="20"/>
          <w:szCs w:val="20"/>
          <w:color w:val="auto"/>
        </w:rPr>
      </w:pPr>
    </w:p>
    <w:p>
      <w:pPr>
        <w:ind w:right="120" w:firstLine="571"/>
        <w:spacing w:after="0" w:line="254" w:lineRule="auto"/>
        <w:rPr>
          <w:sz w:val="20"/>
          <w:szCs w:val="20"/>
          <w:color w:val="auto"/>
        </w:rPr>
      </w:pPr>
      <w:r>
        <w:rPr>
          <w:rFonts w:ascii="Times New Roman" w:cs="Times New Roman" w:eastAsia="Times New Roman" w:hAnsi="Times New Roman"/>
          <w:sz w:val="18"/>
          <w:szCs w:val="18"/>
          <w:color w:val="auto"/>
        </w:rPr>
        <w:t>Because the notes are not guaranteed by our subsidiaries, the notes effectively will be subordinated in right of payment to all of their existing and future liabilities. As a result, in the event of a bankruptcy, liquidation, dissolution, reorganization or similar proceeding with respect to any of the subsidiaries, the holders of any indebtedness of that subsidiary will be entitled to obtain payment of that indebtedness from the assets of that subsidiary before the holders of any of our general unsecured obligations, including the notes. At June 30, 2006, after giving effect to this offering and the application of the net proceeds, our subsidiaries had approximately $95 million of debt outstanding,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notes are unsecured and are effectively subordinated to our secured indebtedness.</w:t>
      </w:r>
    </w:p>
    <w:p>
      <w:pPr>
        <w:spacing w:after="0" w:line="79"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Because the notes will be unsecured, they will be effectively subordinated to any of our secured indebtedness to the extent of the value of the assets securing the indebtedness. The indenture permits us and our subsidiaries to incur additional secured indebtedness, provided that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June 30, 2006, after giving effect to this offering and the application of the net proceeds, we had approximately $270 million of secured debt outstanding, all of which was effectively senior to the notes to the extent of the value of the securing assets.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 active public trading market for the notes may not develop.</w:t>
      </w:r>
    </w:p>
    <w:p>
      <w:pPr>
        <w:spacing w:after="0" w:line="79" w:lineRule="exact"/>
        <w:rPr>
          <w:sz w:val="20"/>
          <w:szCs w:val="20"/>
          <w:color w:val="auto"/>
        </w:rPr>
      </w:pPr>
    </w:p>
    <w:p>
      <w:pPr>
        <w:ind w:firstLine="571"/>
        <w:spacing w:after="0" w:line="262" w:lineRule="auto"/>
        <w:rPr>
          <w:sz w:val="20"/>
          <w:szCs w:val="20"/>
          <w:color w:val="auto"/>
        </w:rPr>
      </w:pPr>
      <w:r>
        <w:rPr>
          <w:rFonts w:ascii="Times New Roman" w:cs="Times New Roman" w:eastAsia="Times New Roman" w:hAnsi="Times New Roman"/>
          <w:sz w:val="18"/>
          <w:szCs w:val="18"/>
          <w:color w:val="auto"/>
        </w:rPr>
        <w:t>The notes will be new issues of securities for which there is currently no market. We do not intend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liquidity of any market for the notes will depend upon various factors, including:</w:t>
      </w:r>
    </w:p>
    <w:p>
      <w:pPr>
        <w:spacing w:after="0" w:line="77" w:lineRule="exact"/>
        <w:rPr>
          <w:sz w:val="20"/>
          <w:szCs w:val="20"/>
          <w:color w:val="auto"/>
        </w:rPr>
      </w:pPr>
    </w:p>
    <w:p>
      <w:pPr>
        <w:ind w:left="800" w:hanging="225"/>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holders of the notes;</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of securities dealers in making a market for the notes;</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market for debt securities;</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prospects; and</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for companies in our industry generally.</w:t>
      </w:r>
    </w:p>
    <w:p>
      <w:pPr>
        <w:spacing w:after="0" w:line="185" w:lineRule="exact"/>
        <w:rPr>
          <w:sz w:val="20"/>
          <w:szCs w:val="20"/>
          <w:color w:val="auto"/>
        </w:rPr>
      </w:pPr>
    </w:p>
    <w:p>
      <w:pPr>
        <w:ind w:right="140" w:firstLine="571"/>
        <w:spacing w:after="0" w:line="275" w:lineRule="auto"/>
        <w:rPr>
          <w:sz w:val="20"/>
          <w:szCs w:val="20"/>
          <w:color w:val="auto"/>
        </w:rPr>
      </w:pPr>
      <w:r>
        <w:rPr>
          <w:rFonts w:ascii="Times New Roman" w:cs="Times New Roman" w:eastAsia="Times New Roman" w:hAnsi="Times New Roman"/>
          <w:sz w:val="18"/>
          <w:szCs w:val="18"/>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1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240"/>
          </w:cols>
          <w:pgMar w:left="240" w:top="455" w:right="41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0" w:lineRule="exact"/>
        <w:rPr>
          <w:sz w:val="20"/>
          <w:szCs w:val="20"/>
          <w:color w:val="auto"/>
        </w:rPr>
      </w:pPr>
    </w:p>
    <w:p>
      <w:pPr>
        <w:ind w:left="580"/>
        <w:spacing w:after="0"/>
        <w:tabs>
          <w:tab w:leader="none" w:pos="8560" w:val="left"/>
        </w:tabs>
        <w:rPr>
          <w:sz w:val="20"/>
          <w:szCs w:val="20"/>
          <w:color w:val="auto"/>
        </w:rPr>
      </w:pPr>
      <w:r>
        <w:rPr>
          <w:rFonts w:ascii="Times New Roman" w:cs="Times New Roman" w:eastAsia="Times New Roman" w:hAnsi="Times New Roman"/>
          <w:sz w:val="18"/>
          <w:szCs w:val="18"/>
          <w:color w:val="auto"/>
        </w:rPr>
        <w:t>The net proceeds to us from the sale of the notes offered by this prospectus supplement are estimated to be $</w:t>
      </w:r>
      <w:r>
        <w:rPr>
          <w:sz w:val="20"/>
          <w:szCs w:val="20"/>
          <w:color w:val="auto"/>
        </w:rPr>
        <w:tab/>
      </w:r>
      <w:r>
        <w:rPr>
          <w:rFonts w:ascii="Times New Roman" w:cs="Times New Roman" w:eastAsia="Times New Roman" w:hAnsi="Times New Roman"/>
          <w:sz w:val="16"/>
          <w:szCs w:val="16"/>
          <w:color w:val="auto"/>
        </w:rPr>
        <w:t>million, after deducting the</w:t>
      </w:r>
    </w:p>
    <w:p>
      <w:pPr>
        <w:spacing w:after="0" w:line="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underwriting discount and other estimated expenses of this offering payable by us. We expect that the sales of the 2012 Notes and the 2017 Notes will occur concurrently. However, the sales of the 2012 Notes and the 2017 Notes are not conditioned upon each other, and we may consummate the sale of one and not the other, or consummate the sales at different times. We intend to use these net proceeds to reduce borrowings under our unsecured credit facility, including our $150 million five-year term loan and our $100 million three-year term loan, and for general corporate purposes. As of March 31, 2006, we had approximately</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$99 million of debt outstanding on our revolving credit facility bearing interest at a weighted average annual rate of 5.0%. Our revolving credit facility matures in October 2006 subject to a one-year extension at our option. The borrowings under our credit facility were used for general corporate purposes, including working capital, property acquisitions and redevelopments. Affiliates of Wachovia Capital Markets, LLC, Citigroup Global Markets Inc. and affiliates of certain other underwriters are lenders under our revolving credit facility and will receive a pro rata portion of any proceeds used to reduce amounts outstanding under the credit facility.</w:t>
      </w:r>
    </w:p>
    <w:p>
      <w:pPr>
        <w:spacing w:after="0" w:line="12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RATIOS OF EARNINGS TO FIXED CHARGES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sets forth our historical ratio of earnings to fixed charges for the periods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6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62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4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w w:val="96"/>
              </w:rPr>
              <w:t>For the Years Ended December 31,</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2005</w:t>
            </w: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2005</w:t>
            </w: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2003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2002</w:t>
            </w:r>
          </w:p>
        </w:tc>
        <w:tc>
          <w:tcPr>
            <w:tcW w:w="220" w:type="dxa"/>
            <w:vAlign w:val="bottom"/>
          </w:tcPr>
          <w:p>
            <w:pPr>
              <w:spacing w:after="0"/>
              <w:rPr>
                <w:sz w:val="22"/>
                <w:szCs w:val="22"/>
                <w:color w:val="auto"/>
              </w:rPr>
            </w:pP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1.9x</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1.8x</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1.8x</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1.7x</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1.6x</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1.2x</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1.4x</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60" w:firstLine="571"/>
        <w:spacing w:after="0" w:line="258" w:lineRule="auto"/>
        <w:rPr>
          <w:sz w:val="20"/>
          <w:szCs w:val="20"/>
          <w:color w:val="auto"/>
        </w:rPr>
      </w:pPr>
      <w:r>
        <w:rPr>
          <w:rFonts w:ascii="Times New Roman" w:cs="Times New Roman" w:eastAsia="Times New Roman" w:hAnsi="Times New Roman"/>
          <w:sz w:val="18"/>
          <w:szCs w:val="18"/>
          <w:color w:val="auto"/>
        </w:rPr>
        <w:t>The ratio of earnings to fixed charges is computed by dividing earnings by fixed charges. In computing the ratio of earnings to fixed charges: (a) earnings consist of income from continuing operations before minority interests plus distributed income of equity investees and fixed charges (excluding capitalized interest) less minority interests of subsidiaries with no fixed charges; and (b) fixed charges consist of interest expense including amortization of debt discounts and issuance costs (including capitalized interest) and the estimated portion of rents payable by us representing interest.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160" w:lineRule="exact"/>
        <w:rPr>
          <w:sz w:val="20"/>
          <w:szCs w:val="20"/>
          <w:color w:val="auto"/>
        </w:rPr>
      </w:pPr>
    </w:p>
    <w:p>
      <w:pPr>
        <w:jc w:val="both"/>
        <w:ind w:right="400" w:firstLine="571"/>
        <w:spacing w:after="0" w:line="262" w:lineRule="auto"/>
        <w:rPr>
          <w:sz w:val="20"/>
          <w:szCs w:val="20"/>
          <w:color w:val="auto"/>
        </w:rPr>
      </w:pPr>
      <w:r>
        <w:rPr>
          <w:rFonts w:ascii="Times New Roman" w:cs="Times New Roman" w:eastAsia="Times New Roman" w:hAnsi="Times New Roman"/>
          <w:sz w:val="18"/>
          <w:szCs w:val="18"/>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79" w:lineRule="exact"/>
        <w:rPr>
          <w:sz w:val="20"/>
          <w:szCs w:val="20"/>
          <w:color w:val="auto"/>
        </w:rPr>
      </w:pPr>
    </w:p>
    <w:p>
      <w:pPr>
        <w:ind w:left="580"/>
        <w:spacing w:after="0"/>
        <w:tabs>
          <w:tab w:leader="none" w:pos="2360" w:val="left"/>
          <w:tab w:leader="none" w:pos="3180" w:val="left"/>
          <w:tab w:leader="none" w:pos="6460" w:val="left"/>
          <w:tab w:leader="none" w:pos="7100" w:val="left"/>
        </w:tabs>
        <w:rPr>
          <w:sz w:val="20"/>
          <w:szCs w:val="20"/>
          <w:color w:val="auto"/>
        </w:rPr>
      </w:pPr>
      <w:r>
        <w:rPr>
          <w:rFonts w:ascii="Times New Roman" w:cs="Times New Roman" w:eastAsia="Times New Roman" w:hAnsi="Times New Roman"/>
          <w:sz w:val="18"/>
          <w:szCs w:val="18"/>
          <w:color w:val="auto"/>
        </w:rPr>
        <w:t>We are offering $</w:t>
      </w:r>
      <w:r>
        <w:rPr>
          <w:sz w:val="20"/>
          <w:szCs w:val="20"/>
          <w:color w:val="auto"/>
        </w:rPr>
        <w:tab/>
      </w:r>
      <w:r>
        <w:rPr>
          <w:rFonts w:ascii="Times New Roman" w:cs="Times New Roman" w:eastAsia="Times New Roman" w:hAnsi="Times New Roman"/>
          <w:sz w:val="18"/>
          <w:szCs w:val="18"/>
          <w:color w:val="auto"/>
        </w:rPr>
        <w:t>of our</w:t>
      </w:r>
      <w:r>
        <w:rPr>
          <w:sz w:val="20"/>
          <w:szCs w:val="20"/>
          <w:color w:val="auto"/>
        </w:rPr>
        <w:tab/>
      </w:r>
      <w:r>
        <w:rPr>
          <w:rFonts w:ascii="Times New Roman" w:cs="Times New Roman" w:eastAsia="Times New Roman" w:hAnsi="Times New Roman"/>
          <w:sz w:val="18"/>
          <w:szCs w:val="18"/>
          <w:color w:val="auto"/>
        </w:rPr>
        <w:t>% notes maturing on July 15, 2012 and $</w:t>
      </w:r>
      <w:r>
        <w:rPr>
          <w:sz w:val="20"/>
          <w:szCs w:val="20"/>
          <w:color w:val="auto"/>
        </w:rPr>
        <w:tab/>
      </w:r>
      <w:r>
        <w:rPr>
          <w:rFonts w:ascii="Times New Roman" w:cs="Times New Roman" w:eastAsia="Times New Roman" w:hAnsi="Times New Roman"/>
          <w:sz w:val="18"/>
          <w:szCs w:val="18"/>
          <w:color w:val="auto"/>
        </w:rPr>
        <w:t>of our</w:t>
      </w:r>
      <w:r>
        <w:rPr>
          <w:sz w:val="20"/>
          <w:szCs w:val="20"/>
          <w:color w:val="auto"/>
        </w:rPr>
        <w:tab/>
      </w:r>
      <w:r>
        <w:rPr>
          <w:rFonts w:ascii="Times New Roman" w:cs="Times New Roman" w:eastAsia="Times New Roman" w:hAnsi="Times New Roman"/>
          <w:sz w:val="16"/>
          <w:szCs w:val="16"/>
          <w:color w:val="auto"/>
        </w:rPr>
        <w:t>% notes maturing on January 15, 2017, all of which may be</w:t>
      </w:r>
    </w:p>
    <w:p>
      <w:pPr>
        <w:spacing w:after="0" w:line="2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redeemed prior to that date in accordance with their terms. The 2012 Notes and the 2017 Notes are to be issued as separate series of debt securities under the senior indenture, which is more fully described in the accompanying prospectus.</w:t>
      </w:r>
    </w:p>
    <w:p>
      <w:pPr>
        <w:sectPr>
          <w:pgSz w:w="11900" w:h="16838" w:orient="portrait"/>
          <w:cols w:equalWidth="0" w:num="1">
            <w:col w:w="11400"/>
          </w:cols>
          <w:pgMar w:left="240" w:top="455" w:right="259" w:bottom="1440" w:gutter="0" w:footer="0" w:header="0"/>
        </w:sectPr>
      </w:pPr>
    </w:p>
    <w:p>
      <w:pPr>
        <w:spacing w:after="0" w:line="1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will pay interest on the notes semi-annually in arrears on</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and</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of each year, commencing</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2007, to the registered</w:t>
      </w:r>
    </w:p>
    <w:p>
      <w:pPr>
        <w:spacing w:after="0" w:line="43" w:lineRule="exact"/>
        <w:rPr>
          <w:sz w:val="20"/>
          <w:szCs w:val="20"/>
          <w:color w:val="auto"/>
        </w:rPr>
      </w:pPr>
    </w:p>
    <w:p>
      <w:pPr>
        <w:sectPr>
          <w:pgSz w:w="11900" w:h="16838" w:orient="portrait"/>
          <w:cols w:equalWidth="0" w:num="4">
            <w:col w:w="4940" w:space="720"/>
            <w:col w:w="380" w:space="720"/>
            <w:col w:w="1920" w:space="720"/>
            <w:col w:w="2000"/>
          </w:cols>
          <w:pgMar w:left="240" w:top="455" w:right="259" w:bottom="1440" w:gutter="0" w:footer="0" w:header="0"/>
          <w:type w:val="continuous"/>
        </w:sectPr>
      </w:pPr>
    </w:p>
    <w:p>
      <w:pPr>
        <w:spacing w:after="0"/>
        <w:tabs>
          <w:tab w:leader="none" w:pos="3420" w:val="left"/>
          <w:tab w:leader="none" w:pos="4460" w:val="left"/>
        </w:tabs>
        <w:rPr>
          <w:sz w:val="20"/>
          <w:szCs w:val="20"/>
          <w:color w:val="auto"/>
        </w:rPr>
      </w:pPr>
      <w:r>
        <w:rPr>
          <w:rFonts w:ascii="Times New Roman" w:cs="Times New Roman" w:eastAsia="Times New Roman" w:hAnsi="Times New Roman"/>
          <w:sz w:val="18"/>
          <w:szCs w:val="18"/>
          <w:color w:val="auto"/>
        </w:rPr>
        <w:t>holders of the notes on the preceding</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6"/>
          <w:szCs w:val="16"/>
          <w:color w:val="auto"/>
        </w:rPr>
        <w:t>.</w:t>
      </w:r>
    </w:p>
    <w:p>
      <w:pPr>
        <w:sectPr>
          <w:pgSz w:w="11900" w:h="16838" w:orient="portrait"/>
          <w:cols w:equalWidth="0" w:num="1">
            <w:col w:w="11400"/>
          </w:cols>
          <w:pgMar w:left="240" w:top="455" w:right="259" w:bottom="1440" w:gutter="0" w:footer="0" w:header="0"/>
          <w:type w:val="continuous"/>
        </w:sectPr>
      </w:pP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defeasance and covenant defeasance provisions of the senior indenture apply to the notes. The notes will not be entitled to the benefit of any sinking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w:t>
      </w:r>
    </w:p>
    <w:p>
      <w:pPr>
        <w:spacing w:after="0" w:line="145" w:lineRule="exact"/>
        <w:rPr>
          <w:sz w:val="20"/>
          <w:szCs w:val="20"/>
          <w:color w:val="auto"/>
        </w:rPr>
      </w:pPr>
    </w:p>
    <w:p>
      <w:pPr>
        <w:ind w:right="300" w:firstLine="571"/>
        <w:spacing w:after="0" w:line="289" w:lineRule="auto"/>
        <w:rPr>
          <w:sz w:val="20"/>
          <w:szCs w:val="20"/>
          <w:color w:val="auto"/>
        </w:rPr>
      </w:pPr>
      <w:r>
        <w:rPr>
          <w:rFonts w:ascii="Times New Roman" w:cs="Times New Roman" w:eastAsia="Times New Roman" w:hAnsi="Times New Roman"/>
          <w:sz w:val="16"/>
          <w:szCs w:val="16"/>
          <w:color w:val="auto"/>
        </w:rPr>
        <w:t>The senior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The 2012</w:t>
      </w:r>
    </w:p>
    <w:p>
      <w:pPr>
        <w:spacing w:after="0" w:line="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Notes will be initially limited to $ in aggregate principal amount and the 2017 Notes will be initially limited to $ in aggregate principal amount. At any time and without the consent of the then existing holders, we may issue additional debt securities, having the same terms as the 2012 Notes or the 2017 Notes, as applicable, other than the date of original issuance, the issue price, the date on which interest begins to accrue and, in some circumstances, the first interest payment date, such that these additional debt securities will form a single series with the 2012 Notes or the 2017 Notes, as applicable.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77" w:lineRule="exact"/>
        <w:rPr>
          <w:sz w:val="20"/>
          <w:szCs w:val="20"/>
          <w:color w:val="auto"/>
        </w:rPr>
      </w:pPr>
    </w:p>
    <w:p>
      <w:pPr>
        <w:ind w:firstLine="571"/>
        <w:spacing w:after="0" w:line="257" w:lineRule="auto"/>
        <w:rPr>
          <w:sz w:val="20"/>
          <w:szCs w:val="20"/>
          <w:color w:val="auto"/>
        </w:rPr>
      </w:pPr>
      <w:r>
        <w:rPr>
          <w:rFonts w:ascii="Times New Roman" w:cs="Times New Roman" w:eastAsia="Times New Roman" w:hAnsi="Times New Roman"/>
          <w:sz w:val="18"/>
          <w:szCs w:val="18"/>
          <w:color w:val="auto"/>
        </w:rPr>
        <w:t xml:space="preserve">The notes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or equally, with all of our other unsecured and unsubordinated indebtedness, and the notes will be effectively subordinated to the prior claims of each secured mortgage lender to any specific property which secures such lender’s mortgage and to all of the unsecured indebtedness issued by our subsidiaries. After giving effect to this offering and to the use of proceeds from this offering, we will have outstanding approximately $269 million of secured indebtedness collateralized by all or parts of 13 properties, approximately $11 million of unsecured indebtedness issued by our subsidiaries and approximately $967 million of other unsecured indebtedness ranking equally with the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79" w:lineRule="exact"/>
        <w:rPr>
          <w:sz w:val="20"/>
          <w:szCs w:val="20"/>
          <w:color w:val="auto"/>
        </w:rPr>
      </w:pPr>
    </w:p>
    <w:p>
      <w:pPr>
        <w:jc w:val="both"/>
        <w:ind w:right="20" w:firstLine="571"/>
        <w:spacing w:after="0" w:line="287" w:lineRule="auto"/>
        <w:rPr>
          <w:sz w:val="20"/>
          <w:szCs w:val="20"/>
          <w:color w:val="auto"/>
        </w:rPr>
      </w:pPr>
      <w:r>
        <w:rPr>
          <w:rFonts w:ascii="Times New Roman" w:cs="Times New Roman" w:eastAsia="Times New Roman" w:hAnsi="Times New Roman"/>
          <w:sz w:val="16"/>
          <w:szCs w:val="16"/>
          <w:color w:val="auto"/>
        </w:rPr>
        <w:t>We may redeem the notes at any time in whole or from time to time in part at a redemption price equal to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w:t>
      </w:r>
    </w:p>
    <w:p>
      <w:pPr>
        <w:spacing w:after="0" w:line="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semi-annual basis (assuming a 360-day year consisting of twelve 30-day months) at the Adjusted Treasury Rate (as defined below) plus basis points, in the case of the 2012 Notes, and basis points in the case of the 2017 Notes plus, in each case, accrued interest thereon to the redemption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w:t>
      </w:r>
    </w:p>
    <w:p>
      <w:pPr>
        <w:spacing w:after="0" w:line="156" w:lineRule="exact"/>
        <w:rPr>
          <w:sz w:val="20"/>
          <w:szCs w:val="20"/>
          <w:color w:val="auto"/>
        </w:rPr>
      </w:pPr>
    </w:p>
    <w:p>
      <w:pPr>
        <w:ind w:right="360" w:firstLine="57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Treasury Rate</w:t>
      </w:r>
      <w:r>
        <w:rPr>
          <w:rFonts w:ascii="Times New Roman" w:cs="Times New Roman" w:eastAsia="Times New Roman" w:hAnsi="Times New Roman"/>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14" w:lineRule="exact"/>
        <w:rPr>
          <w:sz w:val="20"/>
          <w:szCs w:val="20"/>
          <w:color w:val="auto"/>
        </w:rPr>
      </w:pPr>
    </w:p>
    <w:p>
      <w:pPr>
        <w:ind w:right="280" w:firstLine="57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Treasury Issue</w:t>
      </w:r>
      <w:r>
        <w:rPr>
          <w:rFonts w:ascii="Times New Roman" w:cs="Times New Roman" w:eastAsia="Times New Roman" w:hAnsi="Times New Roman"/>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400"/>
          </w:cols>
          <w:pgMar w:left="240" w:top="455" w:right="25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00" w:firstLine="57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Treasury Price</w:t>
      </w:r>
      <w:r>
        <w:rPr>
          <w:rFonts w:ascii="Times New Roman" w:cs="Times New Roman" w:eastAsia="Times New Roman" w:hAnsi="Times New Roman"/>
          <w:sz w:val="18"/>
          <w:szCs w:val="18"/>
          <w:color w:val="auto"/>
        </w:rPr>
        <w:t>” means, with respect to any redemption date, (1) the average of the Reference Treasury Dealer Quotations for such redemption date, after excluding the highest and lowest such Reference Treasury Dealer Quotations, or (2) if the Trustee obtains fewer than three such Reference Treasury Dealer Quotations, the average of all such Quotations.</w:t>
      </w:r>
    </w:p>
    <w:p>
      <w:pPr>
        <w:spacing w:after="0" w:line="1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Quotation Agent</w:t>
      </w:r>
      <w:r>
        <w:rPr>
          <w:rFonts w:ascii="Times New Roman" w:cs="Times New Roman" w:eastAsia="Times New Roman" w:hAnsi="Times New Roman"/>
          <w:sz w:val="18"/>
          <w:szCs w:val="18"/>
          <w:color w:val="auto"/>
        </w:rPr>
        <w:t>” means the Reference Treasury Dealer appointed by us.</w:t>
      </w:r>
    </w:p>
    <w:p>
      <w:pPr>
        <w:spacing w:after="0" w:line="158" w:lineRule="exact"/>
        <w:rPr>
          <w:sz w:val="20"/>
          <w:szCs w:val="20"/>
          <w:color w:val="auto"/>
        </w:rPr>
      </w:pPr>
    </w:p>
    <w:p>
      <w:pPr>
        <w:ind w:right="240" w:firstLine="57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Reference Treasury Dealer</w:t>
      </w:r>
      <w:r>
        <w:rPr>
          <w:rFonts w:ascii="Times New Roman" w:cs="Times New Roman" w:eastAsia="Times New Roman" w:hAnsi="Times New Roman"/>
          <w:sz w:val="18"/>
          <w:szCs w:val="18"/>
          <w:color w:val="auto"/>
        </w:rPr>
        <w:t xml:space="preserve">” means (1) each of Citigroup Global Markets Inc., Merrill Lynch, Pierce, Fenner &amp; Smith Incorporated and one other primary U.S. Government securities dealer in New York City selected by Wachovia Capital Markets, LLC, and their respective successors;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any of the foregoing cease to be a primary U.S. Government securities dealer (a “Primary Treasury Dealer”), we will substitute therefor another Primary Treasury Dealer; and (2) any other Primary Treasury Dealer selected by us.</w:t>
      </w:r>
    </w:p>
    <w:p>
      <w:pPr>
        <w:spacing w:after="0" w:line="119" w:lineRule="exact"/>
        <w:rPr>
          <w:sz w:val="20"/>
          <w:szCs w:val="20"/>
          <w:color w:val="auto"/>
        </w:rPr>
      </w:pPr>
    </w:p>
    <w:p>
      <w:pPr>
        <w:jc w:val="both"/>
        <w:ind w:right="60" w:firstLine="57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Reference Treasury Dealer Quotations</w:t>
      </w:r>
      <w:r>
        <w:rPr>
          <w:rFonts w:ascii="Times New Roman" w:cs="Times New Roman" w:eastAsia="Times New Roman" w:hAnsi="Times New Roman"/>
          <w:sz w:val="18"/>
          <w:szCs w:val="18"/>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16" w:lineRule="exact"/>
        <w:rPr>
          <w:sz w:val="20"/>
          <w:szCs w:val="20"/>
          <w:color w:val="auto"/>
        </w:rPr>
      </w:pPr>
    </w:p>
    <w:p>
      <w:pPr>
        <w:ind w:firstLine="571"/>
        <w:spacing w:after="0" w:line="262" w:lineRule="auto"/>
        <w:rPr>
          <w:sz w:val="20"/>
          <w:szCs w:val="20"/>
          <w:color w:val="auto"/>
        </w:rPr>
      </w:pPr>
      <w:r>
        <w:rPr>
          <w:rFonts w:ascii="Times New Roman" w:cs="Times New Roman" w:eastAsia="Times New Roman" w:hAnsi="Times New Roman"/>
          <w:sz w:val="18"/>
          <w:szCs w:val="18"/>
          <w:color w:val="auto"/>
        </w:rPr>
        <w:t>Notice of any redemption will be mailed at least 30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77" w:lineRule="exact"/>
        <w:rPr>
          <w:sz w:val="20"/>
          <w:szCs w:val="20"/>
          <w:color w:val="auto"/>
        </w:rPr>
      </w:pPr>
    </w:p>
    <w:p>
      <w:pPr>
        <w:ind w:right="220" w:firstLine="571"/>
        <w:spacing w:after="0" w:line="254" w:lineRule="auto"/>
        <w:rPr>
          <w:sz w:val="20"/>
          <w:szCs w:val="20"/>
          <w:color w:val="auto"/>
        </w:rPr>
      </w:pPr>
      <w:r>
        <w:rPr>
          <w:rFonts w:ascii="Times New Roman" w:cs="Times New Roman" w:eastAsia="Times New Roman" w:hAnsi="Times New Roman"/>
          <w:sz w:val="18"/>
          <w:szCs w:val="18"/>
          <w:i w:val="1"/>
          <w:iCs w:val="1"/>
          <w:color w:val="auto"/>
        </w:rPr>
        <w:t>Limitations on Incurrence of Debt</w:t>
      </w:r>
      <w:r>
        <w:rPr>
          <w:rFonts w:ascii="Times New Roman" w:cs="Times New Roman" w:eastAsia="Times New Roman" w:hAnsi="Times New Roman"/>
          <w:sz w:val="18"/>
          <w:szCs w:val="18"/>
          <w:color w:val="auto"/>
        </w:rPr>
        <w:t>. The notes will provide that we will not, and will not permit any subsidiary to, incur any Debt if, immediately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giving effect to the incurrence of such Debt and the application of the proceeds thereof, the aggregate principal amount of all of our outstanding Debt and our subsidiaries on a consolidated basis determined in accordance with generally accepted accounting principles is greater than 60%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27" w:lineRule="exact"/>
        <w:rPr>
          <w:sz w:val="20"/>
          <w:szCs w:val="20"/>
          <w:color w:val="auto"/>
        </w:rPr>
      </w:pPr>
    </w:p>
    <w:p>
      <w:pPr>
        <w:ind w:firstLine="571"/>
        <w:spacing w:after="0" w:line="253" w:lineRule="auto"/>
        <w:rPr>
          <w:sz w:val="20"/>
          <w:szCs w:val="20"/>
          <w:color w:val="auto"/>
        </w:rPr>
      </w:pPr>
      <w:r>
        <w:rPr>
          <w:rFonts w:ascii="Times New Roman" w:cs="Times New Roman" w:eastAsia="Times New Roman" w:hAnsi="Times New Roman"/>
          <w:sz w:val="18"/>
          <w:szCs w:val="18"/>
          <w:color w:val="auto"/>
        </w:rPr>
        <w:t>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subsidiary’s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8"/>
          <w:szCs w:val="18"/>
          <w:color w:val="auto"/>
        </w:rPr>
        <w:t xml:space="preserve">any subsidiary since the end of such calendar quarter, including those proceeds obtained in connection with the incurrence of such additional Debt;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for purposes of this limitation, the amount of obligations under capital leases shown as a liability on our consolidated balance sheet shall be deducted from Debt and from Total Assets.</w:t>
      </w:r>
    </w:p>
    <w:p>
      <w:pPr>
        <w:spacing w:after="0" w:line="116" w:lineRule="exact"/>
        <w:rPr>
          <w:sz w:val="20"/>
          <w:szCs w:val="20"/>
          <w:color w:val="auto"/>
        </w:rPr>
      </w:pPr>
    </w:p>
    <w:p>
      <w:pPr>
        <w:ind w:firstLine="571"/>
        <w:spacing w:after="0" w:line="252" w:lineRule="auto"/>
        <w:rPr>
          <w:sz w:val="20"/>
          <w:szCs w:val="20"/>
          <w:color w:val="auto"/>
        </w:rPr>
      </w:pPr>
      <w:r>
        <w:rPr>
          <w:rFonts w:ascii="Times New Roman" w:cs="Times New Roman" w:eastAsia="Times New Roman" w:hAnsi="Times New Roman"/>
          <w:sz w:val="18"/>
          <w:szCs w:val="18"/>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 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30" w:lineRule="exact"/>
        <w:rPr>
          <w:sz w:val="20"/>
          <w:szCs w:val="20"/>
          <w:color w:val="auto"/>
        </w:rPr>
      </w:pPr>
    </w:p>
    <w:p>
      <w:pPr>
        <w:ind w:right="40" w:firstLine="571"/>
        <w:spacing w:after="0" w:line="342" w:lineRule="auto"/>
        <w:rPr>
          <w:sz w:val="20"/>
          <w:szCs w:val="20"/>
          <w:color w:val="auto"/>
        </w:rPr>
      </w:pPr>
      <w:r>
        <w:rPr>
          <w:rFonts w:ascii="Times New Roman" w:cs="Times New Roman" w:eastAsia="Times New Roman" w:hAnsi="Times New Roman"/>
          <w:sz w:val="16"/>
          <w:szCs w:val="16"/>
          <w:i w:val="1"/>
          <w:iCs w:val="1"/>
          <w:color w:val="auto"/>
        </w:rPr>
        <w:t>Maintenance of Unencumbered Total Asset Value</w:t>
      </w:r>
      <w:r>
        <w:rPr>
          <w:rFonts w:ascii="Times New Roman" w:cs="Times New Roman" w:eastAsia="Times New Roman" w:hAnsi="Times New Roman"/>
          <w:sz w:val="16"/>
          <w:szCs w:val="16"/>
          <w:color w:val="auto"/>
        </w:rPr>
        <w:t>. The notes will provide that we, together with our subsidiaries, will at all times maintain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Unencumbered Total Asset Value in an amount not less than 150% of the aggregate outstanding principal amount of all our and our subsidiaries’ unsecured Debt.</w:t>
      </w:r>
    </w:p>
    <w:p>
      <w:pPr>
        <w:spacing w:after="0" w:line="56" w:lineRule="exact"/>
        <w:rPr>
          <w:sz w:val="20"/>
          <w:szCs w:val="20"/>
          <w:color w:val="auto"/>
        </w:rPr>
      </w:pPr>
    </w:p>
    <w:p>
      <w:pPr>
        <w:ind w:right="100" w:firstLine="571"/>
        <w:spacing w:after="0" w:line="257" w:lineRule="auto"/>
        <w:rPr>
          <w:sz w:val="20"/>
          <w:szCs w:val="20"/>
          <w:color w:val="auto"/>
        </w:rPr>
      </w:pP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The notes will provide that we will, and will cause each of our subsidiaries to, maintain insurance with financially sound and reputable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companies against such risks and in such amounts as is customarily maintained by Persons engaged in similar businesses or as may be required by applicable law, and that we will from time to time deliver to the Agent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w:t>
      </w:r>
    </w:p>
    <w:p>
      <w:pPr>
        <w:spacing w:after="0" w:line="156" w:lineRule="exact"/>
        <w:rPr>
          <w:sz w:val="20"/>
          <w:szCs w:val="20"/>
          <w:color w:val="auto"/>
        </w:rPr>
      </w:pPr>
    </w:p>
    <w:p>
      <w:pPr>
        <w:ind w:firstLine="57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Debt</w:t>
      </w:r>
      <w:r>
        <w:rPr>
          <w:rFonts w:ascii="Times New Roman" w:cs="Times New Roman" w:eastAsia="Times New Roman" w:hAnsi="Times New Roman"/>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19" w:lineRule="exact"/>
        <w:rPr>
          <w:sz w:val="20"/>
          <w:szCs w:val="20"/>
          <w:color w:val="auto"/>
        </w:rPr>
      </w:pPr>
    </w:p>
    <w:p>
      <w:pPr>
        <w:ind w:right="140" w:firstLine="57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Annual Debt Service Charge</w:t>
      </w:r>
      <w:r>
        <w:rPr>
          <w:rFonts w:ascii="Times New Roman" w:cs="Times New Roman" w:eastAsia="Times New Roman" w:hAnsi="Times New Roman"/>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103" w:lineRule="exact"/>
        <w:rPr>
          <w:sz w:val="20"/>
          <w:szCs w:val="20"/>
          <w:color w:val="auto"/>
        </w:rPr>
      </w:pPr>
    </w:p>
    <w:p>
      <w:pPr>
        <w:ind w:right="60" w:firstLine="571"/>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14" w:lineRule="exact"/>
        <w:rPr>
          <w:sz w:val="20"/>
          <w:szCs w:val="20"/>
          <w:color w:val="auto"/>
        </w:rPr>
      </w:pPr>
    </w:p>
    <w:p>
      <w:pPr>
        <w:ind w:right="80" w:firstLine="57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Income Available for Debt Service</w:t>
      </w:r>
      <w:r>
        <w:rPr>
          <w:rFonts w:ascii="Times New Roman" w:cs="Times New Roman" w:eastAsia="Times New Roman" w:hAnsi="Times New Roman"/>
          <w:sz w:val="18"/>
          <w:szCs w:val="18"/>
          <w:color w:val="auto"/>
        </w:rPr>
        <w:t>” for any period means our and our subsidiaries’ Funds from Operations plus amounts which have been deducted for interest on our and our subsidiaries’ Debt.</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firstLine="57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31" w:lineRule="exact"/>
        <w:rPr>
          <w:sz w:val="20"/>
          <w:szCs w:val="20"/>
          <w:color w:val="auto"/>
        </w:rPr>
      </w:pPr>
    </w:p>
    <w:p>
      <w:pPr>
        <w:ind w:right="100" w:firstLine="57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Disqualified Stock</w:t>
      </w:r>
      <w:r>
        <w:rPr>
          <w:rFonts w:ascii="Times New Roman" w:cs="Times New Roman" w:eastAsia="Times New Roman" w:hAnsi="Times New Roman"/>
          <w:sz w:val="18"/>
          <w:szCs w:val="18"/>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119" w:lineRule="exact"/>
        <w:rPr>
          <w:sz w:val="20"/>
          <w:szCs w:val="20"/>
          <w:color w:val="auto"/>
        </w:rPr>
      </w:pPr>
    </w:p>
    <w:p>
      <w:pPr>
        <w:ind w:right="160" w:firstLine="57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Funds from Operations</w:t>
      </w:r>
      <w:r>
        <w:rPr>
          <w:rFonts w:ascii="Times New Roman" w:cs="Times New Roman" w:eastAsia="Times New Roman" w:hAnsi="Times New Roman"/>
          <w:sz w:val="18"/>
          <w:szCs w:val="18"/>
          <w:color w:val="auto"/>
        </w:rPr>
        <w:t>” for any period means income available to common shareholders before depreciation and amortization of real estate assets and before extraordinary items less gain on sale of real estate.</w:t>
      </w:r>
    </w:p>
    <w:p>
      <w:pPr>
        <w:spacing w:after="0" w:line="103" w:lineRule="exact"/>
        <w:rPr>
          <w:sz w:val="20"/>
          <w:szCs w:val="20"/>
          <w:color w:val="auto"/>
        </w:rPr>
      </w:pPr>
    </w:p>
    <w:p>
      <w:pPr>
        <w:ind w:right="600" w:firstLine="57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Assets</w:t>
      </w:r>
      <w:r>
        <w:rPr>
          <w:rFonts w:ascii="Times New Roman" w:cs="Times New Roman" w:eastAsia="Times New Roman" w:hAnsi="Times New Roman"/>
          <w:sz w:val="18"/>
          <w:szCs w:val="18"/>
          <w:color w:val="auto"/>
        </w:rPr>
        <w:t>” as of any date means the sum of (1) our and all of our subsidiaries’ Undepreciated Real Estate Assets and (2) all of our other assets determined in accordance with generally accepted accounting principles (but excluding goodwill).</w:t>
      </w:r>
    </w:p>
    <w:p>
      <w:pPr>
        <w:spacing w:after="0" w:line="103" w:lineRule="exact"/>
        <w:rPr>
          <w:sz w:val="20"/>
          <w:szCs w:val="20"/>
          <w:color w:val="auto"/>
        </w:rPr>
      </w:pPr>
    </w:p>
    <w:p>
      <w:pPr>
        <w:ind w:right="100" w:firstLine="571"/>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Undepreciated Real Estate Assets</w:t>
      </w:r>
      <w:r>
        <w:rPr>
          <w:rFonts w:ascii="Times New Roman" w:cs="Times New Roman" w:eastAsia="Times New Roman" w:hAnsi="Times New Roman"/>
          <w:sz w:val="18"/>
          <w:szCs w:val="18"/>
          <w:color w:val="auto"/>
        </w:rPr>
        <w:t>” as of any date means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103" w:lineRule="exact"/>
        <w:rPr>
          <w:sz w:val="20"/>
          <w:szCs w:val="20"/>
          <w:color w:val="auto"/>
        </w:rPr>
      </w:pPr>
    </w:p>
    <w:p>
      <w:pPr>
        <w:ind w:right="20" w:firstLine="57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“Unencumbered Total Asset Value” </w:t>
      </w:r>
      <w:r>
        <w:rPr>
          <w:rFonts w:ascii="Times New Roman" w:cs="Times New Roman" w:eastAsia="Times New Roman" w:hAnsi="Times New Roman"/>
          <w:sz w:val="18"/>
          <w:szCs w:val="18"/>
          <w:color w:val="auto"/>
        </w:rPr>
        <w:t>as of any date means the sum of (a) those Undepreciated Real Estate Assets not encumbered by any mortgage, lien,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w:t>
      </w:r>
    </w:p>
    <w:p>
      <w:pPr>
        <w:spacing w:after="0" w:line="121" w:lineRule="exact"/>
        <w:rPr>
          <w:sz w:val="20"/>
          <w:szCs w:val="20"/>
          <w:color w:val="auto"/>
        </w:rPr>
      </w:pPr>
    </w:p>
    <w:p>
      <w:pPr>
        <w:ind w:right="300" w:firstLine="571"/>
        <w:spacing w:after="0" w:line="375" w:lineRule="auto"/>
        <w:rPr>
          <w:sz w:val="20"/>
          <w:szCs w:val="20"/>
          <w:color w:val="auto"/>
        </w:rPr>
      </w:pPr>
      <w:r>
        <w:rPr>
          <w:rFonts w:ascii="Times New Roman" w:cs="Times New Roman" w:eastAsia="Times New Roman" w:hAnsi="Times New Roman"/>
          <w:sz w:val="18"/>
          <w:szCs w:val="18"/>
          <w:color w:val="auto"/>
        </w:rPr>
        <w:t xml:space="preserve">See “Description of Debt Securities — Certain Covenants” in the accompanying prospectus for a description of additional covenants applicable to us. </w:t>
      </w:r>
      <w:r>
        <w:rPr>
          <w:rFonts w:ascii="Times New Roman" w:cs="Times New Roman" w:eastAsia="Times New Roman" w:hAnsi="Times New Roman"/>
          <w:sz w:val="18"/>
          <w:szCs w:val="18"/>
          <w:b w:val="1"/>
          <w:bCs w:val="1"/>
          <w:color w:val="auto"/>
        </w:rPr>
        <w:t>Book-Entry Form</w:t>
      </w:r>
    </w:p>
    <w:p>
      <w:pPr>
        <w:spacing w:after="0" w:line="1" w:lineRule="exact"/>
        <w:rPr>
          <w:sz w:val="20"/>
          <w:szCs w:val="20"/>
          <w:color w:val="auto"/>
        </w:rPr>
      </w:pPr>
    </w:p>
    <w:p>
      <w:pPr>
        <w:jc w:val="both"/>
        <w:ind w:right="160" w:firstLine="571"/>
        <w:spacing w:after="0" w:line="262" w:lineRule="auto"/>
        <w:rPr>
          <w:sz w:val="20"/>
          <w:szCs w:val="20"/>
          <w:color w:val="auto"/>
        </w:rPr>
      </w:pPr>
      <w:r>
        <w:rPr>
          <w:rFonts w:ascii="Times New Roman" w:cs="Times New Roman" w:eastAsia="Times New Roman" w:hAnsi="Times New Roman"/>
          <w:sz w:val="18"/>
          <w:szCs w:val="18"/>
          <w:color w:val="auto"/>
        </w:rPr>
        <w:t>We have established a depositary arrangement with The Depository Trust Company (the “Depositary”) with respect to the notes, the terms of which are summarized below. Upon issuance, each of the 2012 Notes and the 2017 Notes will be represented by a single Global Security and will be deposited with, or on behalf of,</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19" w:lineRule="exact"/>
        <w:rPr>
          <w:sz w:val="20"/>
          <w:szCs w:val="20"/>
          <w:color w:val="auto"/>
        </w:rPr>
      </w:pPr>
    </w:p>
    <w:p>
      <w:pPr>
        <w:ind w:right="20" w:firstLine="571"/>
        <w:spacing w:after="0" w:line="254" w:lineRule="auto"/>
        <w:rPr>
          <w:sz w:val="20"/>
          <w:szCs w:val="20"/>
          <w:color w:val="auto"/>
        </w:rPr>
      </w:pPr>
      <w:r>
        <w:rPr>
          <w:rFonts w:ascii="Times New Roman" w:cs="Times New Roman" w:eastAsia="Times New Roman" w:hAnsi="Times New Roman"/>
          <w:sz w:val="18"/>
          <w:szCs w:val="18"/>
          <w:color w:val="auto"/>
        </w:rPr>
        <w:t>As long as the Depositary or its nominee is the registered owner of a Global Security, the Depositary or its nominee, as the case may be, will be the sole Holder of the notes for all purposes under the senior indenture. Except as otherwise provided in this section, the Beneficial Owners of a Global Security representing either the 2012 Notes or the 2017 Notes will not be entitled to receive physical delivery of Certificated notes and will not be considered the Holders thereof for any purpose under the senior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senior indenture. The laws of some jurisdictions require that certain purchasers of securities take physical delivery of such securities in certificated form. Such laws may impair the ability to transfer beneficial interests in a Global Security representing the 2012 Notes or the 2017 Notes.</w:t>
      </w:r>
    </w:p>
    <w:p>
      <w:pPr>
        <w:spacing w:after="0" w:line="125" w:lineRule="exact"/>
        <w:rPr>
          <w:sz w:val="20"/>
          <w:szCs w:val="20"/>
          <w:color w:val="auto"/>
        </w:rPr>
      </w:pPr>
    </w:p>
    <w:p>
      <w:pPr>
        <w:ind w:firstLine="571"/>
        <w:spacing w:after="0" w:line="253" w:lineRule="auto"/>
        <w:rPr>
          <w:sz w:val="20"/>
          <w:szCs w:val="20"/>
          <w:color w:val="auto"/>
        </w:rPr>
      </w:pPr>
      <w:r>
        <w:rPr>
          <w:rFonts w:ascii="Times New Roman" w:cs="Times New Roman" w:eastAsia="Times New Roman" w:hAnsi="Times New Roman"/>
          <w:sz w:val="18"/>
          <w:szCs w:val="18"/>
          <w:color w:val="auto"/>
        </w:rPr>
        <w:t>Each Global Security representing the 2012 Notes and the 2017 Notes, respectively, will be exchangeable for Certificated notes of like tenor and terms and of differing authorized denominations aggregating a like principal amount, only if (1) the Depositary notifies us that it is unwilling or unable to continue as Depositary for such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such Global Security shall be exchangeable for Certificated notes or (3) there shall have occurred and be continuing an Event of Default under the senior indenture with respect to the notes and Beneficial Owners representing a majority in aggregate principal amount of the notes represented by such Global Security advise the Depositary to cease acting as depositary. Upon any such exchange, the Certificated notes shall be registered in the names of the Beneficial Owners of such Global Security representing the notes, which names shall be provided by the Depositary’s relevant Participants (as identified by the Depositary) to the Securities Registrar.</w:t>
      </w:r>
    </w:p>
    <w:p>
      <w:pPr>
        <w:spacing w:after="0" w:line="130"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each of the 2012 Notes and the 2017 Notes, in the aggregate principal amount of each series of notes, and will be deposited with the Depositary.</w:t>
      </w:r>
    </w:p>
    <w:p>
      <w:pPr>
        <w:spacing w:after="0" w:line="123" w:lineRule="exact"/>
        <w:rPr>
          <w:sz w:val="20"/>
          <w:szCs w:val="20"/>
          <w:color w:val="auto"/>
        </w:rPr>
      </w:pPr>
    </w:p>
    <w:p>
      <w:pPr>
        <w:ind w:firstLine="571"/>
        <w:spacing w:after="0" w:line="253" w:lineRule="auto"/>
        <w:rPr>
          <w:sz w:val="20"/>
          <w:szCs w:val="20"/>
          <w:color w:val="auto"/>
        </w:rPr>
      </w:pPr>
      <w:r>
        <w:rPr>
          <w:rFonts w:ascii="Times New Roman" w:cs="Times New Roman" w:eastAsia="Times New Roman" w:hAnsi="Times New Roman"/>
          <w:sz w:val="18"/>
          <w:szCs w:val="18"/>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(“Direct Participants”) include securities brokers and dealers, banks, trust companies, clearing corporations and certain other organizations. The Depositary is owned by a number of its Direct Participants and by the New York Stock Exchange, Inc., the American Stock Exchange, Inc. and the National Association of Securities Dealers, Inc. Access to the Depositary’s system is also available to others such as securities brokers and dealers, banks and trust companies that clear through or maintain a custodial relationship with a Direct Participant, either directly or indirectly (“Indirect Participants”). The rules applicable to the Depositary and its Participants are on file with the SEC.</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571"/>
        <w:spacing w:after="0" w:line="254" w:lineRule="auto"/>
        <w:rPr>
          <w:sz w:val="20"/>
          <w:szCs w:val="20"/>
          <w:color w:val="auto"/>
        </w:rPr>
      </w:pPr>
      <w:r>
        <w:rPr>
          <w:rFonts w:ascii="Times New Roman" w:cs="Times New Roman" w:eastAsia="Times New Roman" w:hAnsi="Times New Roman"/>
          <w:sz w:val="18"/>
          <w:szCs w:val="18"/>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25" w:lineRule="exact"/>
        <w:rPr>
          <w:sz w:val="20"/>
          <w:szCs w:val="20"/>
          <w:color w:val="auto"/>
        </w:rPr>
      </w:pPr>
    </w:p>
    <w:p>
      <w:pPr>
        <w:ind w:right="20" w:firstLine="571"/>
        <w:spacing w:after="0" w:line="255" w:lineRule="auto"/>
        <w:rPr>
          <w:sz w:val="20"/>
          <w:szCs w:val="20"/>
          <w:color w:val="auto"/>
        </w:rPr>
      </w:pPr>
      <w:r>
        <w:rPr>
          <w:rFonts w:ascii="Times New Roman" w:cs="Times New Roman" w:eastAsia="Times New Roman" w:hAnsi="Times New Roman"/>
          <w:sz w:val="18"/>
          <w:szCs w:val="18"/>
          <w:color w:val="auto"/>
        </w:rPr>
        <w:t>To facilitate subsequent transfers, each Global Security representing each of the 2012 Notes and the 2017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26" w:lineRule="exact"/>
        <w:rPr>
          <w:sz w:val="20"/>
          <w:szCs w:val="20"/>
          <w:color w:val="auto"/>
        </w:rPr>
      </w:pPr>
    </w:p>
    <w:p>
      <w:pPr>
        <w:jc w:val="both"/>
        <w:ind w:right="100" w:firstLine="571"/>
        <w:spacing w:after="0" w:line="262" w:lineRule="auto"/>
        <w:rPr>
          <w:sz w:val="20"/>
          <w:szCs w:val="20"/>
          <w:color w:val="auto"/>
        </w:rPr>
      </w:pPr>
      <w:r>
        <w:rPr>
          <w:rFonts w:ascii="Times New Roman" w:cs="Times New Roman" w:eastAsia="Times New Roman" w:hAnsi="Times New Roman"/>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19" w:lineRule="exact"/>
        <w:rPr>
          <w:sz w:val="20"/>
          <w:szCs w:val="20"/>
          <w:color w:val="auto"/>
        </w:rPr>
      </w:pPr>
    </w:p>
    <w:p>
      <w:pPr>
        <w:ind w:right="240" w:firstLine="571"/>
        <w:spacing w:after="0" w:line="310" w:lineRule="auto"/>
        <w:rPr>
          <w:sz w:val="20"/>
          <w:szCs w:val="20"/>
          <w:color w:val="auto"/>
        </w:rPr>
      </w:pPr>
      <w:r>
        <w:rPr>
          <w:rFonts w:ascii="Times New Roman" w:cs="Times New Roman" w:eastAsia="Times New Roman" w:hAnsi="Times New Roman"/>
          <w:sz w:val="16"/>
          <w:szCs w:val="16"/>
          <w:color w:val="auto"/>
        </w:rPr>
        <w:t>Neither the Depositary nor Cede &amp; Co. will consent or vote with respect to a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84" w:lineRule="exact"/>
        <w:rPr>
          <w:sz w:val="20"/>
          <w:szCs w:val="20"/>
          <w:color w:val="auto"/>
        </w:rPr>
      </w:pPr>
    </w:p>
    <w:p>
      <w:pPr>
        <w:ind w:right="20" w:firstLine="571"/>
        <w:spacing w:after="0" w:line="254" w:lineRule="auto"/>
        <w:rPr>
          <w:sz w:val="20"/>
          <w:szCs w:val="20"/>
          <w:color w:val="auto"/>
        </w:rPr>
      </w:pPr>
      <w:r>
        <w:rPr>
          <w:rFonts w:ascii="Times New Roman" w:cs="Times New Roman" w:eastAsia="Times New Roman" w:hAnsi="Times New Roman"/>
          <w:sz w:val="18"/>
          <w:szCs w:val="18"/>
          <w:color w:val="auto"/>
        </w:rPr>
        <w:t>Principal, premium, if any, and/or interest payments on a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Paying Agent, disbursement of such payments to Direct Participants shall be the responsibility of the Depositary, and disbursement of such payments to the Beneficial Owners shall be the responsibility of Direct Participants and Indirect Participants.</w:t>
      </w:r>
    </w:p>
    <w:p>
      <w:pPr>
        <w:spacing w:after="0" w:line="125" w:lineRule="exact"/>
        <w:rPr>
          <w:sz w:val="20"/>
          <w:szCs w:val="20"/>
          <w:color w:val="auto"/>
        </w:rPr>
      </w:pPr>
    </w:p>
    <w:p>
      <w:pPr>
        <w:ind w:right="280" w:firstLine="571"/>
        <w:spacing w:after="0" w:line="275" w:lineRule="auto"/>
        <w:rPr>
          <w:sz w:val="20"/>
          <w:szCs w:val="20"/>
          <w:color w:val="auto"/>
        </w:rPr>
      </w:pPr>
      <w:r>
        <w:rPr>
          <w:rFonts w:ascii="Times New Roman" w:cs="Times New Roman" w:eastAsia="Times New Roman" w:hAnsi="Times New Roman"/>
          <w:sz w:val="18"/>
          <w:szCs w:val="18"/>
          <w:color w:val="auto"/>
        </w:rPr>
        <w:t>If applicable, redemption notices shall be sent to Cede &amp; Co. If less than all of the 2012 Notes or the 2017 Notes are being redeemed, the Depositary’s practice is to determine by lot the amount of the interest of each Direct Participant to be redeemed.</w:t>
      </w:r>
    </w:p>
    <w:p>
      <w:pPr>
        <w:spacing w:after="0" w:line="106" w:lineRule="exact"/>
        <w:rPr>
          <w:sz w:val="20"/>
          <w:szCs w:val="20"/>
          <w:color w:val="auto"/>
        </w:rPr>
      </w:pPr>
    </w:p>
    <w:p>
      <w:pPr>
        <w:ind w:right="200" w:firstLine="571"/>
        <w:spacing w:after="0" w:line="258" w:lineRule="auto"/>
        <w:rPr>
          <w:sz w:val="20"/>
          <w:szCs w:val="20"/>
          <w:color w:val="auto"/>
        </w:rPr>
      </w:pPr>
      <w:r>
        <w:rPr>
          <w:rFonts w:ascii="Times New Roman" w:cs="Times New Roman" w:eastAsia="Times New Roman" w:hAnsi="Times New Roman"/>
          <w:sz w:val="18"/>
          <w:szCs w:val="18"/>
          <w:color w:val="auto"/>
        </w:rPr>
        <w:t>The Depositary may discontinue providing its services as securities depository with respect to the notes at any time by giving reasonable notice to us or the Trustee.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FEDERAL INCOME TAX CONSIDERATIONS</w:t>
      </w:r>
    </w:p>
    <w:p>
      <w:pPr>
        <w:spacing w:after="0" w:line="160" w:lineRule="exact"/>
        <w:rPr>
          <w:sz w:val="20"/>
          <w:szCs w:val="20"/>
          <w:color w:val="auto"/>
        </w:rPr>
      </w:pPr>
    </w:p>
    <w:p>
      <w:pPr>
        <w:ind w:firstLine="571"/>
        <w:spacing w:after="0" w:line="283" w:lineRule="auto"/>
        <w:rPr>
          <w:sz w:val="20"/>
          <w:szCs w:val="20"/>
          <w:color w:val="auto"/>
        </w:rPr>
      </w:pPr>
      <w:r>
        <w:rPr>
          <w:rFonts w:ascii="Times New Roman" w:cs="Times New Roman" w:eastAsia="Times New Roman" w:hAnsi="Times New Roman"/>
          <w:sz w:val="16"/>
          <w:szCs w:val="16"/>
          <w:color w:val="auto"/>
        </w:rPr>
        <w:t>Subject to the preliminary considerations set forth in the prospectus, the following is a general discussion of the material U.S. federal income tax considerations applicable to initial holders of the notes. This discussion is based on the Internal Revenue Code of 1986, as amended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does not address all the tax consequences that may be relevant to a particular holder or to holders subject to special treatment under the Code, such as financial institutions, broker dealers, insurance companies, former U.S. citizens or long-term residents, tax-exempt organizations, persons that are, or that hold their notes through, partnerships or other pass-through entities, U.S. Holders (as defined below) whose functional currency is not the U.S. dollar, or persons that hold notes as part of a straddle, hedge, conversion, synthetic security or constructive sale transaction for U.S. federal income tax purposes. Except as specifically provided below with respect to Non-U.S. Holders (as defined below), the discussion is limited to holders of notes that are U.S. Holders and that hold their notes as capital assets within the meaning of the Code.</w:t>
      </w:r>
    </w:p>
    <w:p>
      <w:pPr>
        <w:spacing w:after="0" w:line="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b w:val="1"/>
          <w:bCs w:val="1"/>
          <w:color w:val="auto"/>
        </w:rPr>
        <w:t>Holders are encouraged to consult their own tax advisors as to the particular U.S. federal income tax consequences to them of acquiring, owning and disposing of the notes, as well as the effects of state, local and non-U.S. tax laws.</w:t>
      </w:r>
    </w:p>
    <w:p>
      <w:pPr>
        <w:spacing w:after="0" w:line="118" w:lineRule="exact"/>
        <w:rPr>
          <w:sz w:val="20"/>
          <w:szCs w:val="20"/>
          <w:color w:val="auto"/>
        </w:rPr>
      </w:pPr>
    </w:p>
    <w:p>
      <w:pPr>
        <w:ind w:right="100" w:firstLine="571"/>
        <w:spacing w:after="0" w:line="254"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a note that, for U.S. federal income tax purposes, is (i) a citizen or individual resident of the United States, (ii) a corporation (including an entity treated as a corporation for U.S. federal income tax purposes) created or organized in or under the laws of the United States, any state thereof or the District of Columbia, (iii) an estate the income of which is includible in gross income for U.S. federal income tax purposes regardless of its source, or (iv) a trust if (A) a court in the United States is able to exercise primary supervision over the administration of the trust and one or more U.S. persons have the authority to control all substantial decisions of the trust, or (B) it has a valid election in place to be treated as a United States person. A “Non-U.S. Holder” means a beneficial owner of a note that is not a U.S. Holder or an entity or arrangement treated as a partnership for U.S. federal income tax purposes.</w:t>
      </w:r>
    </w:p>
    <w:p>
      <w:pPr>
        <w:spacing w:after="0" w:line="128" w:lineRule="exact"/>
        <w:rPr>
          <w:sz w:val="20"/>
          <w:szCs w:val="20"/>
          <w:color w:val="auto"/>
        </w:rPr>
      </w:pPr>
    </w:p>
    <w:p>
      <w:pPr>
        <w:jc w:val="both"/>
        <w:ind w:right="200" w:firstLine="571"/>
        <w:spacing w:after="0" w:line="262"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 of partnerships should consult their tax advisors as to the particular U.S. federal income tax consequences applicable to them.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75" w:lineRule="exact"/>
        <w:rPr>
          <w:sz w:val="20"/>
          <w:szCs w:val="20"/>
          <w:color w:val="auto"/>
        </w:rPr>
      </w:pPr>
    </w:p>
    <w:p>
      <w:pPr>
        <w:ind w:right="60" w:firstLine="57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on the Notes. </w:t>
      </w:r>
      <w:r>
        <w:rPr>
          <w:rFonts w:ascii="Times New Roman" w:cs="Times New Roman" w:eastAsia="Times New Roman" w:hAnsi="Times New Roman"/>
          <w:sz w:val="18"/>
          <w:szCs w:val="18"/>
          <w:color w:val="auto"/>
        </w:rPr>
        <w:t>A 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generally will be required to include interest earned on the notes as ordinary income when received or accrued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accordance with the U.S. Holder’s regular method of tax accounting. In general, if the terms of a debt instrument entitle a holder to receive payments other than certain fixed periodic interest that exceed the issue price of the instrument, the holder may be required to recognize additional interest as “original issue discount” over the term of the instrument. The notes are not expected to be issued with original issue discount for U.S. federal income tax purposes.</w:t>
      </w:r>
    </w:p>
    <w:p>
      <w:pPr>
        <w:spacing w:after="0" w:line="116" w:lineRule="exact"/>
        <w:rPr>
          <w:sz w:val="20"/>
          <w:szCs w:val="20"/>
          <w:color w:val="auto"/>
        </w:rPr>
      </w:pPr>
    </w:p>
    <w:p>
      <w:pPr>
        <w:ind w:right="100" w:firstLine="57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Disposition of the Notes. </w:t>
      </w:r>
      <w:r>
        <w:rPr>
          <w:rFonts w:ascii="Times New Roman" w:cs="Times New Roman" w:eastAsia="Times New Roman" w:hAnsi="Times New Roman"/>
          <w:sz w:val="18"/>
          <w:szCs w:val="18"/>
          <w:color w:val="auto"/>
        </w:rPr>
        <w:t>Upon the sale, exchange, redemption or other taxable disposition of a note, a U.S. Holder will generally recognize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gain or loss equal to the difference (if any) between the amount realized (other than amounts attributable to accrued but unpaid stated interest, which will be taxable as ordinary income) and such U.S. Holder’s tax basis in the note. The U.S. Holder’s tax basis in a note generally will be the purchase price for the note. Such gain or loss shall be treated as long-term capital gain or loss if the note was held for more than one year. Subject to limited exceptions, capital losses cannot be used to offset a U.S. Holder’s ordinary income.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79" w:lineRule="exact"/>
        <w:rPr>
          <w:sz w:val="20"/>
          <w:szCs w:val="20"/>
          <w:color w:val="auto"/>
        </w:rPr>
      </w:pPr>
    </w:p>
    <w:p>
      <w:pPr>
        <w:jc w:val="both"/>
        <w:ind w:right="20" w:firstLine="571"/>
        <w:spacing w:after="0" w:line="262" w:lineRule="auto"/>
        <w:rPr>
          <w:sz w:val="20"/>
          <w:szCs w:val="20"/>
          <w:color w:val="auto"/>
        </w:rPr>
      </w:pPr>
      <w:r>
        <w:rPr>
          <w:rFonts w:ascii="Times New Roman" w:cs="Times New Roman" w:eastAsia="Times New Roman" w:hAnsi="Times New Roman"/>
          <w:sz w:val="18"/>
          <w:szCs w:val="18"/>
          <w:color w:val="auto"/>
        </w:rPr>
        <w:t>The rules governing the United States federal income taxation of Non-U.S. Holders are complex and no attempt will be made herein to provide more than a summary of such rules. Prospective Non-U.S. Holders are encouraged to consult with their own tax advisors to determine the impact of federal, state, local and non-U.S. tax laws with regard to the notes.</w:t>
      </w:r>
    </w:p>
    <w:p>
      <w:pPr>
        <w:spacing w:after="0" w:line="115" w:lineRule="exact"/>
        <w:rPr>
          <w:sz w:val="20"/>
          <w:szCs w:val="20"/>
          <w:color w:val="auto"/>
        </w:rPr>
      </w:pPr>
    </w:p>
    <w:p>
      <w:pPr>
        <w:ind w:right="100" w:firstLine="57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on the Notes. </w:t>
      </w:r>
      <w:r>
        <w:rPr>
          <w:rFonts w:ascii="Times New Roman" w:cs="Times New Roman" w:eastAsia="Times New Roman" w:hAnsi="Times New Roman"/>
          <w:sz w:val="18"/>
          <w:szCs w:val="18"/>
          <w:color w:val="auto"/>
        </w:rPr>
        <w:t>Subject to the discussion on backup withholding below, a Non-U.S. Holder generally will not be subject to U.S. federal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withholding tax on payments of interest on a note, provided that:</w:t>
      </w:r>
    </w:p>
    <w:p>
      <w:pPr>
        <w:spacing w:after="0" w:line="21" w:lineRule="exact"/>
        <w:rPr>
          <w:sz w:val="20"/>
          <w:szCs w:val="20"/>
          <w:color w:val="auto"/>
        </w:rPr>
      </w:pPr>
    </w:p>
    <w:p>
      <w:pPr>
        <w:jc w:val="both"/>
        <w:ind w:left="1260" w:right="60" w:hanging="455"/>
        <w:spacing w:after="0" w:line="262" w:lineRule="auto"/>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 (A) a direct or indirect owner of 10% or more of our voting stock, (B) a controlled foreign corporation related to us through stock ownership, or (C) a bank whose receipt of interest on a note is pursuant to a loan agreement entered into in the ordinary course of business;</w:t>
      </w:r>
    </w:p>
    <w:p>
      <w:pPr>
        <w:spacing w:after="0" w:line="37" w:lineRule="exact"/>
        <w:rPr>
          <w:rFonts w:ascii="Times New Roman" w:cs="Times New Roman" w:eastAsia="Times New Roman" w:hAnsi="Times New Roman"/>
          <w:sz w:val="18"/>
          <w:szCs w:val="18"/>
          <w:color w:val="auto"/>
        </w:rPr>
      </w:pPr>
    </w:p>
    <w:p>
      <w:pPr>
        <w:ind w:left="1260" w:right="220" w:hanging="455"/>
        <w:spacing w:after="0" w:line="275" w:lineRule="auto"/>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interest payments are not effectively connected with the conduct by the Non-U.S. Holder of a trade or business within the United States; and</w:t>
      </w:r>
    </w:p>
    <w:p>
      <w:pPr>
        <w:spacing w:after="0" w:line="25" w:lineRule="exact"/>
        <w:rPr>
          <w:rFonts w:ascii="Times New Roman" w:cs="Times New Roman" w:eastAsia="Times New Roman" w:hAnsi="Times New Roman"/>
          <w:sz w:val="18"/>
          <w:szCs w:val="18"/>
          <w:color w:val="auto"/>
        </w:rPr>
      </w:pPr>
    </w:p>
    <w:p>
      <w:pPr>
        <w:ind w:left="1260" w:right="280" w:hanging="455"/>
        <w:spacing w:after="0" w:line="275" w:lineRule="auto"/>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paying agent receives certain information from the Non-U.S. Holder (or a financial institution that holds the notes on behalf of the Non-U.S. Holder in the ordinary course of its trade or business), including certification that such holder is a Non-U.S. Holder.</w:t>
      </w:r>
    </w:p>
    <w:p>
      <w:pPr>
        <w:spacing w:after="0" w:line="1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 Non-U.S. Holder that is not exempt from tax under these rules generally will be subject to U.S. federal income tax withholding at a rate of 30% unless:</w:t>
      </w:r>
    </w:p>
    <w:p>
      <w:pPr>
        <w:spacing w:after="0" w:line="100" w:lineRule="exact"/>
        <w:rPr>
          <w:sz w:val="20"/>
          <w:szCs w:val="20"/>
          <w:color w:val="auto"/>
        </w:rPr>
      </w:pPr>
    </w:p>
    <w:p>
      <w:pPr>
        <w:ind w:left="1260" w:hanging="455"/>
        <w:spacing w:after="0"/>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is effectively connected with the conduct of a U.S. trade or business, or</w:t>
      </w:r>
    </w:p>
    <w:p>
      <w:pPr>
        <w:spacing w:after="0" w:line="103"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applicable income tax treaty provides for a lower rate of, or exemption from, withholding tax.</w:t>
      </w:r>
    </w:p>
    <w:p>
      <w:pPr>
        <w:spacing w:after="0" w:line="185" w:lineRule="exact"/>
        <w:rPr>
          <w:sz w:val="20"/>
          <w:szCs w:val="20"/>
          <w:color w:val="auto"/>
        </w:rPr>
      </w:pPr>
    </w:p>
    <w:p>
      <w:pPr>
        <w:ind w:right="60" w:firstLine="571"/>
        <w:spacing w:after="0" w:line="291" w:lineRule="auto"/>
        <w:rPr>
          <w:sz w:val="20"/>
          <w:szCs w:val="20"/>
          <w:color w:val="auto"/>
        </w:rPr>
      </w:pPr>
      <w:r>
        <w:rPr>
          <w:rFonts w:ascii="Times New Roman" w:cs="Times New Roman" w:eastAsia="Times New Roman" w:hAnsi="Times New Roman"/>
          <w:sz w:val="16"/>
          <w:szCs w:val="16"/>
          <w:color w:val="auto"/>
        </w:rPr>
        <w:t>Except to the extent provided by an applicable tax treaty, interest on a note that is effectively connected with the conduct by a Non-U.S. Holder of a trade or business in the United States generally will be subject to U.S. federal income tax on a net basis at the rates applicable to U.S. persons. A Non-U.S. Holder that is treated as a corporation for U.S. federal income tax purposes may also be subject to a 30% branch profits tax (subject to reduction under an applicable tax treaty), which is generally imposed on a foreign corporation on the actual or deemed repatriation from the United States of earnings and profits attributable to a United States trade or business. If interest is subject to U.S. federal income tax on a net basis in accordance with the rules described in the preceding sentence, payments of such interest will not be subject to U.S. withholding tax so long as the Non-U.S. Holder provides us or the paying agent with an IRS Form W-8ECI. To claim the benefit of an income tax treaty, the Non-U.S. Holder must timely provide the appropriate, properly executed IRS forms.</w:t>
      </w:r>
    </w:p>
    <w:p>
      <w:pPr>
        <w:spacing w:after="0" w:line="96" w:lineRule="exact"/>
        <w:rPr>
          <w:sz w:val="20"/>
          <w:szCs w:val="20"/>
          <w:color w:val="auto"/>
        </w:rPr>
      </w:pPr>
    </w:p>
    <w:p>
      <w:pPr>
        <w:ind w:right="440" w:firstLine="57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Disposition of the Notes. </w:t>
      </w:r>
      <w:r>
        <w:rPr>
          <w:rFonts w:ascii="Times New Roman" w:cs="Times New Roman" w:eastAsia="Times New Roman" w:hAnsi="Times New Roman"/>
          <w:sz w:val="18"/>
          <w:szCs w:val="18"/>
          <w:color w:val="auto"/>
        </w:rPr>
        <w:t>Subject to the discussion on backup withholding below, a Non-U.S. Holder generally will not be subject to U.S. federal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or withholding tax on gain from the sale, exchange, redemption or other taxable disposition of a note unless:</w:t>
      </w:r>
    </w:p>
    <w:p>
      <w:pPr>
        <w:spacing w:after="0" w:line="21" w:lineRule="exact"/>
        <w:rPr>
          <w:sz w:val="20"/>
          <w:szCs w:val="20"/>
          <w:color w:val="auto"/>
        </w:rPr>
      </w:pPr>
    </w:p>
    <w:p>
      <w:pPr>
        <w:ind w:left="800" w:right="420" w:hanging="225"/>
        <w:spacing w:after="0" w:line="275"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gain is effectively connected with the conduct by the Non-U.S. Holder or a trade or business within the United States (and, if required by an applicable tax treaty, is attributable to a permanent establishment maintained in the United States by the Non-U.S. Holder); or</w:t>
      </w:r>
    </w:p>
    <w:p>
      <w:pPr>
        <w:spacing w:after="0" w:line="25" w:lineRule="exact"/>
        <w:rPr>
          <w:rFonts w:ascii="Times New Roman" w:cs="Times New Roman" w:eastAsia="Times New Roman" w:hAnsi="Times New Roman"/>
          <w:sz w:val="18"/>
          <w:szCs w:val="18"/>
          <w:color w:val="auto"/>
        </w:rPr>
      </w:pPr>
    </w:p>
    <w:p>
      <w:pPr>
        <w:ind w:left="800" w:right="300" w:hanging="225"/>
        <w:spacing w:after="0" w:line="275"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is an individual who is present in the United States for 183 days or more in the taxable year of disposition and meets certain other requirements.</w:t>
      </w:r>
    </w:p>
    <w:p>
      <w:pPr>
        <w:spacing w:after="0" w:line="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Except to the extent provided by an applicable tax treaty, gain from the sale or disposition of a note that is effectively connected with the conduct by the Non-U.S. Holder of a trade or business in the United States generally will be subject to U.S. federal income tax on a net basis at the rates applicable to U.S. persons. A Non-U.S. Holder that is treated as a corporation for U.S. federal income tax purposes may also be subject to a</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30% branch profits tax (subject to reduction under an applicable tax treaty), which is generally imposed on a foreign corporation on the actual or deemed repatriation from the United States of earnings and profits attributable to a United States trade or business. If such gains are realized by a Non-U.S. Holder who is an individual present in the United States for 183 days or more in the taxable year, then such individual generally will be subject to U.S. federal income tax at a rate of 30% (subject to reduction under an applicable tax treaty) on the amount by which capital gains from U.S. sources (including gains from the sale or other disposition of the notes) exceed capital losses allocable to U.S. sources. To claim the benefit of an income tax treaty, the Non-U.S. Holder must timely provide the appropriate, properly executed IRS forms.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79" w:lineRule="exact"/>
        <w:rPr>
          <w:sz w:val="20"/>
          <w:szCs w:val="20"/>
          <w:color w:val="auto"/>
        </w:rPr>
      </w:pPr>
    </w:p>
    <w:p>
      <w:pPr>
        <w:ind w:right="260" w:firstLine="571"/>
        <w:spacing w:after="0" w:line="254" w:lineRule="auto"/>
        <w:rPr>
          <w:sz w:val="20"/>
          <w:szCs w:val="20"/>
          <w:color w:val="auto"/>
        </w:rPr>
      </w:pPr>
      <w:r>
        <w:rPr>
          <w:rFonts w:ascii="Times New Roman" w:cs="Times New Roman" w:eastAsia="Times New Roman" w:hAnsi="Times New Roman"/>
          <w:sz w:val="18"/>
          <w:szCs w:val="18"/>
          <w:color w:val="auto"/>
        </w:rPr>
        <w:t>Payments to a U.S. Holder (other than an “exempt recipient,” including a corporation and certain other persons who, when required, demonstrate their exempt status) of the principal of, interest on and any premium with respect to, or the proceeds of a sale or other disposition of, a note may be subject to information reporting requirements, and U.S. federal backup withholding at the applicable statutory rate. In general, if a non-corporate U.S. Holder subject to information reporting fails to provide an accurate taxpayer identification number or otherwise fails to comply with applicable U.S. information reporting or certification requirements, backup withholding at the applicable rate may apply. Any amount withheld from a payment to a U.S. Holder under the backup withholding rules generally is allowable as a credit against the U.S. Holder’s U.S. federal income tax liability, provided that the required information is timely furnished to the IRS.</w:t>
      </w:r>
    </w:p>
    <w:p>
      <w:pPr>
        <w:spacing w:after="0" w:line="128" w:lineRule="exact"/>
        <w:rPr>
          <w:sz w:val="20"/>
          <w:szCs w:val="20"/>
          <w:color w:val="auto"/>
        </w:rPr>
      </w:pPr>
    </w:p>
    <w:p>
      <w:pPr>
        <w:ind w:right="100" w:firstLine="571"/>
        <w:spacing w:after="0" w:line="262" w:lineRule="auto"/>
        <w:rPr>
          <w:sz w:val="20"/>
          <w:szCs w:val="20"/>
          <w:color w:val="auto"/>
        </w:rPr>
      </w:pPr>
      <w:r>
        <w:rPr>
          <w:rFonts w:ascii="Times New Roman" w:cs="Times New Roman" w:eastAsia="Times New Roman" w:hAnsi="Times New Roman"/>
          <w:sz w:val="18"/>
          <w:szCs w:val="18"/>
          <w:color w:val="auto"/>
        </w:rPr>
        <w:t>Payments to a Non-U.S. Holder of interest on a note generally will be reported to the IRS and to the Non-U.S. Holder. Copies of applicable IRS information returns may be made available, under the provisions of a specific tax treaty or agreement, to the tax authorities of the country in which the Non-U.S. Holder resides.</w:t>
      </w:r>
    </w:p>
    <w:p>
      <w:pPr>
        <w:spacing w:after="0" w:line="119" w:lineRule="exact"/>
        <w:rPr>
          <w:sz w:val="20"/>
          <w:szCs w:val="20"/>
          <w:color w:val="auto"/>
        </w:rPr>
      </w:pPr>
    </w:p>
    <w:p>
      <w:pPr>
        <w:ind w:right="80" w:firstLine="571"/>
        <w:spacing w:after="0" w:line="255" w:lineRule="auto"/>
        <w:rPr>
          <w:sz w:val="20"/>
          <w:szCs w:val="20"/>
          <w:color w:val="auto"/>
        </w:rPr>
      </w:pPr>
      <w:r>
        <w:rPr>
          <w:rFonts w:ascii="Times New Roman" w:cs="Times New Roman" w:eastAsia="Times New Roman" w:hAnsi="Times New Roman"/>
          <w:sz w:val="18"/>
          <w:szCs w:val="18"/>
          <w:color w:val="auto"/>
        </w:rPr>
        <w:t>Payments to a Non-U.S. Holder of the principal of, interest on and any premium with respect to, or the proceeds of a sale or other disposition of, a note generally will not be subject to backup withholding or additional information reporting, provided that (i) the Non-U.S. Holder certifies under penalties of perjury on IRS Form W-8BEN that it is not a United States person and certain other conditions are satisfied, or (ii) the Non-U.S. Holder otherwise establishes an exemption; provided that, in either case, neither we nor any withholding agent knows or has reason to know that the holder is a United States person or that the conditions of any other exemptions are in fact not satisfied. Any amounts so withheld may be refunded or credited against the Non-U.S. Holder’s U.S. federal income tax liability, if any, provided that the required information is timely furnished to the IRS.</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0" w:lineRule="exact"/>
        <w:rPr>
          <w:sz w:val="20"/>
          <w:szCs w:val="20"/>
          <w:color w:val="auto"/>
        </w:rPr>
      </w:pPr>
    </w:p>
    <w:p>
      <w:pPr>
        <w:ind w:right="260" w:firstLine="571"/>
        <w:spacing w:after="0" w:line="275" w:lineRule="auto"/>
        <w:rPr>
          <w:sz w:val="20"/>
          <w:szCs w:val="20"/>
          <w:color w:val="auto"/>
        </w:rPr>
      </w:pPr>
      <w:r>
        <w:rPr>
          <w:rFonts w:ascii="Times New Roman" w:cs="Times New Roman" w:eastAsia="Times New Roman" w:hAnsi="Times New Roman"/>
          <w:sz w:val="18"/>
          <w:szCs w:val="18"/>
          <w:color w:val="auto"/>
        </w:rPr>
        <w:t>Wachovia Capital Markets, LLC and Citigroup Global Markets Inc. are acting as joint book-running managers of the offering and as representatives of the underwriters named below.</w:t>
      </w:r>
    </w:p>
    <w:p>
      <w:pPr>
        <w:spacing w:after="0" w:line="106" w:lineRule="exact"/>
        <w:rPr>
          <w:sz w:val="20"/>
          <w:szCs w:val="20"/>
          <w:color w:val="auto"/>
        </w:rPr>
      </w:pPr>
    </w:p>
    <w:p>
      <w:pPr>
        <w:ind w:right="80" w:firstLine="571"/>
        <w:spacing w:after="0" w:line="262" w:lineRule="auto"/>
        <w:rPr>
          <w:sz w:val="20"/>
          <w:szCs w:val="20"/>
          <w:color w:val="auto"/>
        </w:rPr>
      </w:pPr>
      <w:r>
        <w:rPr>
          <w:rFonts w:ascii="Times New Roman" w:cs="Times New Roman" w:eastAsia="Times New Roman" w:hAnsi="Times New Roman"/>
          <w:sz w:val="18"/>
          <w:szCs w:val="18"/>
          <w:color w:val="auto"/>
        </w:rPr>
        <w:t>Subject to the terms and conditions stated in the underwriting agreement and a related pricing agreement, each dated the date of this prospectus supplement, each underwriter named below has agreed to purchase, and we have agreed to sell to that underwriter, the principal amounts of 2012 Notes and 2017 Notes set forth opposite the underwriter’s name.</w:t>
      </w:r>
    </w:p>
    <w:p>
      <w:pPr>
        <w:spacing w:after="0" w:line="10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4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c>
          <w:tcPr>
            <w:tcW w:w="4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c>
          <w:tcPr>
            <w:tcW w:w="0" w:type="dxa"/>
            <w:vAlign w:val="bottom"/>
          </w:tcPr>
          <w:p>
            <w:pPr>
              <w:spacing w:after="0"/>
              <w:rPr>
                <w:sz w:val="1"/>
                <w:szCs w:val="1"/>
                <w:color w:val="auto"/>
              </w:rPr>
            </w:pPr>
          </w:p>
        </w:tc>
      </w:tr>
      <w:tr>
        <w:trPr>
          <w:trHeight w:val="178"/>
        </w:trPr>
        <w:tc>
          <w:tcPr>
            <w:tcW w:w="5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7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2012 Notes</w:t>
            </w:r>
          </w:p>
        </w:tc>
        <w:tc>
          <w:tcPr>
            <w:tcW w:w="4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2017 Notes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1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Wachovia Capital Markets, LLC</w:t>
            </w:r>
          </w:p>
        </w:tc>
        <w:tc>
          <w:tcPr>
            <w:tcW w:w="3880" w:type="dxa"/>
            <w:vAlign w:val="bottom"/>
            <w:gridSpan w:val="2"/>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3880" w:type="dxa"/>
            <w:vAlign w:val="bottom"/>
            <w:gridSpan w:val="2"/>
          </w:tcPr>
          <w:p>
            <w:pPr>
              <w:jc w:val="right"/>
              <w:ind w:right="99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1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1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1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1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77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125,000,000</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125,000,000</w:t>
            </w:r>
          </w:p>
        </w:tc>
      </w:tr>
      <w:tr>
        <w:trPr>
          <w:trHeight w:val="132"/>
        </w:trPr>
        <w:tc>
          <w:tcPr>
            <w:tcW w:w="776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16852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85290" cy="29845"/>
                    </a:xfrm>
                    <a:prstGeom prst="rect">
                      <a:avLst/>
                    </a:prstGeom>
                    <a:noFill/>
                  </pic:spPr>
                </pic:pic>
              </a:graphicData>
            </a:graphic>
          </wp:anchor>
        </w:drawing>
      </w:r>
    </w:p>
    <w:p>
      <w:pPr>
        <w:spacing w:after="0" w:line="219"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notes included in this offering are subject to approval of legal matters by counsel and to other conditions. The underwriters must purchase all of the 2012 Notes or the 2017 Notes respectively, if they purchase any of the 2012 Notes or the 2017 Notes. However, the sales of the 2012 Notes and the 2017 Notes are not conditioned upon each other, and we may consummate the sale of one and not the other, or consummate the sales at different times.</w:t>
      </w:r>
    </w:p>
    <w:p>
      <w:pPr>
        <w:spacing w:after="0" w:line="123" w:lineRule="exact"/>
        <w:rPr>
          <w:sz w:val="20"/>
          <w:szCs w:val="20"/>
          <w:color w:val="auto"/>
        </w:rPr>
      </w:pPr>
    </w:p>
    <w:p>
      <w:pPr>
        <w:ind w:right="100" w:firstLine="571"/>
        <w:spacing w:after="0" w:line="256" w:lineRule="auto"/>
        <w:rPr>
          <w:sz w:val="20"/>
          <w:szCs w:val="20"/>
          <w:color w:val="auto"/>
        </w:rPr>
      </w:pPr>
      <w:r>
        <w:rPr>
          <w:rFonts w:ascii="Times New Roman" w:cs="Times New Roman" w:eastAsia="Times New Roman" w:hAnsi="Times New Roman"/>
          <w:sz w:val="18"/>
          <w:szCs w:val="18"/>
          <w:color w:val="auto"/>
        </w:rPr>
        <w:t>The underwriters propose to offer some of the notes directly to the public at the applicable public offering price set forth on the cover page of this prospectus supplement and some of the notes to dealers at the applicable public offering price less a concession not to exceed % of the principal amount of the 2012 Notes and % of the principal amount of the 2017 Notes. The underwriters may allow, and dealers may reallow, a concession not to exceed % of the principal amount of the 2012 Notes and % of the principal amount of the 2017 Notes on sales to other dealers. After the initial offering of the notes to the public, the representatives may change the applicable public offering price and concessions.</w:t>
      </w:r>
    </w:p>
    <w:p>
      <w:pPr>
        <w:spacing w:after="0" w:line="125" w:lineRule="exact"/>
        <w:rPr>
          <w:sz w:val="20"/>
          <w:szCs w:val="20"/>
          <w:color w:val="auto"/>
        </w:rPr>
      </w:pPr>
    </w:p>
    <w:p>
      <w:pPr>
        <w:ind w:right="160" w:firstLine="571"/>
        <w:spacing w:after="0" w:line="275" w:lineRule="auto"/>
        <w:rPr>
          <w:sz w:val="20"/>
          <w:szCs w:val="20"/>
          <w:color w:val="auto"/>
        </w:rPr>
      </w:pPr>
      <w:r>
        <w:rPr>
          <w:rFonts w:ascii="Times New Roman" w:cs="Times New Roman" w:eastAsia="Times New Roman" w:hAnsi="Times New Roman"/>
          <w:sz w:val="18"/>
          <w:szCs w:val="18"/>
          <w:color w:val="auto"/>
        </w:rPr>
        <w:t>The following table shows the underwriting discount that we are to pay to the underwriters in connection with this offering (expressed as percentages of the principal amount of each series of the notes).</w:t>
      </w:r>
    </w:p>
    <w:p>
      <w:pPr>
        <w:spacing w:after="0" w:line="104" w:lineRule="exact"/>
        <w:rPr>
          <w:sz w:val="20"/>
          <w:szCs w:val="20"/>
          <w:color w:val="auto"/>
        </w:rPr>
      </w:pPr>
    </w:p>
    <w:p>
      <w:pPr>
        <w:ind w:left="9680"/>
        <w:spacing w:after="0"/>
        <w:tabs>
          <w:tab w:leader="none" w:pos="10560" w:val="left"/>
        </w:tabs>
        <w:rPr>
          <w:sz w:val="20"/>
          <w:szCs w:val="20"/>
          <w:color w:val="auto"/>
        </w:rPr>
      </w:pPr>
      <w:r>
        <w:rPr>
          <w:rFonts w:ascii="Times New Roman" w:cs="Times New Roman" w:eastAsia="Times New Roman" w:hAnsi="Times New Roman"/>
          <w:sz w:val="14"/>
          <w:szCs w:val="14"/>
          <w:b w:val="1"/>
          <w:bCs w:val="1"/>
          <w:color w:val="auto"/>
        </w:rPr>
        <w:t>2012</w:t>
      </w:r>
      <w:r>
        <w:rPr>
          <w:sz w:val="20"/>
          <w:szCs w:val="20"/>
          <w:color w:val="auto"/>
        </w:rPr>
        <w:tab/>
      </w:r>
      <w:r>
        <w:rPr>
          <w:rFonts w:ascii="Times New Roman" w:cs="Times New Roman" w:eastAsia="Times New Roman" w:hAnsi="Times New Roman"/>
          <w:sz w:val="14"/>
          <w:szCs w:val="14"/>
          <w:b w:val="1"/>
          <w:bCs w:val="1"/>
          <w:color w:val="auto"/>
        </w:rPr>
        <w:t>2017</w:t>
      </w:r>
    </w:p>
    <w:p>
      <w:pPr>
        <w:spacing w:after="0" w:line="5" w:lineRule="exact"/>
        <w:rPr>
          <w:sz w:val="20"/>
          <w:szCs w:val="20"/>
          <w:color w:val="auto"/>
        </w:rPr>
      </w:pPr>
    </w:p>
    <w:p>
      <w:pPr>
        <w:ind w:left="9640"/>
        <w:spacing w:after="0"/>
        <w:tabs>
          <w:tab w:leader="none" w:pos="10520" w:val="left"/>
        </w:tabs>
        <w:rPr>
          <w:sz w:val="20"/>
          <w:szCs w:val="20"/>
          <w:color w:val="auto"/>
        </w:rPr>
      </w:pPr>
      <w:r>
        <w:rPr>
          <w:rFonts w:ascii="Times New Roman" w:cs="Times New Roman" w:eastAsia="Times New Roman" w:hAnsi="Times New Roman"/>
          <w:sz w:val="14"/>
          <w:szCs w:val="14"/>
          <w:b w:val="1"/>
          <w:bCs w:val="1"/>
          <w:color w:val="auto"/>
        </w:rPr>
        <w:t>Notes</w:t>
      </w:r>
      <w:r>
        <w:rPr>
          <w:sz w:val="20"/>
          <w:szCs w:val="20"/>
          <w:color w:val="auto"/>
        </w:rPr>
        <w:tab/>
      </w:r>
      <w:r>
        <w:rPr>
          <w:rFonts w:ascii="Times New Roman" w:cs="Times New Roman" w:eastAsia="Times New Roman" w:hAnsi="Times New Roman"/>
          <w:sz w:val="14"/>
          <w:szCs w:val="14"/>
          <w:b w:val="1"/>
          <w:bCs w:val="1"/>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60325</wp:posOffset>
            </wp:positionV>
            <wp:extent cx="317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60325</wp:posOffset>
            </wp:positionV>
            <wp:extent cx="317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182" w:lineRule="exact"/>
        <w:rPr>
          <w:sz w:val="20"/>
          <w:szCs w:val="20"/>
          <w:color w:val="auto"/>
        </w:rPr>
      </w:pPr>
    </w:p>
    <w:p>
      <w:pPr>
        <w:ind w:left="460"/>
        <w:spacing w:after="0"/>
        <w:tabs>
          <w:tab w:leader="none" w:pos="9880" w:val="left"/>
          <w:tab w:leader="none" w:pos="10800" w:val="left"/>
        </w:tabs>
        <w:rPr>
          <w:sz w:val="20"/>
          <w:szCs w:val="20"/>
          <w:color w:val="auto"/>
        </w:rPr>
      </w:pPr>
      <w:r>
        <w:rPr>
          <w:rFonts w:ascii="Times New Roman" w:cs="Times New Roman" w:eastAsia="Times New Roman" w:hAnsi="Times New Roman"/>
          <w:sz w:val="18"/>
          <w:szCs w:val="18"/>
          <w:color w:val="auto"/>
        </w:rPr>
        <w:t>Paid by Federal Realty.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-121920</wp:posOffset>
            </wp:positionV>
            <wp:extent cx="666369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38" w:lineRule="exact"/>
        <w:rPr>
          <w:sz w:val="20"/>
          <w:szCs w:val="20"/>
          <w:color w:val="auto"/>
        </w:rPr>
      </w:pPr>
    </w:p>
    <w:p>
      <w:pPr>
        <w:ind w:right="40" w:firstLine="571"/>
        <w:spacing w:after="0" w:line="255" w:lineRule="auto"/>
        <w:rPr>
          <w:sz w:val="20"/>
          <w:szCs w:val="20"/>
          <w:color w:val="auto"/>
        </w:rPr>
      </w:pPr>
      <w:r>
        <w:rPr>
          <w:rFonts w:ascii="Times New Roman" w:cs="Times New Roman" w:eastAsia="Times New Roman" w:hAnsi="Times New Roman"/>
          <w:sz w:val="18"/>
          <w:szCs w:val="18"/>
          <w:color w:val="auto"/>
        </w:rPr>
        <w:t>In connection with the offering, Wachovia Capital Markets, LLC and Citigroup Global Markets Inc., on behalf of the underwriters, may purchase and sell notes in the open market. These transactions may include over-allotment, syndicate covering transactions and stabilizing transactions. Over-allotment involves syndicate sales of notes of a particular series in excess of the principal amount of notes of such series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pacing w:after="0" w:line="126" w:lineRule="exact"/>
        <w:rPr>
          <w:sz w:val="20"/>
          <w:szCs w:val="20"/>
          <w:color w:val="auto"/>
        </w:rPr>
      </w:pPr>
    </w:p>
    <w:p>
      <w:pPr>
        <w:ind w:right="420" w:firstLine="571"/>
        <w:spacing w:after="0" w:line="275" w:lineRule="auto"/>
        <w:rPr>
          <w:sz w:val="20"/>
          <w:szCs w:val="20"/>
          <w:color w:val="auto"/>
        </w:rPr>
      </w:pPr>
      <w:r>
        <w:rPr>
          <w:rFonts w:ascii="Times New Roman" w:cs="Times New Roman" w:eastAsia="Times New Roman" w:hAnsi="Times New Roman"/>
          <w:sz w:val="18"/>
          <w:szCs w:val="18"/>
          <w:color w:val="auto"/>
        </w:rPr>
        <w:t>The underwriters also may impose penalty bids. Penalty bids permit the underwriters to reclaim a selling concession from a syndicate member when Wachovia Capital Markets, LLC and Citigroup Global</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Markets Inc., in covering syndicate short positions or making stabilizing purchases, repurchase notes originally sold by that syndicate member.</w:t>
      </w:r>
    </w:p>
    <w:p>
      <w:pPr>
        <w:spacing w:after="0" w:line="158" w:lineRule="exact"/>
        <w:rPr>
          <w:sz w:val="20"/>
          <w:szCs w:val="20"/>
          <w:color w:val="auto"/>
        </w:rPr>
      </w:pPr>
    </w:p>
    <w:p>
      <w:pPr>
        <w:ind w:right="280" w:firstLine="571"/>
        <w:spacing w:after="0" w:line="310" w:lineRule="auto"/>
        <w:rPr>
          <w:sz w:val="20"/>
          <w:szCs w:val="20"/>
          <w:color w:val="auto"/>
        </w:rPr>
      </w:pPr>
      <w:r>
        <w:rPr>
          <w:rFonts w:ascii="Times New Roman" w:cs="Times New Roman" w:eastAsia="Times New Roman" w:hAnsi="Times New Roman"/>
          <w:sz w:val="16"/>
          <w:szCs w:val="16"/>
          <w:color w:val="auto"/>
        </w:rPr>
        <w:t>Any of these activities may have the effect of preventing or retarding a decline in the market prices of the notes. They may also cause the prices of the notes to be higher than the prices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84" w:lineRule="exact"/>
        <w:rPr>
          <w:sz w:val="20"/>
          <w:szCs w:val="20"/>
          <w:color w:val="auto"/>
        </w:rPr>
      </w:pPr>
    </w:p>
    <w:p>
      <w:pPr>
        <w:ind w:left="580"/>
        <w:spacing w:after="0"/>
        <w:tabs>
          <w:tab w:leader="none" w:pos="8260" w:val="left"/>
        </w:tabs>
        <w:rPr>
          <w:sz w:val="20"/>
          <w:szCs w:val="20"/>
          <w:color w:val="auto"/>
        </w:rPr>
      </w:pPr>
      <w:r>
        <w:rPr>
          <w:rFonts w:ascii="Times New Roman" w:cs="Times New Roman" w:eastAsia="Times New Roman" w:hAnsi="Times New Roman"/>
          <w:sz w:val="18"/>
          <w:szCs w:val="18"/>
          <w:color w:val="auto"/>
        </w:rPr>
        <w:t>We estimate that our total expenses for this offering (excluding the underwriting discount) will be $</w:t>
      </w:r>
      <w:r>
        <w:rPr>
          <w:sz w:val="20"/>
          <w:szCs w:val="20"/>
          <w:color w:val="auto"/>
        </w:rPr>
        <w:tab/>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ind w:right="740" w:firstLine="571"/>
        <w:spacing w:after="0" w:line="275" w:lineRule="auto"/>
        <w:rPr>
          <w:sz w:val="20"/>
          <w:szCs w:val="20"/>
          <w:color w:val="auto"/>
        </w:rPr>
      </w:pPr>
      <w:r>
        <w:rPr>
          <w:rFonts w:ascii="Times New Roman" w:cs="Times New Roman" w:eastAsia="Times New Roman" w:hAnsi="Times New Roman"/>
          <w:sz w:val="18"/>
          <w:szCs w:val="18"/>
          <w:color w:val="auto"/>
        </w:rPr>
        <w:t>We expect to deliver the notes against payment for the notes on or about the date specified in the next to last paragraph of the cover page of this prospectus supplement, which will be the third business day following the date of the pricing of the notes.</w:t>
      </w:r>
    </w:p>
    <w:p>
      <w:pPr>
        <w:spacing w:after="0" w:line="106" w:lineRule="exact"/>
        <w:rPr>
          <w:sz w:val="20"/>
          <w:szCs w:val="20"/>
          <w:color w:val="auto"/>
        </w:rPr>
      </w:pPr>
    </w:p>
    <w:p>
      <w:pPr>
        <w:ind w:right="40" w:firstLine="571"/>
        <w:spacing w:after="0" w:line="256" w:lineRule="auto"/>
        <w:rPr>
          <w:sz w:val="20"/>
          <w:szCs w:val="20"/>
          <w:color w:val="auto"/>
        </w:rPr>
      </w:pPr>
      <w:r>
        <w:rPr>
          <w:rFonts w:ascii="Times New Roman" w:cs="Times New Roman" w:eastAsia="Times New Roman" w:hAnsi="Times New Roman"/>
          <w:sz w:val="18"/>
          <w:szCs w:val="18"/>
          <w:color w:val="auto"/>
        </w:rPr>
        <w:t>The underwriters have performed investment banking, advisory and fiduciary services for us from time to time for which they have received customary fees and expenses. The underwriters may, from time to time, engage in transactions with and perform services for us in the ordinary course of their business. In particular, affiliates of Wachovia Capital Markets, LLC and Citigroup Global Markets Inc. are lenders under our existing revolving credit facility, and affiliates of Wachovia Capital Markets, LLC are an administrative agent, syndication agent and co-documentation agent, respectively, under our existing revolving credit facility.</w:t>
      </w:r>
    </w:p>
    <w:p>
      <w:pPr>
        <w:spacing w:after="0" w:line="1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prospectus in electronic format may be made available on the websites maintained by one or more of the underwriters.</w:t>
      </w:r>
    </w:p>
    <w:p>
      <w:pPr>
        <w:spacing w:after="0" w:line="158" w:lineRule="exact"/>
        <w:rPr>
          <w:sz w:val="20"/>
          <w:szCs w:val="20"/>
          <w:color w:val="auto"/>
        </w:rPr>
      </w:pPr>
    </w:p>
    <w:p>
      <w:pPr>
        <w:ind w:right="680" w:firstLine="571"/>
        <w:spacing w:after="0" w:line="275"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0" w:lineRule="exact"/>
        <w:rPr>
          <w:sz w:val="20"/>
          <w:szCs w:val="20"/>
          <w:color w:val="auto"/>
        </w:rPr>
      </w:pPr>
    </w:p>
    <w:p>
      <w:pPr>
        <w:ind w:firstLine="571"/>
        <w:spacing w:after="0" w:line="256" w:lineRule="auto"/>
        <w:rPr>
          <w:sz w:val="20"/>
          <w:szCs w:val="20"/>
          <w:color w:val="auto"/>
        </w:rPr>
      </w:pPr>
      <w:r>
        <w:rPr>
          <w:rFonts w:ascii="Times New Roman" w:cs="Times New Roman" w:eastAsia="Times New Roman" w:hAnsi="Times New Roman"/>
          <w:sz w:val="18"/>
          <w:szCs w:val="18"/>
          <w:color w:val="auto"/>
        </w:rPr>
        <w:t>The consolidated balance sheets as of December 31, 2005 and 2004 and the consolidated statements of operations, common shareholders’ equity and cash flows for the three years ended December 31, 2005, 2004 and 2003 appearing in our Annual Report on Form 10-K, as amended, for the fiscal year ended December 31, 2005 and incorporated by reference into this prospectus supplement and elsewhere in the registration statement have been audited by Grant Thornton LLP, independent registered public accounting firm as indicated in their report with respect thereto, and are incorporated by reference herein and therein in reliance upon the authority of said firm as experts in giving said report.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0" w:lineRule="exact"/>
        <w:rPr>
          <w:sz w:val="20"/>
          <w:szCs w:val="20"/>
          <w:color w:val="auto"/>
        </w:rPr>
      </w:pPr>
    </w:p>
    <w:p>
      <w:pPr>
        <w:ind w:right="60" w:firstLine="571"/>
        <w:spacing w:after="0" w:line="301" w:lineRule="auto"/>
        <w:rPr>
          <w:sz w:val="20"/>
          <w:szCs w:val="20"/>
          <w:color w:val="auto"/>
        </w:rPr>
      </w:pPr>
      <w:r>
        <w:rPr>
          <w:rFonts w:ascii="Times New Roman" w:cs="Times New Roman" w:eastAsia="Times New Roman" w:hAnsi="Times New Roman"/>
          <w:sz w:val="16"/>
          <w:szCs w:val="16"/>
          <w:color w:val="auto"/>
        </w:rPr>
        <w:t>The legality of the notes offered by this prospectus supplement will be passed upon for us by Pillsbury Winthrop Shaw Pittman LLP, Washington, DC. In addition, the description of federal income tax consequences contained in the accompanying prospectus under “Federal Income Tax Consequences” and in this prospectus supplement under “Certain Federal Income Tax Considerations” is, to the extent that it constitutes matters of law, summaries of legal matters or legal conclusions, based upon the opinion of Pillsbury Winthrop Shaw Pittman LLP. Sidley Austin LLP, New York, New York, will act as counsel to the underwriters.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0" w:lineRule="exact"/>
        <w:rPr>
          <w:sz w:val="20"/>
          <w:szCs w:val="20"/>
          <w:color w:val="auto"/>
        </w:rPr>
      </w:pPr>
    </w:p>
    <w:p>
      <w:pPr>
        <w:jc w:val="both"/>
        <w:ind w:right="180" w:firstLine="571"/>
        <w:spacing w:after="0" w:line="26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Securities and Exchange Commission, or SEC. Our SEC filings are available to the public at the SEC’s website at www.sec.gov. You may also read and copy any document we file at the SEC’s Public Reference Room at: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Public Reference Section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45" w:lineRule="exact"/>
        <w:rPr>
          <w:sz w:val="20"/>
          <w:szCs w:val="20"/>
          <w:color w:val="auto"/>
        </w:rPr>
      </w:pPr>
    </w:p>
    <w:p>
      <w:pPr>
        <w:ind w:right="240" w:firstLine="571"/>
        <w:spacing w:after="0" w:line="262" w:lineRule="auto"/>
        <w:rPr>
          <w:sz w:val="20"/>
          <w:szCs w:val="20"/>
          <w:color w:val="auto"/>
        </w:rPr>
      </w:pPr>
      <w:r>
        <w:rPr>
          <w:rFonts w:ascii="Times New Roman" w:cs="Times New Roman" w:eastAsia="Times New Roman" w:hAnsi="Times New Roman"/>
          <w:sz w:val="18"/>
          <w:szCs w:val="18"/>
          <w:color w:val="auto"/>
        </w:rPr>
        <w:t>Please call the SEC at (800) 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19"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 SEC and the New York Stock Exchange, which means we can disclose important information to you by referring you to those documents. The information we incorporate by reference is an important part of this prospectus supplement and the accompanying prospectus, and all information that we will later file with the SEC will automatically update and supersede that information. We incorporate by reference the documents listed below as well as any future filings made with the SEC under Sections 13(a), 13(c), 14, or 15(d) of the Securities Exchange Act of 1934, or the Exchange Act (Exchange Act File No. 1-07533), from the date of this prospectus supplement until we terminate the offering hereunder.</w:t>
      </w:r>
    </w:p>
    <w:p>
      <w:pPr>
        <w:spacing w:after="0" w:line="126" w:lineRule="exact"/>
        <w:rPr>
          <w:sz w:val="20"/>
          <w:szCs w:val="20"/>
          <w:color w:val="auto"/>
        </w:rPr>
      </w:pPr>
    </w:p>
    <w:p>
      <w:pPr>
        <w:ind w:left="800" w:hanging="225"/>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10-K, as amended, for the fiscal year ended December 31, 2005</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 on Form 10-Q for the fiscal quarter ended March 31, 2006</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February 23, 2006</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February 28, 2006</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March 10, 2006</w:t>
      </w:r>
    </w:p>
    <w:p>
      <w:pPr>
        <w:spacing w:after="0" w:line="185" w:lineRule="exact"/>
        <w:rPr>
          <w:sz w:val="20"/>
          <w:szCs w:val="20"/>
          <w:color w:val="auto"/>
        </w:rPr>
      </w:pPr>
    </w:p>
    <w:p>
      <w:pPr>
        <w:ind w:right="60" w:firstLine="571"/>
        <w:spacing w:after="0" w:line="258" w:lineRule="auto"/>
        <w:rPr>
          <w:sz w:val="20"/>
          <w:szCs w:val="20"/>
          <w:color w:val="auto"/>
        </w:rPr>
      </w:pPr>
      <w:r>
        <w:rPr>
          <w:rFonts w:ascii="Times New Roman" w:cs="Times New Roman" w:eastAsia="Times New Roman" w:hAnsi="Times New Roman"/>
          <w:sz w:val="18"/>
          <w:szCs w:val="18"/>
          <w:color w:val="auto"/>
        </w:rPr>
        <w:t>Copies of these filings are available at no cost on our website, www.federalrealty.com. Amendments to these filings will be posted to our website as soon as reasonably practical after filing with the SEC. In addition, you may obtain a copy of these filings and any amendments to the filings at no cost, by writing or telephoning us. Those copies will not include exhibits to the filings unless the exhibits are specifically incorporated by reference in the documents or unless you specifically request them. You also may obtain copies of any exhibits to the registration statement. Please direct your request to:</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Andrew P. Blocher</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Vice President, Capital Markets and Investor Relations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1626 E. Jefferson Street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Rockville, Maryland 20852</w:t>
      </w:r>
    </w:p>
    <w:p>
      <w:pPr>
        <w:spacing w:after="0" w:line="9" w:lineRule="exact"/>
        <w:rPr>
          <w:sz w:val="20"/>
          <w:szCs w:val="20"/>
          <w:color w:val="auto"/>
        </w:rPr>
      </w:pPr>
    </w:p>
    <w:p>
      <w:pPr>
        <w:ind w:left="5540" w:right="4480" w:hanging="1040"/>
        <w:spacing w:after="0" w:line="433" w:lineRule="auto"/>
        <w:tabs>
          <w:tab w:leader="none" w:pos="491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998-8100 or (800) 658-8980 S-19</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571"/>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do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this prospectus supplement and the accompanying prospectus about the provisions or contents of any contract, agreement or any other document referred to are not necessarily complete. Please refer to the actual exhibit for a more complete description of the matters involved. You may obtain copies of the exhibits by contacting the person named above.</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4"/>
          <w:szCs w:val="24"/>
          <w:b w:val="1"/>
          <w:bCs w:val="1"/>
          <w:color w:val="auto"/>
        </w:rPr>
        <w:t>Debt Securities, Common Shares, Preferred Shares, Depositary Shares and Warrants</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may from time to time offer, in one or more series, separately or together, the following:</w:t>
      </w:r>
    </w:p>
    <w:p>
      <w:pPr>
        <w:spacing w:after="0" w:line="77" w:lineRule="exact"/>
        <w:rPr>
          <w:sz w:val="20"/>
          <w:szCs w:val="20"/>
          <w:color w:val="auto"/>
        </w:rPr>
      </w:pPr>
    </w:p>
    <w:p>
      <w:pPr>
        <w:ind w:left="800" w:hanging="225"/>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securities, which may be either senior debt securities or subordinated debt securities;</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shares of beneficial interest (and rights to acquire common shares that are attached to, or trade with, our common shares);</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preferred shares of beneficial interest;</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preferred shares of beneficial interest represented by depositary receipts; and</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our common and preferred shares.</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common shares are listed on the New York Stock Exchange under the symbol “FRT.”</w:t>
      </w:r>
    </w:p>
    <w:p>
      <w:pPr>
        <w:spacing w:after="0" w:line="158" w:lineRule="exact"/>
        <w:rPr>
          <w:sz w:val="20"/>
          <w:szCs w:val="20"/>
          <w:color w:val="auto"/>
        </w:rPr>
      </w:pPr>
    </w:p>
    <w:p>
      <w:pPr>
        <w:jc w:val="both"/>
        <w:ind w:right="160" w:firstLine="571"/>
        <w:spacing w:after="0" w:line="258" w:lineRule="auto"/>
        <w:rPr>
          <w:sz w:val="20"/>
          <w:szCs w:val="20"/>
          <w:color w:val="auto"/>
        </w:rPr>
      </w:pPr>
      <w:r>
        <w:rPr>
          <w:rFonts w:ascii="Times New Roman" w:cs="Times New Roman" w:eastAsia="Times New Roman" w:hAnsi="Times New Roman"/>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23"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Please read this prospectus and the applicable supplement carefully before you invest.</w:t>
      </w:r>
    </w:p>
    <w:p>
      <w:pPr>
        <w:spacing w:after="0" w:line="160" w:lineRule="exact"/>
        <w:rPr>
          <w:sz w:val="20"/>
          <w:szCs w:val="20"/>
          <w:color w:val="auto"/>
        </w:rPr>
      </w:pPr>
    </w:p>
    <w:p>
      <w:pPr>
        <w:ind w:right="200" w:firstLine="571"/>
        <w:spacing w:after="0" w:line="275"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complete or accurate.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145415</wp:posOffset>
            </wp:positionV>
            <wp:extent cx="13976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date of this prospectus is June 20, 2006.</w:t>
      </w:r>
    </w:p>
    <w:p>
      <w:pPr>
        <w:sectPr>
          <w:pgSz w:w="11900" w:h="16838" w:orient="portrait"/>
          <w:cols w:equalWidth="0" w:num="1">
            <w:col w:w="11360"/>
          </w:cols>
          <w:pgMar w:left="240" w:top="455" w:right="29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80" w:type="dxa"/>
            <w:vAlign w:val="bottom"/>
            <w:gridSpan w:val="2"/>
          </w:tcPr>
          <w:p>
            <w:pPr>
              <w:ind w:left="1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r>
      <w:tr>
        <w:trPr>
          <w:trHeight w:val="312"/>
        </w:trPr>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95"/>
        </w:trPr>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56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11140" w:type="dxa"/>
            <w:vAlign w:val="bottom"/>
            <w:gridSpan w:val="11"/>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About this Prospectus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Forward-Looking Information</w:t>
              </w:r>
            </w:hyperlink>
          </w:p>
        </w:tc>
        <w:tc>
          <w:tcPr>
            <w:tcW w:w="900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1140" w:type="dxa"/>
            <w:vAlign w:val="bottom"/>
            <w:gridSpan w:val="11"/>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The Company</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1140" w:type="dxa"/>
            <w:vAlign w:val="bottom"/>
            <w:gridSpan w:val="11"/>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Use of Proceeds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Ratios of Earnings to Combined Fixed Charges and Preferred Share Dividends</w:t>
              </w:r>
            </w:hyperlink>
          </w:p>
        </w:tc>
        <w:tc>
          <w:tcPr>
            <w:tcW w:w="56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1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Description of Debt Securities</w:t>
              </w:r>
            </w:hyperlink>
          </w:p>
        </w:tc>
        <w:tc>
          <w:tcPr>
            <w:tcW w:w="900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30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42">
              <w:r>
                <w:rPr>
                  <w:rFonts w:ascii="Times New Roman" w:cs="Times New Roman" w:eastAsia="Times New Roman" w:hAnsi="Times New Roman"/>
                  <w:sz w:val="18"/>
                  <w:szCs w:val="18"/>
                  <w:color w:val="0000EE"/>
                  <w:w w:val="97"/>
                </w:rPr>
                <w:t>Description of Shares of Beneficial Interest</w:t>
              </w:r>
            </w:hyperlink>
          </w:p>
        </w:tc>
        <w:tc>
          <w:tcPr>
            <w:tcW w:w="80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24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6"/>
              </w:rPr>
            </w:pPr>
            <w:hyperlink w:anchor="page56">
              <w:r>
                <w:rPr>
                  <w:rFonts w:ascii="Times New Roman" w:cs="Times New Roman" w:eastAsia="Times New Roman" w:hAnsi="Times New Roman"/>
                  <w:sz w:val="18"/>
                  <w:szCs w:val="18"/>
                  <w:color w:val="0000EE"/>
                  <w:w w:val="96"/>
                </w:rPr>
                <w:t>Federal Income Tax Consequences</w:t>
              </w:r>
            </w:hyperlink>
          </w:p>
        </w:tc>
        <w:tc>
          <w:tcPr>
            <w:tcW w:w="868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1140" w:type="dxa"/>
            <w:vAlign w:val="bottom"/>
            <w:gridSpan w:val="11"/>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Plan of Distribution</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96"/>
        </w:trPr>
        <w:tc>
          <w:tcPr>
            <w:tcW w:w="14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Legal Matters</w:t>
              </w:r>
            </w:hyperlink>
          </w:p>
        </w:tc>
        <w:tc>
          <w:tcPr>
            <w:tcW w:w="97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100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Experts</w:t>
              </w:r>
            </w:hyperlink>
          </w:p>
        </w:tc>
        <w:tc>
          <w:tcPr>
            <w:tcW w:w="1014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83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1140" w:type="dxa"/>
            <w:vAlign w:val="bottom"/>
            <w:gridSpan w:val="11"/>
          </w:tcPr>
          <w:p>
            <w:pPr>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Where You Can Find More Information</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0" w:lineRule="exact"/>
        <w:rPr>
          <w:sz w:val="20"/>
          <w:szCs w:val="20"/>
          <w:color w:val="auto"/>
        </w:rPr>
      </w:pPr>
    </w:p>
    <w:p>
      <w:pPr>
        <w:ind w:right="20" w:firstLine="571"/>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You should read both this prospectus and the applicable prospectus supplement, together with additional information described under the heading “Where You Can Find More Information.”</w:t>
      </w:r>
    </w:p>
    <w:p>
      <w:pPr>
        <w:spacing w:after="0" w:line="126" w:lineRule="exact"/>
        <w:rPr>
          <w:sz w:val="20"/>
          <w:szCs w:val="20"/>
          <w:color w:val="auto"/>
        </w:rPr>
      </w:pPr>
    </w:p>
    <w:p>
      <w:pPr>
        <w:ind w:right="140" w:firstLine="571"/>
        <w:spacing w:after="0" w:line="275" w:lineRule="auto"/>
        <w:rPr>
          <w:sz w:val="20"/>
          <w:szCs w:val="20"/>
          <w:color w:val="auto"/>
        </w:rPr>
      </w:pPr>
      <w:r>
        <w:rPr>
          <w:rFonts w:ascii="Times New Roman" w:cs="Times New Roman" w:eastAsia="Times New Roman" w:hAnsi="Times New Roman"/>
          <w:sz w:val="18"/>
          <w:szCs w:val="18"/>
          <w:color w:val="auto"/>
        </w:rPr>
        <w:t>References to “we,” “us” or “our” refer to Federal Realty Investment Trust and its directly or indirectly owned subsidiaries, unless the context otherwise requires. The term “you” refers to a prospective investor.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60" w:lineRule="exact"/>
        <w:rPr>
          <w:sz w:val="20"/>
          <w:szCs w:val="20"/>
          <w:color w:val="auto"/>
        </w:rPr>
      </w:pPr>
    </w:p>
    <w:p>
      <w:pPr>
        <w:ind w:right="40" w:firstLine="571"/>
        <w:spacing w:after="0" w:line="253" w:lineRule="auto"/>
        <w:rPr>
          <w:sz w:val="20"/>
          <w:szCs w:val="20"/>
          <w:color w:val="auto"/>
        </w:rPr>
      </w:pPr>
      <w:r>
        <w:rPr>
          <w:rFonts w:ascii="Times New Roman" w:cs="Times New Roman" w:eastAsia="Times New Roman" w:hAnsi="Times New Roman"/>
          <w:sz w:val="18"/>
          <w:szCs w:val="18"/>
          <w:color w:val="auto"/>
        </w:rPr>
        <w:t>Before investing in our securities, you should be aware that there are various risks. Investors should carefully consider, among other factors, the factors discussed in this prospectus and in any prospectus supplement. This prospectus contains, and any accompanying prospectus supplement will contain, forward-looking statements within the meaning of Section 27A of the Securities Act of 1933, as amended, Section 21E of the Securities Exchange Act of 1934, as amended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60" w:lineRule="exact"/>
        <w:rPr>
          <w:sz w:val="20"/>
          <w:szCs w:val="20"/>
          <w:color w:val="auto"/>
        </w:rPr>
      </w:pPr>
    </w:p>
    <w:p>
      <w:pPr>
        <w:ind w:right="160" w:firstLine="571"/>
        <w:spacing w:after="0" w:line="258" w:lineRule="auto"/>
        <w:rPr>
          <w:sz w:val="20"/>
          <w:szCs w:val="20"/>
          <w:color w:val="auto"/>
        </w:rPr>
      </w:pPr>
      <w:r>
        <w:rPr>
          <w:rFonts w:ascii="Times New Roman" w:cs="Times New Roman" w:eastAsia="Times New Roman" w:hAnsi="Times New Roman"/>
          <w:sz w:val="18"/>
          <w:szCs w:val="18"/>
          <w:color w:val="auto"/>
        </w:rPr>
        <w:t>Federal Realty Investment Trust is an equity real estate investment trust specializing in the ownership, management, development and redevelopment of high-quality retail and mixed-use properties. As of March 31, 2006, we owned or had a majority interest in 104 community and neighborhood shopping centers and mixed-use properties comprising approximately 17.6 million square feet, located primarily in densely populated and affluent communities throughout the Northeast and Mid-Atlantic United States, as well as in California, and one apartment complex in Maryland.</w:t>
      </w:r>
    </w:p>
    <w:p>
      <w:pPr>
        <w:spacing w:after="0" w:line="123" w:lineRule="exact"/>
        <w:rPr>
          <w:sz w:val="20"/>
          <w:szCs w:val="20"/>
          <w:color w:val="auto"/>
        </w:rPr>
      </w:pPr>
    </w:p>
    <w:p>
      <w:pPr>
        <w:ind w:firstLine="571"/>
        <w:spacing w:after="0" w:line="262" w:lineRule="auto"/>
        <w:rPr>
          <w:sz w:val="20"/>
          <w:szCs w:val="20"/>
          <w:color w:val="auto"/>
        </w:rPr>
      </w:pPr>
      <w:r>
        <w:rPr>
          <w:rFonts w:ascii="Times New Roman" w:cs="Times New Roman" w:eastAsia="Times New Roman" w:hAnsi="Times New Roman"/>
          <w:sz w:val="18"/>
          <w:szCs w:val="18"/>
          <w:color w:val="auto"/>
        </w:rPr>
        <w:t xml:space="preserve">We operate in a manner intended to qualify as a real estate investment trust pursuant to provisions of the Internal Revenue Code. Our offices are located at 1626 East Jefferson Street, Rockville, Maryland 20852. Our telephone number is (301) 998-8100 or (800) 658-8980. Our website address is </w:t>
      </w:r>
      <w:r>
        <w:rPr>
          <w:rFonts w:ascii="Times New Roman" w:cs="Times New Roman" w:eastAsia="Times New Roman" w:hAnsi="Times New Roman"/>
          <w:sz w:val="18"/>
          <w:szCs w:val="18"/>
          <w:i w:val="1"/>
          <w:iCs w:val="1"/>
          <w:color w:val="auto"/>
        </w:rPr>
        <w:t>www.federalrealty.com</w:t>
      </w:r>
      <w:r>
        <w:rPr>
          <w:rFonts w:ascii="Times New Roman" w:cs="Times New Roman" w:eastAsia="Times New Roman" w:hAnsi="Times New Roman"/>
          <w:sz w:val="18"/>
          <w:szCs w:val="18"/>
          <w:color w:val="auto"/>
        </w:rPr>
        <w:t>. The information contained in our website is not a part of this prospectus.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0" w:lineRule="exact"/>
        <w:rPr>
          <w:sz w:val="20"/>
          <w:szCs w:val="20"/>
          <w:color w:val="auto"/>
        </w:rPr>
      </w:pPr>
    </w:p>
    <w:p>
      <w:pPr>
        <w:ind w:right="580" w:firstLine="571"/>
        <w:spacing w:after="0" w:line="275"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we will use the net proceeds from the sale of securities for one or more of the following:</w:t>
      </w:r>
    </w:p>
    <w:p>
      <w:pPr>
        <w:spacing w:after="0" w:line="25" w:lineRule="exact"/>
        <w:rPr>
          <w:sz w:val="20"/>
          <w:szCs w:val="20"/>
          <w:color w:val="auto"/>
        </w:rPr>
      </w:pPr>
    </w:p>
    <w:p>
      <w:pPr>
        <w:ind w:left="800" w:hanging="225"/>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debt;</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additional properties;</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properties;</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redevelopment of existing properties;</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of preferred shares; and</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and general corporate purposes.</w:t>
      </w:r>
    </w:p>
    <w:p>
      <w:pPr>
        <w:spacing w:after="0" w:line="18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RATIO OF EARNINGS TO COMBINED FIXED CHARGES AND PREFERRED STOCK DIVIDENDS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sets forth our historical ratio of earnings to fixed charges and preferred stock dividends for the periods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9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9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00" w:type="dxa"/>
            <w:vAlign w:val="bottom"/>
            <w:gridSpan w:val="7"/>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For the Years Ended December 31,</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2006</w:t>
            </w:r>
          </w:p>
        </w:tc>
        <w:tc>
          <w:tcPr>
            <w:tcW w:w="340" w:type="dxa"/>
            <w:vAlign w:val="bottom"/>
          </w:tcPr>
          <w:p>
            <w:pPr>
              <w:spacing w:after="0"/>
              <w:rPr>
                <w:sz w:val="22"/>
                <w:szCs w:val="22"/>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2005</w:t>
            </w:r>
          </w:p>
        </w:tc>
        <w:tc>
          <w:tcPr>
            <w:tcW w:w="3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2005</w:t>
            </w:r>
          </w:p>
        </w:tc>
        <w:tc>
          <w:tcPr>
            <w:tcW w:w="60" w:type="dxa"/>
            <w:vAlign w:val="bottom"/>
          </w:tcPr>
          <w:p>
            <w:pPr>
              <w:spacing w:after="0"/>
              <w:rPr>
                <w:sz w:val="22"/>
                <w:szCs w:val="2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2004</w:t>
            </w:r>
          </w:p>
        </w:tc>
        <w:tc>
          <w:tcPr>
            <w:tcW w:w="2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2003</w:t>
            </w:r>
          </w:p>
        </w:tc>
        <w:tc>
          <w:tcPr>
            <w:tcW w:w="2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2002</w:t>
            </w:r>
          </w:p>
        </w:tc>
        <w:tc>
          <w:tcPr>
            <w:tcW w:w="2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9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1.9</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w:t>
            </w: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w:t>
            </w:r>
          </w:p>
        </w:tc>
        <w:tc>
          <w:tcPr>
            <w:tcW w:w="88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w:t>
            </w:r>
          </w:p>
        </w:tc>
        <w:tc>
          <w:tcPr>
            <w:tcW w:w="6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w:t>
            </w:r>
          </w:p>
        </w:tc>
        <w:tc>
          <w:tcPr>
            <w:tcW w:w="6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stock dividends</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1.5</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right="60" w:firstLine="571"/>
        <w:spacing w:after="0" w:line="258" w:lineRule="auto"/>
        <w:rPr>
          <w:sz w:val="20"/>
          <w:szCs w:val="20"/>
          <w:color w:val="auto"/>
        </w:rPr>
      </w:pPr>
      <w:r>
        <w:rPr>
          <w:rFonts w:ascii="Times New Roman" w:cs="Times New Roman" w:eastAsia="Times New Roman" w:hAnsi="Times New Roman"/>
          <w:sz w:val="18"/>
          <w:szCs w:val="18"/>
          <w:color w:val="auto"/>
        </w:rPr>
        <w:t>The ratio of earnings to fixed charges is computed by dividing earnings by fixed charges. In computing the ratio of earnings to fixed charges: (a) earnings consist of income from continuing operations before minority interests plus distributed income of equity investees and fixed charges (excluding capitalized interest) less minority interests of subsidiaries with no fixed charges; and (b) fixed charges consist of interest expense including amortization of debt discounts and issuance costs (including capitalized interest) and the estimated portion of rents payable by us representing interest.</w:t>
      </w:r>
    </w:p>
    <w:p>
      <w:pPr>
        <w:spacing w:after="0" w:line="123" w:lineRule="exact"/>
        <w:rPr>
          <w:sz w:val="20"/>
          <w:szCs w:val="20"/>
          <w:color w:val="auto"/>
        </w:rPr>
      </w:pPr>
    </w:p>
    <w:p>
      <w:pPr>
        <w:ind w:right="60" w:firstLine="571"/>
        <w:spacing w:after="0" w:line="255" w:lineRule="auto"/>
        <w:rPr>
          <w:sz w:val="20"/>
          <w:szCs w:val="20"/>
          <w:color w:val="auto"/>
        </w:rPr>
      </w:pPr>
      <w:r>
        <w:rPr>
          <w:rFonts w:ascii="Times New Roman" w:cs="Times New Roman" w:eastAsia="Times New Roman" w:hAnsi="Times New Roman"/>
          <w:sz w:val="18"/>
          <w:szCs w:val="18"/>
          <w:color w:val="auto"/>
        </w:rPr>
        <w:t>The ratio of earnings to combined fixed charges and preferred stock dividends is computed by dividing earnings by the total of fixed charges and preferred stock dividends. In computing the ratio of earnings to combined fixed charges and preferred stock dividends: (a) earnings consist of income from continuing operations before minority interests plus distributed income of equity investees and fixed charges (excluding capitalized interest) less minority interests of subsidiaries with no fixed charges; (b) fixed charges consist of interest expense including amortization of debt discounts and issuance costs (including capitalized interest) and the estimated portion of rents payable by us representing interest; and (c) preferred stock dividends consist of preferred stock dividends and preferred stock redemption costs.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60" w:lineRule="exact"/>
        <w:rPr>
          <w:sz w:val="20"/>
          <w:szCs w:val="20"/>
          <w:color w:val="auto"/>
        </w:rPr>
      </w:pPr>
    </w:p>
    <w:p>
      <w:pPr>
        <w:ind w:right="320" w:firstLine="571"/>
        <w:spacing w:after="0" w:line="301" w:lineRule="auto"/>
        <w:rPr>
          <w:sz w:val="20"/>
          <w:szCs w:val="20"/>
          <w:color w:val="auto"/>
        </w:rPr>
      </w:pPr>
      <w:r>
        <w:rPr>
          <w:rFonts w:ascii="Times New Roman" w:cs="Times New Roman" w:eastAsia="Times New Roman" w:hAnsi="Times New Roman"/>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Terms of Debt Securities</w:t>
      </w:r>
    </w:p>
    <w:p>
      <w:pPr>
        <w:spacing w:after="0" w:line="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Unless we say otherwise in a prospectus supplement, debt securities we offer through this prospectus:</w:t>
      </w:r>
    </w:p>
    <w:p>
      <w:pPr>
        <w:spacing w:after="0" w:line="77" w:lineRule="exact"/>
        <w:rPr>
          <w:sz w:val="20"/>
          <w:szCs w:val="20"/>
          <w:color w:val="auto"/>
        </w:rPr>
      </w:pPr>
    </w:p>
    <w:p>
      <w:pPr>
        <w:ind w:left="800" w:hanging="225"/>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our general, direct and unsecured obligations; and</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either senior debt securities or subordinated debt securities.</w:t>
      </w:r>
    </w:p>
    <w:p>
      <w:pPr>
        <w:spacing w:after="0" w:line="185" w:lineRule="exact"/>
        <w:rPr>
          <w:sz w:val="20"/>
          <w:szCs w:val="20"/>
          <w:color w:val="auto"/>
        </w:rPr>
      </w:pPr>
    </w:p>
    <w:p>
      <w:pPr>
        <w:ind w:right="160" w:firstLine="571"/>
        <w:spacing w:after="0" w:line="275" w:lineRule="auto"/>
        <w:rPr>
          <w:sz w:val="20"/>
          <w:szCs w:val="20"/>
          <w:color w:val="auto"/>
        </w:rPr>
      </w:pPr>
      <w:r>
        <w:rPr>
          <w:rFonts w:ascii="Times New Roman" w:cs="Times New Roman" w:eastAsia="Times New Roman" w:hAnsi="Times New Roman"/>
          <w:sz w:val="18"/>
          <w:szCs w:val="18"/>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may incur additional debt, subject to limitations in the agreements governing our credit and other debt facilities and other notes we may have issued.</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Unless we say otherwise in a prospectus supplement:</w:t>
      </w:r>
    </w:p>
    <w:p>
      <w:pPr>
        <w:spacing w:after="0" w:line="77" w:lineRule="exact"/>
        <w:rPr>
          <w:sz w:val="20"/>
          <w:szCs w:val="20"/>
          <w:color w:val="auto"/>
        </w:rPr>
      </w:pPr>
    </w:p>
    <w:p>
      <w:pPr>
        <w:ind w:left="800" w:hanging="225"/>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we offer through this prospectus will not limit the amount of other debt that we may incur;</w:t>
      </w:r>
    </w:p>
    <w:p>
      <w:pPr>
        <w:spacing w:after="0" w:line="103" w:lineRule="exact"/>
        <w:rPr>
          <w:rFonts w:ascii="Times New Roman" w:cs="Times New Roman" w:eastAsia="Times New Roman" w:hAnsi="Times New Roman"/>
          <w:sz w:val="18"/>
          <w:szCs w:val="18"/>
          <w:color w:val="auto"/>
        </w:rPr>
      </w:pPr>
    </w:p>
    <w:p>
      <w:pPr>
        <w:ind w:left="800" w:right="520" w:hanging="225"/>
        <w:spacing w:after="0" w:line="275" w:lineRule="auto"/>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list the debt securities on any securities exchange.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Indentures</w:t>
      </w:r>
    </w:p>
    <w:p>
      <w:pPr>
        <w:spacing w:after="0" w:line="79" w:lineRule="exact"/>
        <w:rPr>
          <w:sz w:val="20"/>
          <w:szCs w:val="20"/>
          <w:color w:val="auto"/>
        </w:rPr>
      </w:pPr>
    </w:p>
    <w:p>
      <w:pPr>
        <w:jc w:val="both"/>
        <w:ind w:right="20" w:firstLine="571"/>
        <w:spacing w:after="0" w:line="256" w:lineRule="auto"/>
        <w:rPr>
          <w:sz w:val="20"/>
          <w:szCs w:val="20"/>
          <w:color w:val="auto"/>
        </w:rPr>
      </w:pPr>
      <w:r>
        <w:rPr>
          <w:rFonts w:ascii="Times New Roman" w:cs="Times New Roman" w:eastAsia="Times New Roman" w:hAnsi="Times New Roman"/>
          <w:sz w:val="18"/>
          <w:szCs w:val="18"/>
          <w:color w:val="auto"/>
        </w:rPr>
        <w:t>Any debt securities we offer through this prospectus will be issued under an indenture between us and Wachovia Bank National Association, as successor to First Union National Bank, Trustee. We have filed with the SEC two indentures that are exhibits to the registration statement that includes this prospectus. The senior indenture describes the general terms of senior debt securities we may issue. In addition to describing the general terms of subordinated debt securities that we may issue, the subordinated indenture includes additional terms describing the subordination provisions of these securities. Each of the indentures is subject to the Trust Indenture Act of 1939, as amended.</w:t>
      </w:r>
    </w:p>
    <w:p>
      <w:pPr>
        <w:spacing w:after="0" w:line="125" w:lineRule="exact"/>
        <w:rPr>
          <w:sz w:val="20"/>
          <w:szCs w:val="20"/>
          <w:color w:val="auto"/>
        </w:rPr>
      </w:pPr>
    </w:p>
    <w:p>
      <w:pPr>
        <w:ind w:firstLine="571"/>
        <w:spacing w:after="0" w:line="301" w:lineRule="auto"/>
        <w:rPr>
          <w:sz w:val="20"/>
          <w:szCs w:val="20"/>
          <w:color w:val="auto"/>
        </w:rPr>
      </w:pPr>
      <w:r>
        <w:rPr>
          <w:rFonts w:ascii="Times New Roman" w:cs="Times New Roman" w:eastAsia="Times New Roman" w:hAnsi="Times New Roman"/>
          <w:sz w:val="16"/>
          <w:szCs w:val="16"/>
          <w:color w:val="auto"/>
        </w:rPr>
        <w:t>The indentures do not include all the terms of debt securities we may issue through this prospectus. If we issue debt securities through this prospectus, our Board of Trustees will establish the additional terms for each series of debt securities. The additional terms will be either established pursuant to, and set forth in, a supplemental indenture, or established pursuant to a resolution of our Board of Trustees and set forth in an officer’s certificate. Each indenture describes the additional terms that may be established and we summarize the additional terms that may be established under “— Additional Terms of Debt Securities,” below.</w:t>
      </w:r>
    </w:p>
    <w:p>
      <w:pPr>
        <w:spacing w:after="0" w:line="90" w:lineRule="exact"/>
        <w:rPr>
          <w:sz w:val="20"/>
          <w:szCs w:val="20"/>
          <w:color w:val="auto"/>
        </w:rPr>
      </w:pPr>
    </w:p>
    <w:p>
      <w:pPr>
        <w:ind w:right="20" w:firstLine="571"/>
        <w:spacing w:after="0" w:line="258" w:lineRule="auto"/>
        <w:rPr>
          <w:sz w:val="20"/>
          <w:szCs w:val="20"/>
          <w:color w:val="auto"/>
        </w:rPr>
      </w:pPr>
      <w:r>
        <w:rPr>
          <w:rFonts w:ascii="Times New Roman" w:cs="Times New Roman" w:eastAsia="Times New Roman" w:hAnsi="Times New Roman"/>
          <w:sz w:val="18"/>
          <w:szCs w:val="18"/>
          <w:color w:val="auto"/>
        </w:rPr>
        <w:t>We have summarized the provisions of the senior indenture and the subordinated indenture below. The summary is not complete. You should read the indentures for provisions that may be important to you. The extent, if any, to which the provisions of the base indentures apply to particular debt securities will be described in the prospectus supplement relating to those securities. You should read the prospectus supplement for more information regarding any particular issuance of debt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Terms of Debt Securities</w:t>
      </w:r>
    </w:p>
    <w:p>
      <w:pPr>
        <w:spacing w:after="0" w:line="79" w:lineRule="exact"/>
        <w:rPr>
          <w:sz w:val="20"/>
          <w:szCs w:val="20"/>
          <w:color w:val="auto"/>
        </w:rPr>
      </w:pPr>
    </w:p>
    <w:p>
      <w:pPr>
        <w:ind w:firstLine="571"/>
        <w:spacing w:after="0" w:line="262" w:lineRule="auto"/>
        <w:rPr>
          <w:sz w:val="20"/>
          <w:szCs w:val="20"/>
          <w:color w:val="auto"/>
        </w:rPr>
      </w:pPr>
      <w:r>
        <w:rPr>
          <w:rFonts w:ascii="Times New Roman" w:cs="Times New Roman" w:eastAsia="Times New Roman" w:hAnsi="Times New Roman"/>
          <w:sz w:val="18"/>
          <w:szCs w:val="18"/>
          <w:color w:val="auto"/>
        </w:rPr>
        <w:t>As described above, the terms of a particular series of debt securities we offer through this prospectus will be established by our Board of Trustees when we issue the series. We will describe the terms of the series in a prospectus supplement. Each indenture provides that the terms that may be established include the following:</w:t>
      </w:r>
    </w:p>
    <w:p>
      <w:pPr>
        <w:spacing w:after="0" w:line="34" w:lineRule="exact"/>
        <w:rPr>
          <w:sz w:val="20"/>
          <w:szCs w:val="20"/>
          <w:color w:val="auto"/>
        </w:rPr>
      </w:pPr>
    </w:p>
    <w:p>
      <w:pPr>
        <w:ind w:left="580"/>
        <w:spacing w:after="0"/>
        <w:tabs>
          <w:tab w:leader="none" w:pos="780" w:val="left"/>
          <w:tab w:leader="none" w:pos="1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i w:val="1"/>
          <w:iCs w:val="1"/>
          <w:color w:val="auto"/>
        </w:rPr>
        <w:t>Title.</w:t>
      </w:r>
      <w:r>
        <w:rPr>
          <w:sz w:val="20"/>
          <w:szCs w:val="20"/>
          <w:color w:val="auto"/>
        </w:rPr>
        <w:tab/>
      </w:r>
      <w:r>
        <w:rPr>
          <w:rFonts w:ascii="Times New Roman" w:cs="Times New Roman" w:eastAsia="Times New Roman" w:hAnsi="Times New Roman"/>
          <w:sz w:val="16"/>
          <w:szCs w:val="16"/>
          <w:color w:val="auto"/>
        </w:rPr>
        <w:t>The title of the debt securities offered.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800" w:hanging="225"/>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Amount.  </w:t>
      </w:r>
      <w:r>
        <w:rPr>
          <w:rFonts w:ascii="Times New Roman" w:cs="Times New Roman" w:eastAsia="Times New Roman" w:hAnsi="Times New Roman"/>
          <w:sz w:val="18"/>
          <w:szCs w:val="18"/>
          <w:color w:val="auto"/>
        </w:rPr>
        <w:t>Any limit upon the total principal amount of the series of debt securities offered.</w:t>
      </w:r>
    </w:p>
    <w:p>
      <w:pPr>
        <w:spacing w:after="0" w:line="103" w:lineRule="exact"/>
        <w:rPr>
          <w:rFonts w:ascii="Times New Roman" w:cs="Times New Roman" w:eastAsia="Times New Roman" w:hAnsi="Times New Roman"/>
          <w:sz w:val="18"/>
          <w:szCs w:val="18"/>
          <w:color w:val="auto"/>
        </w:rPr>
      </w:pPr>
    </w:p>
    <w:p>
      <w:pPr>
        <w:ind w:left="800" w:right="220" w:hanging="225"/>
        <w:spacing w:after="0" w:line="280"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Maturity. </w:t>
      </w:r>
      <w:r>
        <w:rPr>
          <w:rFonts w:ascii="Times New Roman" w:cs="Times New Roman" w:eastAsia="Times New Roman" w:hAnsi="Times New Roman"/>
          <w:sz w:val="18"/>
          <w:szCs w:val="18"/>
          <w:color w:val="auto"/>
        </w:rPr>
        <w:t>The date or dates on which the principal of and premium, if any, on the offered debt securities will mature or the method of determining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date or dates.</w:t>
      </w:r>
    </w:p>
    <w:p>
      <w:pPr>
        <w:spacing w:after="0" w:line="16" w:lineRule="exact"/>
        <w:rPr>
          <w:rFonts w:ascii="Times New Roman" w:cs="Times New Roman" w:eastAsia="Times New Roman" w:hAnsi="Times New Roman"/>
          <w:sz w:val="18"/>
          <w:szCs w:val="18"/>
          <w:color w:val="auto"/>
        </w:rPr>
      </w:pPr>
    </w:p>
    <w:p>
      <w:pPr>
        <w:ind w:left="800" w:right="500" w:hanging="225"/>
        <w:spacing w:after="0" w:line="280"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Rate. </w:t>
      </w:r>
      <w:r>
        <w:rPr>
          <w:rFonts w:ascii="Times New Roman" w:cs="Times New Roman" w:eastAsia="Times New Roman" w:hAnsi="Times New Roman"/>
          <w:sz w:val="18"/>
          <w:szCs w:val="18"/>
          <w:color w:val="auto"/>
        </w:rPr>
        <w:t>The rate or rates (which may be fixed or variable) at which the offered debt securities will bear interest, if any, or the method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calculating such rate or rates.</w:t>
      </w:r>
    </w:p>
    <w:p>
      <w:pPr>
        <w:spacing w:after="0" w:line="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Accrual.  </w:t>
      </w:r>
      <w:r>
        <w:rPr>
          <w:rFonts w:ascii="Times New Roman" w:cs="Times New Roman" w:eastAsia="Times New Roman" w:hAnsi="Times New Roman"/>
          <w:sz w:val="18"/>
          <w:szCs w:val="18"/>
          <w:color w:val="auto"/>
        </w:rPr>
        <w:t>The date or dates from which interest will accrue or the method by which such date or dates will be determined.</w:t>
      </w:r>
    </w:p>
    <w:p>
      <w:pPr>
        <w:spacing w:after="0" w:line="103" w:lineRule="exact"/>
        <w:rPr>
          <w:rFonts w:ascii="Times New Roman" w:cs="Times New Roman" w:eastAsia="Times New Roman" w:hAnsi="Times New Roman"/>
          <w:sz w:val="18"/>
          <w:szCs w:val="18"/>
          <w:color w:val="auto"/>
        </w:rPr>
      </w:pPr>
    </w:p>
    <w:p>
      <w:pPr>
        <w:ind w:left="800" w:right="180" w:hanging="225"/>
        <w:spacing w:after="0" w:line="280"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Payment Dates. </w:t>
      </w:r>
      <w:r>
        <w:rPr>
          <w:rFonts w:ascii="Times New Roman" w:cs="Times New Roman" w:eastAsia="Times New Roman" w:hAnsi="Times New Roman"/>
          <w:sz w:val="18"/>
          <w:szCs w:val="18"/>
          <w:color w:val="auto"/>
        </w:rPr>
        <w:t>The date or dates on which interest will be payable and the record date or dates to determine the persons who will receive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w:t>
      </w:r>
    </w:p>
    <w:p>
      <w:pPr>
        <w:spacing w:after="0" w:line="16" w:lineRule="exact"/>
        <w:rPr>
          <w:rFonts w:ascii="Times New Roman" w:cs="Times New Roman" w:eastAsia="Times New Roman" w:hAnsi="Times New Roman"/>
          <w:sz w:val="18"/>
          <w:szCs w:val="18"/>
          <w:color w:val="auto"/>
        </w:rPr>
      </w:pPr>
    </w:p>
    <w:p>
      <w:pPr>
        <w:ind w:left="800" w:hanging="225"/>
        <w:spacing w:after="0" w:line="280"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Place of Payment. </w:t>
      </w:r>
      <w:r>
        <w:rPr>
          <w:rFonts w:ascii="Times New Roman" w:cs="Times New Roman" w:eastAsia="Times New Roman" w:hAnsi="Times New Roman"/>
          <w:sz w:val="18"/>
          <w:szCs w:val="18"/>
          <w:color w:val="auto"/>
        </w:rPr>
        <w:t>The place or places where principal of, premium, if any, and interest, on the offered debt securities will be payable or at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offered debt securities may be surrendered for registration of transfer or exchange.</w:t>
      </w:r>
    </w:p>
    <w:p>
      <w:pPr>
        <w:spacing w:after="0" w:line="16" w:lineRule="exact"/>
        <w:rPr>
          <w:rFonts w:ascii="Times New Roman" w:cs="Times New Roman" w:eastAsia="Times New Roman" w:hAnsi="Times New Roman"/>
          <w:sz w:val="18"/>
          <w:szCs w:val="18"/>
          <w:color w:val="auto"/>
        </w:rPr>
      </w:pPr>
    </w:p>
    <w:p>
      <w:pPr>
        <w:ind w:left="800" w:right="60" w:hanging="225"/>
        <w:spacing w:after="0" w:line="265"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Optional Redemption. </w:t>
      </w:r>
      <w:r>
        <w:rPr>
          <w:rFonts w:ascii="Times New Roman" w:cs="Times New Roman" w:eastAsia="Times New Roman" w:hAnsi="Times New Roman"/>
          <w:sz w:val="18"/>
          <w:szCs w:val="18"/>
          <w:color w:val="auto"/>
        </w:rPr>
        <w:t>The period or periods within which, the price or prices at which, the currency or currencies (if other than in U.S. dollars),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currency unit or units, in which, and the other terms and conditions upon which, the offered debt securities may be redeemed, in whole or in part, at our option, if we have that option.</w:t>
      </w:r>
    </w:p>
    <w:p>
      <w:pPr>
        <w:spacing w:after="0" w:line="30" w:lineRule="exact"/>
        <w:rPr>
          <w:rFonts w:ascii="Times New Roman" w:cs="Times New Roman" w:eastAsia="Times New Roman" w:hAnsi="Times New Roman"/>
          <w:sz w:val="18"/>
          <w:szCs w:val="18"/>
          <w:color w:val="auto"/>
        </w:rPr>
      </w:pPr>
    </w:p>
    <w:p>
      <w:pPr>
        <w:ind w:left="800" w:right="80" w:hanging="225"/>
        <w:spacing w:after="0" w:line="260"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Mandatory Redemption. </w:t>
      </w:r>
      <w:r>
        <w:rPr>
          <w:rFonts w:ascii="Times New Roman" w:cs="Times New Roman" w:eastAsia="Times New Roman" w:hAnsi="Times New Roman"/>
          <w:sz w:val="18"/>
          <w:szCs w:val="18"/>
          <w:color w:val="auto"/>
        </w:rPr>
        <w:t>The obligation, if any, we have to redeem or repurchase the offered debt securities pursuant to any sinking fund or similar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34"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Denominations.  </w:t>
      </w:r>
      <w:r>
        <w:rPr>
          <w:rFonts w:ascii="Times New Roman" w:cs="Times New Roman" w:eastAsia="Times New Roman" w:hAnsi="Times New Roman"/>
          <w:sz w:val="18"/>
          <w:szCs w:val="18"/>
          <w:color w:val="auto"/>
        </w:rPr>
        <w:t>The denominations in which the offered debt securities are authorized to be issued.</w:t>
      </w:r>
    </w:p>
    <w:p>
      <w:pPr>
        <w:spacing w:after="0" w:line="103" w:lineRule="exact"/>
        <w:rPr>
          <w:rFonts w:ascii="Times New Roman" w:cs="Times New Roman" w:eastAsia="Times New Roman" w:hAnsi="Times New Roman"/>
          <w:sz w:val="18"/>
          <w:szCs w:val="18"/>
          <w:color w:val="auto"/>
        </w:rPr>
      </w:pPr>
    </w:p>
    <w:p>
      <w:pPr>
        <w:ind w:left="800" w:right="120" w:hanging="225"/>
        <w:spacing w:after="0" w:line="260"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Currency. </w:t>
      </w:r>
      <w:r>
        <w:rPr>
          <w:rFonts w:ascii="Times New Roman" w:cs="Times New Roman" w:eastAsia="Times New Roman" w:hAnsi="Times New Roman"/>
          <w:sz w:val="18"/>
          <w:szCs w:val="18"/>
          <w:color w:val="auto"/>
        </w:rPr>
        <w:t>The currency or currency unit in which the offered debt securities may be denominated and/or the currency or currencies,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34" w:lineRule="exact"/>
        <w:rPr>
          <w:rFonts w:ascii="Times New Roman" w:cs="Times New Roman" w:eastAsia="Times New Roman" w:hAnsi="Times New Roman"/>
          <w:sz w:val="18"/>
          <w:szCs w:val="18"/>
          <w:color w:val="auto"/>
        </w:rPr>
      </w:pPr>
    </w:p>
    <w:p>
      <w:pPr>
        <w:ind w:left="800" w:right="160" w:hanging="225"/>
        <w:spacing w:after="0" w:line="280"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Indexed Principal. </w:t>
      </w:r>
      <w:r>
        <w:rPr>
          <w:rFonts w:ascii="Times New Roman" w:cs="Times New Roman" w:eastAsia="Times New Roman" w:hAnsi="Times New Roman"/>
          <w:sz w:val="18"/>
          <w:szCs w:val="18"/>
          <w:color w:val="auto"/>
        </w:rPr>
        <w:t>If the amount of principal of, or premium, if any, or interest on, the offered debt securities may be determined with reference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index or pursuant to a formula or other method, the manner in which such amounts will be determined.</w:t>
      </w:r>
    </w:p>
    <w:p>
      <w:pPr>
        <w:spacing w:after="0" w:line="16" w:lineRule="exact"/>
        <w:rPr>
          <w:rFonts w:ascii="Times New Roman" w:cs="Times New Roman" w:eastAsia="Times New Roman" w:hAnsi="Times New Roman"/>
          <w:sz w:val="18"/>
          <w:szCs w:val="18"/>
          <w:color w:val="auto"/>
        </w:rPr>
      </w:pPr>
    </w:p>
    <w:p>
      <w:pPr>
        <w:ind w:left="800" w:right="100" w:hanging="225"/>
        <w:spacing w:after="0" w:line="280"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Payment on Acceleration. </w:t>
      </w:r>
      <w:r>
        <w:rPr>
          <w:rFonts w:ascii="Times New Roman" w:cs="Times New Roman" w:eastAsia="Times New Roman" w:hAnsi="Times New Roman"/>
          <w:sz w:val="18"/>
          <w:szCs w:val="18"/>
          <w:color w:val="auto"/>
        </w:rPr>
        <w:t>If other than the principal amount, the amount which will be payable upon declaration of the acceleration of the maturity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the method by which such portion shall be determined.</w:t>
      </w:r>
    </w:p>
    <w:p>
      <w:pPr>
        <w:spacing w:after="0" w:line="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Special Rights.  </w:t>
      </w:r>
      <w:r>
        <w:rPr>
          <w:rFonts w:ascii="Times New Roman" w:cs="Times New Roman" w:eastAsia="Times New Roman" w:hAnsi="Times New Roman"/>
          <w:sz w:val="18"/>
          <w:szCs w:val="18"/>
          <w:color w:val="auto"/>
        </w:rPr>
        <w:t>Provisions, if any, granting special rights to the holders of the offered debt securities if certain specified events occur.</w:t>
      </w:r>
    </w:p>
    <w:p>
      <w:pPr>
        <w:spacing w:after="0" w:line="103" w:lineRule="exact"/>
        <w:rPr>
          <w:rFonts w:ascii="Times New Roman" w:cs="Times New Roman" w:eastAsia="Times New Roman" w:hAnsi="Times New Roman"/>
          <w:sz w:val="18"/>
          <w:szCs w:val="18"/>
          <w:color w:val="auto"/>
        </w:rPr>
      </w:pPr>
    </w:p>
    <w:p>
      <w:pPr>
        <w:ind w:left="800" w:right="120" w:hanging="225"/>
        <w:spacing w:after="0" w:line="280"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Modifications to Indentures. </w:t>
      </w:r>
      <w:r>
        <w:rPr>
          <w:rFonts w:ascii="Times New Roman" w:cs="Times New Roman" w:eastAsia="Times New Roman" w:hAnsi="Times New Roman"/>
          <w:sz w:val="18"/>
          <w:szCs w:val="18"/>
          <w:color w:val="auto"/>
        </w:rPr>
        <w:t>Any addition to, or modification or deletion of, any event of default or any of the covenants specified in the indenture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respect to the offered debt securities.</w:t>
      </w:r>
    </w:p>
    <w:p>
      <w:pPr>
        <w:spacing w:after="0" w:line="16" w:lineRule="exact"/>
        <w:rPr>
          <w:rFonts w:ascii="Times New Roman" w:cs="Times New Roman" w:eastAsia="Times New Roman" w:hAnsi="Times New Roman"/>
          <w:sz w:val="18"/>
          <w:szCs w:val="18"/>
          <w:color w:val="auto"/>
        </w:rPr>
      </w:pPr>
    </w:p>
    <w:p>
      <w:pPr>
        <w:ind w:left="800" w:right="60" w:hanging="225"/>
        <w:spacing w:after="0" w:line="280"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Tax “Gross-Up.” </w:t>
      </w:r>
      <w:r>
        <w:rPr>
          <w:rFonts w:ascii="Times New Roman" w:cs="Times New Roman" w:eastAsia="Times New Roman" w:hAnsi="Times New Roman"/>
          <w:sz w:val="18"/>
          <w:szCs w:val="18"/>
          <w:color w:val="auto"/>
        </w:rPr>
        <w:t>The circumstances, if any, under which we will pay additional amounts on the offered debt securities held by non-U.S. persons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taxes, assessments or similar charges.</w:t>
      </w:r>
    </w:p>
    <w:p>
      <w:pPr>
        <w:spacing w:after="0" w:line="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Registered or Bearer Form.  </w:t>
      </w:r>
      <w:r>
        <w:rPr>
          <w:rFonts w:ascii="Times New Roman" w:cs="Times New Roman" w:eastAsia="Times New Roman" w:hAnsi="Times New Roman"/>
          <w:sz w:val="18"/>
          <w:szCs w:val="18"/>
          <w:color w:val="auto"/>
        </w:rPr>
        <w:t>Whether the offered debt securities will be issued in registered or bearer form or both.</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800" w:right="300" w:hanging="225"/>
        <w:spacing w:after="0" w:line="280" w:lineRule="auto"/>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Dates of Certificates. </w:t>
      </w:r>
      <w:r>
        <w:rPr>
          <w:rFonts w:ascii="Times New Roman" w:cs="Times New Roman" w:eastAsia="Times New Roman" w:hAnsi="Times New Roman"/>
          <w:sz w:val="18"/>
          <w:szCs w:val="18"/>
          <w:color w:val="auto"/>
        </w:rPr>
        <w:t>The date as of which any offered debt securities in bearer form and any temporary global security representing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are dated, if other than the original issuance date of the offered debt securities.</w:t>
      </w:r>
    </w:p>
    <w:p>
      <w:pPr>
        <w:spacing w:after="0" w:line="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Forms.  </w:t>
      </w:r>
      <w:r>
        <w:rPr>
          <w:rFonts w:ascii="Times New Roman" w:cs="Times New Roman" w:eastAsia="Times New Roman" w:hAnsi="Times New Roman"/>
          <w:sz w:val="18"/>
          <w:szCs w:val="18"/>
          <w:color w:val="auto"/>
        </w:rPr>
        <w:t>The forms of the securities and interest coupons, if any, of the series.</w:t>
      </w:r>
    </w:p>
    <w:p>
      <w:pPr>
        <w:spacing w:after="0" w:line="103" w:lineRule="exact"/>
        <w:rPr>
          <w:rFonts w:ascii="Times New Roman" w:cs="Times New Roman" w:eastAsia="Times New Roman" w:hAnsi="Times New Roman"/>
          <w:sz w:val="18"/>
          <w:szCs w:val="18"/>
          <w:color w:val="auto"/>
        </w:rPr>
      </w:pPr>
    </w:p>
    <w:p>
      <w:pPr>
        <w:ind w:left="800" w:hanging="225"/>
        <w:spacing w:after="0" w:line="280" w:lineRule="auto"/>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Registrar and Paying Agent. </w:t>
      </w:r>
      <w:r>
        <w:rPr>
          <w:rFonts w:ascii="Times New Roman" w:cs="Times New Roman" w:eastAsia="Times New Roman" w:hAnsi="Times New Roman"/>
          <w:sz w:val="18"/>
          <w:szCs w:val="18"/>
          <w:color w:val="auto"/>
        </w:rPr>
        <w:t>If other than the trustee under the applicable indenture, the identity of the registrar and any paying agent for the offered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securities.</w:t>
      </w:r>
    </w:p>
    <w:p>
      <w:pPr>
        <w:spacing w:after="0" w:line="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Defeasance.  </w:t>
      </w:r>
      <w:r>
        <w:rPr>
          <w:rFonts w:ascii="Times New Roman" w:cs="Times New Roman" w:eastAsia="Times New Roman" w:hAnsi="Times New Roman"/>
          <w:sz w:val="18"/>
          <w:szCs w:val="18"/>
          <w:color w:val="auto"/>
        </w:rPr>
        <w:t>Any means of defeasance or covenant defeasance that may be specified for the offered debt securities.</w:t>
      </w:r>
    </w:p>
    <w:p>
      <w:pPr>
        <w:spacing w:after="0" w:line="103" w:lineRule="exact"/>
        <w:rPr>
          <w:rFonts w:ascii="Times New Roman" w:cs="Times New Roman" w:eastAsia="Times New Roman" w:hAnsi="Times New Roman"/>
          <w:sz w:val="18"/>
          <w:szCs w:val="18"/>
          <w:color w:val="auto"/>
        </w:rPr>
      </w:pPr>
    </w:p>
    <w:p>
      <w:pPr>
        <w:ind w:left="800" w:right="80" w:hanging="225"/>
        <w:spacing w:after="0" w:line="260" w:lineRule="auto"/>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Global Securities. </w:t>
      </w:r>
      <w:r>
        <w:rPr>
          <w:rFonts w:ascii="Times New Roman" w:cs="Times New Roman" w:eastAsia="Times New Roman" w:hAnsi="Times New Roman"/>
          <w:sz w:val="18"/>
          <w:szCs w:val="18"/>
          <w:color w:val="auto"/>
        </w:rPr>
        <w:t>Whether the offered debt securities are to be issued in whole or in part in the form of one or more temporary or permanent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34" w:lineRule="exact"/>
        <w:rPr>
          <w:rFonts w:ascii="Times New Roman" w:cs="Times New Roman" w:eastAsia="Times New Roman" w:hAnsi="Times New Roman"/>
          <w:sz w:val="18"/>
          <w:szCs w:val="18"/>
          <w:color w:val="auto"/>
        </w:rPr>
      </w:pPr>
    </w:p>
    <w:p>
      <w:pPr>
        <w:ind w:left="800" w:hanging="225"/>
        <w:spacing w:after="0" w:line="265" w:lineRule="auto"/>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Documentation. </w:t>
      </w:r>
      <w:r>
        <w:rPr>
          <w:rFonts w:ascii="Times New Roman" w:cs="Times New Roman" w:eastAsia="Times New Roman" w:hAnsi="Times New Roman"/>
          <w:sz w:val="18"/>
          <w:szCs w:val="18"/>
          <w:color w:val="auto"/>
        </w:rPr>
        <w:t>If the offered debt securities may be issued or delivered, or any installation of principal or interest may be paid, only upon receipt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certificates or other documents or satisfaction of other conditions in addition to those specified in the applicable indenture, the form of those certificates, documents or conditions.</w:t>
      </w:r>
    </w:p>
    <w:p>
      <w:pPr>
        <w:spacing w:after="0" w:line="30" w:lineRule="exact"/>
        <w:rPr>
          <w:rFonts w:ascii="Times New Roman" w:cs="Times New Roman" w:eastAsia="Times New Roman" w:hAnsi="Times New Roman"/>
          <w:sz w:val="18"/>
          <w:szCs w:val="18"/>
          <w:color w:val="auto"/>
        </w:rPr>
      </w:pPr>
    </w:p>
    <w:p>
      <w:pPr>
        <w:ind w:left="800" w:right="60" w:hanging="225"/>
        <w:spacing w:after="0" w:line="280" w:lineRule="auto"/>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Payees. </w:t>
      </w:r>
      <w:r>
        <w:rPr>
          <w:rFonts w:ascii="Times New Roman" w:cs="Times New Roman" w:eastAsia="Times New Roman" w:hAnsi="Times New Roman"/>
          <w:sz w:val="18"/>
          <w:szCs w:val="18"/>
          <w:color w:val="auto"/>
        </w:rPr>
        <w:t>If other than as provided in the applicable indenture, the person to whom any interest on any registered security of the series will be payable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manner in which, or the person to whom, any interest on any bearer securities of the series will be payable.</w:t>
      </w:r>
    </w:p>
    <w:p>
      <w:pPr>
        <w:spacing w:after="0" w:line="16" w:lineRule="exact"/>
        <w:rPr>
          <w:rFonts w:ascii="Times New Roman" w:cs="Times New Roman" w:eastAsia="Times New Roman" w:hAnsi="Times New Roman"/>
          <w:sz w:val="18"/>
          <w:szCs w:val="18"/>
          <w:color w:val="auto"/>
        </w:rPr>
      </w:pPr>
    </w:p>
    <w:p>
      <w:pPr>
        <w:ind w:left="800" w:right="540" w:hanging="225"/>
        <w:spacing w:after="0" w:line="280" w:lineRule="auto"/>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Definitions. </w:t>
      </w:r>
      <w:r>
        <w:rPr>
          <w:rFonts w:ascii="Times New Roman" w:cs="Times New Roman" w:eastAsia="Times New Roman" w:hAnsi="Times New Roman"/>
          <w:sz w:val="18"/>
          <w:szCs w:val="18"/>
          <w:color w:val="auto"/>
        </w:rPr>
        <w:t>Any definitions for the offered debt securities of that series that are different from or in addition to the definitions included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indenture, including, without limitation, the definition of “unrestricted subsidiary” to be used for such series.</w:t>
      </w:r>
    </w:p>
    <w:p>
      <w:pPr>
        <w:spacing w:after="0" w:line="16" w:lineRule="exact"/>
        <w:rPr>
          <w:rFonts w:ascii="Times New Roman" w:cs="Times New Roman" w:eastAsia="Times New Roman" w:hAnsi="Times New Roman"/>
          <w:sz w:val="18"/>
          <w:szCs w:val="18"/>
          <w:color w:val="auto"/>
        </w:rPr>
      </w:pPr>
    </w:p>
    <w:p>
      <w:pPr>
        <w:ind w:left="800" w:right="120" w:hanging="225"/>
        <w:spacing w:after="0" w:line="280" w:lineRule="auto"/>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Subordination. </w:t>
      </w:r>
      <w:r>
        <w:rPr>
          <w:rFonts w:ascii="Times New Roman" w:cs="Times New Roman" w:eastAsia="Times New Roman" w:hAnsi="Times New Roman"/>
          <w:sz w:val="18"/>
          <w:szCs w:val="18"/>
          <w:color w:val="auto"/>
        </w:rPr>
        <w:t>In the case of the subordinated indenture, the relative degree to which the offered debt securities shall be senior to or junior to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securities, whether currently outstanding or to be offered in the future, and to other debt, in right of payment.</w:t>
      </w:r>
    </w:p>
    <w:p>
      <w:pPr>
        <w:spacing w:after="0" w:line="16" w:lineRule="exact"/>
        <w:rPr>
          <w:rFonts w:ascii="Times New Roman" w:cs="Times New Roman" w:eastAsia="Times New Roman" w:hAnsi="Times New Roman"/>
          <w:sz w:val="18"/>
          <w:szCs w:val="18"/>
          <w:color w:val="auto"/>
        </w:rPr>
      </w:pPr>
    </w:p>
    <w:p>
      <w:pPr>
        <w:ind w:left="800" w:right="420" w:hanging="225"/>
        <w:spacing w:after="0" w:line="280" w:lineRule="auto"/>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Guarantees. </w:t>
      </w:r>
      <w:r>
        <w:rPr>
          <w:rFonts w:ascii="Times New Roman" w:cs="Times New Roman" w:eastAsia="Times New Roman" w:hAnsi="Times New Roman"/>
          <w:sz w:val="18"/>
          <w:szCs w:val="18"/>
          <w:color w:val="auto"/>
        </w:rPr>
        <w:t>Whether the offered debt securities are guaranteed and, if so, the identity of the guarantors and the terms of the offered guarantees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whether and the extent to which the guarantees are subordinated to other debt of the guarantors).</w:t>
      </w:r>
    </w:p>
    <w:p>
      <w:pPr>
        <w:spacing w:after="0" w:line="16" w:lineRule="exact"/>
        <w:rPr>
          <w:rFonts w:ascii="Times New Roman" w:cs="Times New Roman" w:eastAsia="Times New Roman" w:hAnsi="Times New Roman"/>
          <w:sz w:val="18"/>
          <w:szCs w:val="18"/>
          <w:color w:val="auto"/>
        </w:rPr>
      </w:pPr>
    </w:p>
    <w:p>
      <w:pPr>
        <w:ind w:left="800" w:right="420" w:hanging="225"/>
        <w:spacing w:after="0" w:line="280" w:lineRule="auto"/>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The terms, if any, upon which the offered debt securities may be converted or exchanged into or for our common shares,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or other securities or property.</w:t>
      </w:r>
    </w:p>
    <w:p>
      <w:pPr>
        <w:spacing w:after="0" w:line="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Restrictions.  </w:t>
      </w:r>
      <w:r>
        <w:rPr>
          <w:rFonts w:ascii="Times New Roman" w:cs="Times New Roman" w:eastAsia="Times New Roman" w:hAnsi="Times New Roman"/>
          <w:sz w:val="18"/>
          <w:szCs w:val="18"/>
          <w:color w:val="auto"/>
        </w:rPr>
        <w:t>Any restrictions on the registration, transfer or exchange of the offered debt securities.</w:t>
      </w:r>
    </w:p>
    <w:p>
      <w:pPr>
        <w:spacing w:after="0" w:line="103" w:lineRule="exact"/>
        <w:rPr>
          <w:rFonts w:ascii="Times New Roman" w:cs="Times New Roman" w:eastAsia="Times New Roman" w:hAnsi="Times New Roman"/>
          <w:sz w:val="18"/>
          <w:szCs w:val="18"/>
          <w:color w:val="auto"/>
        </w:rPr>
      </w:pPr>
    </w:p>
    <w:p>
      <w:pPr>
        <w:ind w:left="800" w:right="220" w:hanging="225"/>
        <w:spacing w:after="0" w:line="280" w:lineRule="auto"/>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Terms. </w:t>
      </w:r>
      <w:r>
        <w:rPr>
          <w:rFonts w:ascii="Times New Roman" w:cs="Times New Roman" w:eastAsia="Times New Roman" w:hAnsi="Times New Roman"/>
          <w:sz w:val="18"/>
          <w:szCs w:val="18"/>
          <w:color w:val="auto"/>
        </w:rPr>
        <w:t>Any other terms not inconsistent with the terms of the applicable indenture pertaining to the offered debt securities or which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required or advisable under U.S. laws or regulations or advisable, as we determine, in connection with marketing of securities of the series.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of Securities and Related Matters</w:t>
      </w:r>
    </w:p>
    <w:p>
      <w:pPr>
        <w:spacing w:after="0" w:line="75" w:lineRule="exact"/>
        <w:rPr>
          <w:sz w:val="20"/>
          <w:szCs w:val="20"/>
          <w:color w:val="auto"/>
        </w:rPr>
      </w:pPr>
    </w:p>
    <w:p>
      <w:pPr>
        <w:ind w:left="580"/>
        <w:spacing w:after="0"/>
        <w:tabs>
          <w:tab w:leader="none" w:pos="2740" w:val="left"/>
        </w:tabs>
        <w:rPr>
          <w:sz w:val="20"/>
          <w:szCs w:val="20"/>
          <w:color w:val="auto"/>
        </w:rPr>
      </w:pPr>
      <w:r>
        <w:rPr>
          <w:rFonts w:ascii="Times New Roman" w:cs="Times New Roman" w:eastAsia="Times New Roman" w:hAnsi="Times New Roman"/>
          <w:sz w:val="18"/>
          <w:szCs w:val="18"/>
          <w:b w:val="1"/>
          <w:bCs w:val="1"/>
          <w:i w:val="1"/>
          <w:iCs w:val="1"/>
          <w:color w:val="auto"/>
        </w:rPr>
        <w:t>Registered or Bearer Form.</w:t>
      </w:r>
      <w:r>
        <w:rPr>
          <w:sz w:val="20"/>
          <w:szCs w:val="20"/>
          <w:color w:val="auto"/>
        </w:rPr>
        <w:tab/>
      </w:r>
      <w:r>
        <w:rPr>
          <w:rFonts w:ascii="Times New Roman" w:cs="Times New Roman" w:eastAsia="Times New Roman" w:hAnsi="Times New Roman"/>
          <w:sz w:val="16"/>
          <w:szCs w:val="16"/>
          <w:color w:val="auto"/>
        </w:rPr>
        <w:t>Debt securities may be offered in either registered or bearer form.</w:t>
      </w:r>
    </w:p>
    <w:p>
      <w:pPr>
        <w:spacing w:after="0" w:line="81" w:lineRule="exact"/>
        <w:rPr>
          <w:sz w:val="20"/>
          <w:szCs w:val="20"/>
          <w:color w:val="auto"/>
        </w:rPr>
      </w:pPr>
    </w:p>
    <w:p>
      <w:pPr>
        <w:ind w:left="800" w:right="20" w:hanging="225"/>
        <w:spacing w:after="0" w:line="275" w:lineRule="auto"/>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in registered form, we may treat the person named in the register as the owner of the debt securities for all purposes, including payment, exchange and transfer.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right="140" w:hanging="225"/>
        <w:spacing w:after="0" w:line="262"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consequences relating to the offered debt securities in a prospectus supplement.</w:t>
      </w:r>
    </w:p>
    <w:p>
      <w:pPr>
        <w:spacing w:after="0" w:line="115" w:lineRule="exact"/>
        <w:rPr>
          <w:sz w:val="20"/>
          <w:szCs w:val="20"/>
          <w:color w:val="auto"/>
        </w:rPr>
      </w:pPr>
    </w:p>
    <w:p>
      <w:pPr>
        <w:ind w:left="580"/>
        <w:spacing w:after="0"/>
        <w:tabs>
          <w:tab w:leader="none" w:pos="1900" w:val="left"/>
        </w:tabs>
        <w:rPr>
          <w:sz w:val="20"/>
          <w:szCs w:val="20"/>
          <w:color w:val="auto"/>
        </w:rPr>
      </w:pPr>
      <w:r>
        <w:rPr>
          <w:rFonts w:ascii="Times New Roman" w:cs="Times New Roman" w:eastAsia="Times New Roman" w:hAnsi="Times New Roman"/>
          <w:sz w:val="18"/>
          <w:szCs w:val="18"/>
          <w:b w:val="1"/>
          <w:bCs w:val="1"/>
          <w:i w:val="1"/>
          <w:iCs w:val="1"/>
          <w:color w:val="auto"/>
        </w:rPr>
        <w:t>Denominations.</w:t>
      </w:r>
      <w:r>
        <w:rPr>
          <w:sz w:val="20"/>
          <w:szCs w:val="20"/>
          <w:color w:val="auto"/>
        </w:rPr>
        <w:tab/>
      </w:r>
      <w:r>
        <w:rPr>
          <w:rFonts w:ascii="Times New Roman" w:cs="Times New Roman" w:eastAsia="Times New Roman" w:hAnsi="Times New Roman"/>
          <w:sz w:val="18"/>
          <w:szCs w:val="18"/>
          <w:color w:val="auto"/>
        </w:rPr>
        <w:t>Unless we say otherwise in a prospectus supplement, we will issue debt securities in denominations of:</w:t>
      </w:r>
    </w:p>
    <w:p>
      <w:pPr>
        <w:spacing w:after="0" w:line="81" w:lineRule="exact"/>
        <w:rPr>
          <w:sz w:val="20"/>
          <w:szCs w:val="20"/>
          <w:color w:val="auto"/>
        </w:rPr>
      </w:pPr>
    </w:p>
    <w:p>
      <w:pPr>
        <w:ind w:left="800" w:hanging="225"/>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$1,000 (or multiples of $1,000) if we issue the debt securities in registered form; and</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$5,000 (or multiples of $5,000) if we issue debt securities in bearer form.</w:t>
      </w:r>
    </w:p>
    <w:p>
      <w:pPr>
        <w:spacing w:after="0" w:line="181" w:lineRule="exact"/>
        <w:rPr>
          <w:sz w:val="20"/>
          <w:szCs w:val="20"/>
          <w:color w:val="auto"/>
        </w:rPr>
      </w:pPr>
    </w:p>
    <w:p>
      <w:pPr>
        <w:ind w:left="580"/>
        <w:spacing w:after="0"/>
        <w:tabs>
          <w:tab w:leader="none" w:pos="3960" w:val="left"/>
        </w:tabs>
        <w:rPr>
          <w:sz w:val="20"/>
          <w:szCs w:val="20"/>
          <w:color w:val="auto"/>
        </w:rPr>
      </w:pPr>
      <w:r>
        <w:rPr>
          <w:rFonts w:ascii="Times New Roman" w:cs="Times New Roman" w:eastAsia="Times New Roman" w:hAnsi="Times New Roman"/>
          <w:sz w:val="18"/>
          <w:szCs w:val="18"/>
          <w:b w:val="1"/>
          <w:bCs w:val="1"/>
          <w:i w:val="1"/>
          <w:iCs w:val="1"/>
          <w:color w:val="auto"/>
        </w:rPr>
        <w:t>Payment Currencies and Indexed Securities.</w:t>
      </w:r>
      <w:r>
        <w:rPr>
          <w:sz w:val="20"/>
          <w:szCs w:val="20"/>
          <w:color w:val="auto"/>
        </w:rPr>
        <w:tab/>
      </w:r>
      <w:r>
        <w:rPr>
          <w:rFonts w:ascii="Times New Roman" w:cs="Times New Roman" w:eastAsia="Times New Roman" w:hAnsi="Times New Roman"/>
          <w:sz w:val="16"/>
          <w:szCs w:val="16"/>
          <w:color w:val="auto"/>
        </w:rPr>
        <w:t>We may offer debt securities for which:</w:t>
      </w:r>
    </w:p>
    <w:p>
      <w:pPr>
        <w:spacing w:after="0" w:line="81" w:lineRule="exact"/>
        <w:rPr>
          <w:sz w:val="20"/>
          <w:szCs w:val="20"/>
          <w:color w:val="auto"/>
        </w:rPr>
      </w:pPr>
    </w:p>
    <w:p>
      <w:pPr>
        <w:ind w:left="800" w:hanging="225"/>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is payable in a currency other than U.S. dollars;</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denominated in a currency other than U.S. dollars; or</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or interest of, or any other amount due on, the offered debt securities in a currency other than U.S. dollars.</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other currency may be a currency unit composed of various currencies. Payments on debt securities may also be based on an index.</w:t>
      </w:r>
    </w:p>
    <w:p>
      <w:pPr>
        <w:spacing w:after="0" w:line="154" w:lineRule="exact"/>
        <w:rPr>
          <w:sz w:val="20"/>
          <w:szCs w:val="20"/>
          <w:color w:val="auto"/>
        </w:rPr>
      </w:pPr>
    </w:p>
    <w:p>
      <w:pPr>
        <w:jc w:val="both"/>
        <w:ind w:right="100" w:firstLine="571"/>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Transfer and Exchange. </w:t>
      </w:r>
      <w:r>
        <w:rPr>
          <w:rFonts w:ascii="Times New Roman" w:cs="Times New Roman" w:eastAsia="Times New Roman" w:hAnsi="Times New Roman"/>
          <w:sz w:val="18"/>
          <w:szCs w:val="18"/>
          <w:color w:val="auto"/>
        </w:rPr>
        <w:t>Unless we say otherwise in a prospectus supplement, the office for paying principal, interest and other amounts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debt securities is Wachovia Bank National Association, 401 S. Tryon Street, 12</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 Charlotte, North Carolina 28288. We will notify you of any change in the office’s location. At our option, however, we may make any interest payments on debt securities issued in registered form by:</w:t>
      </w:r>
    </w:p>
    <w:p>
      <w:pPr>
        <w:spacing w:after="0" w:line="56" w:lineRule="exact"/>
        <w:rPr>
          <w:sz w:val="20"/>
          <w:szCs w:val="20"/>
          <w:color w:val="auto"/>
        </w:rPr>
      </w:pPr>
    </w:p>
    <w:p>
      <w:pPr>
        <w:ind w:left="800" w:hanging="225"/>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mailing checks to you at the address you specify; or</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transfer of immediately available funds to an account you specify.</w:t>
      </w:r>
    </w:p>
    <w:p>
      <w:pPr>
        <w:spacing w:after="0" w:line="185" w:lineRule="exact"/>
        <w:rPr>
          <w:sz w:val="20"/>
          <w:szCs w:val="20"/>
          <w:color w:val="auto"/>
        </w:rPr>
      </w:pPr>
    </w:p>
    <w:p>
      <w:pPr>
        <w:ind w:right="500" w:firstLine="571"/>
        <w:spacing w:after="0" w:line="275"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pay interest to the person whose name is in the register at the close of business on the regular record date for such interest.</w:t>
      </w:r>
    </w:p>
    <w:p>
      <w:pPr>
        <w:spacing w:after="0" w:line="106" w:lineRule="exact"/>
        <w:rPr>
          <w:sz w:val="20"/>
          <w:szCs w:val="20"/>
          <w:color w:val="auto"/>
        </w:rPr>
      </w:pPr>
    </w:p>
    <w:p>
      <w:pPr>
        <w:ind w:right="140" w:firstLine="571"/>
        <w:spacing w:after="0" w:line="275" w:lineRule="auto"/>
        <w:rPr>
          <w:sz w:val="20"/>
          <w:szCs w:val="20"/>
          <w:color w:val="auto"/>
        </w:rPr>
      </w:pPr>
      <w:r>
        <w:rPr>
          <w:rFonts w:ascii="Times New Roman" w:cs="Times New Roman" w:eastAsia="Times New Roman" w:hAnsi="Times New Roman"/>
          <w:sz w:val="18"/>
          <w:szCs w:val="18"/>
          <w:color w:val="auto"/>
        </w:rPr>
        <w:t>We will describe in a prospectus supplement how we will pay amounts owing on bearer securities. We will only pay amounts owing on bearer securities at an office outside the United States.</w:t>
      </w:r>
    </w:p>
    <w:p>
      <w:pPr>
        <w:spacing w:after="0" w:line="106" w:lineRule="exact"/>
        <w:rPr>
          <w:sz w:val="20"/>
          <w:szCs w:val="20"/>
          <w:color w:val="auto"/>
        </w:rPr>
      </w:pPr>
    </w:p>
    <w:p>
      <w:pPr>
        <w:ind w:firstLine="571"/>
        <w:spacing w:after="0" w:line="339" w:lineRule="auto"/>
        <w:rPr>
          <w:sz w:val="20"/>
          <w:szCs w:val="20"/>
          <w:color w:val="auto"/>
        </w:rPr>
      </w:pPr>
      <w:r>
        <w:rPr>
          <w:rFonts w:ascii="Times New Roman" w:cs="Times New Roman" w:eastAsia="Times New Roman" w:hAnsi="Times New Roman"/>
          <w:sz w:val="16"/>
          <w:szCs w:val="16"/>
          <w:color w:val="auto"/>
        </w:rPr>
        <w:t>Unless we say otherwise in a prospectus supplement, you may transfer or exchange debt securities issued in registered form at an agency that we designate. You may transfer or exchange debt securities without service charge, although we may require you to pay any related tax or other governmental charge.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may issue debt securities of a series in the form of one or more fully registered global securities. Each registered global security will:</w:t>
      </w:r>
    </w:p>
    <w:p>
      <w:pPr>
        <w:spacing w:after="0" w:line="77" w:lineRule="exact"/>
        <w:rPr>
          <w:sz w:val="20"/>
          <w:szCs w:val="20"/>
          <w:color w:val="auto"/>
        </w:rPr>
      </w:pPr>
    </w:p>
    <w:p>
      <w:pPr>
        <w:ind w:left="800" w:hanging="225"/>
        <w:spacing w:after="0"/>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registered in the name of a depositary or a nominee for the depositary;</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deposited with the depositary or nominee or a custodian therefor; and</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a legend regarding the restrictions on exchanges and registration of transfer and any such other appropriate matters.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firstLine="571"/>
        <w:spacing w:after="0" w:line="262" w:lineRule="auto"/>
        <w:rPr>
          <w:sz w:val="20"/>
          <w:szCs w:val="20"/>
          <w:color w:val="auto"/>
        </w:rPr>
      </w:pPr>
      <w:r>
        <w:rPr>
          <w:rFonts w:ascii="Times New Roman" w:cs="Times New Roman" w:eastAsia="Times New Roman" w:hAnsi="Times New Roman"/>
          <w:sz w:val="18"/>
          <w:szCs w:val="18"/>
          <w:color w:val="auto"/>
        </w:rPr>
        <w:t>Registered 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79" w:lineRule="exact"/>
        <w:rPr>
          <w:sz w:val="20"/>
          <w:szCs w:val="20"/>
          <w:color w:val="auto"/>
        </w:rPr>
      </w:pPr>
    </w:p>
    <w:p>
      <w:pPr>
        <w:ind w:right="520" w:firstLine="571"/>
        <w:spacing w:after="0" w:line="275" w:lineRule="auto"/>
        <w:rPr>
          <w:sz w:val="20"/>
          <w:szCs w:val="20"/>
          <w:color w:val="auto"/>
        </w:rPr>
      </w:pPr>
      <w:r>
        <w:rPr>
          <w:rFonts w:ascii="Times New Roman" w:cs="Times New Roman" w:eastAsia="Times New Roman" w:hAnsi="Times New Roman"/>
          <w:sz w:val="18"/>
          <w:szCs w:val="18"/>
          <w:color w:val="auto"/>
        </w:rPr>
        <w:t>Each indenture contains the following covenants. Any additional material covenants applicable to any series of debt securities will be set forth in a prospectus supplement.</w:t>
      </w:r>
    </w:p>
    <w:p>
      <w:pPr>
        <w:spacing w:after="0" w:line="102" w:lineRule="exact"/>
        <w:rPr>
          <w:sz w:val="20"/>
          <w:szCs w:val="20"/>
          <w:color w:val="auto"/>
        </w:rPr>
      </w:pPr>
    </w:p>
    <w:p>
      <w:pPr>
        <w:ind w:right="100" w:firstLine="57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Existence. </w:t>
      </w:r>
      <w:r>
        <w:rPr>
          <w:rFonts w:ascii="Times New Roman" w:cs="Times New Roman" w:eastAsia="Times New Roman" w:hAnsi="Times New Roman"/>
          <w:sz w:val="18"/>
          <w:szCs w:val="18"/>
          <w:color w:val="auto"/>
        </w:rPr>
        <w:t>Except as permitted under “Consolidation, Merger or Sale of Assets,” we will do or cause to be done all things necessary to preserve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11" w:lineRule="exact"/>
        <w:rPr>
          <w:sz w:val="20"/>
          <w:szCs w:val="20"/>
          <w:color w:val="auto"/>
        </w:rPr>
      </w:pPr>
    </w:p>
    <w:p>
      <w:pPr>
        <w:ind w:right="40" w:firstLine="57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Maintenance of Properties. </w:t>
      </w:r>
      <w:r>
        <w:rPr>
          <w:rFonts w:ascii="Times New Roman" w:cs="Times New Roman" w:eastAsia="Times New Roman" w:hAnsi="Times New Roman"/>
          <w:sz w:val="18"/>
          <w:szCs w:val="18"/>
          <w:color w:val="auto"/>
        </w:rPr>
        <w:t>We will cause all of our material properties used or useful in the conduct of our business to be maintained and kept in good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16" w:lineRule="exact"/>
        <w:rPr>
          <w:sz w:val="20"/>
          <w:szCs w:val="20"/>
          <w:color w:val="auto"/>
        </w:rPr>
      </w:pPr>
    </w:p>
    <w:p>
      <w:pPr>
        <w:ind w:left="580"/>
        <w:spacing w:after="0"/>
        <w:tabs>
          <w:tab w:leader="none" w:pos="3380" w:val="left"/>
        </w:tabs>
        <w:rPr>
          <w:sz w:val="20"/>
          <w:szCs w:val="20"/>
          <w:color w:val="auto"/>
        </w:rPr>
      </w:pPr>
      <w:r>
        <w:rPr>
          <w:rFonts w:ascii="Times New Roman" w:cs="Times New Roman" w:eastAsia="Times New Roman" w:hAnsi="Times New Roman"/>
          <w:sz w:val="18"/>
          <w:szCs w:val="18"/>
          <w:b w:val="1"/>
          <w:bCs w:val="1"/>
          <w:i w:val="1"/>
          <w:iCs w:val="1"/>
          <w:color w:val="auto"/>
        </w:rPr>
        <w:t>Payment of Taxes and Other Claims.</w:t>
      </w:r>
      <w:r>
        <w:rPr>
          <w:sz w:val="20"/>
          <w:szCs w:val="20"/>
          <w:color w:val="auto"/>
        </w:rPr>
        <w:tab/>
      </w:r>
      <w:r>
        <w:rPr>
          <w:rFonts w:ascii="Times New Roman" w:cs="Times New Roman" w:eastAsia="Times New Roman" w:hAnsi="Times New Roman"/>
          <w:sz w:val="16"/>
          <w:szCs w:val="16"/>
          <w:color w:val="auto"/>
        </w:rPr>
        <w:t>We will pay or discharge or cause to be paid or discharged, before they shall become delinquent:</w:t>
      </w:r>
    </w:p>
    <w:p>
      <w:pPr>
        <w:spacing w:after="0" w:line="81" w:lineRule="exact"/>
        <w:rPr>
          <w:sz w:val="20"/>
          <w:szCs w:val="20"/>
          <w:color w:val="auto"/>
        </w:rPr>
      </w:pPr>
    </w:p>
    <w:p>
      <w:pPr>
        <w:ind w:left="800" w:hanging="225"/>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assessments and governmental charges levied or imposed upon us or upon our income, profits or property, and</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lawful claims for labor, materials and supplies which, if unpaid, might by law become a lien upon our property;</w:t>
      </w:r>
    </w:p>
    <w:p>
      <w:pPr>
        <w:spacing w:after="0" w:line="104"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02" w:lineRule="exact"/>
        <w:rPr>
          <w:sz w:val="20"/>
          <w:szCs w:val="20"/>
          <w:color w:val="auto"/>
        </w:rPr>
      </w:pPr>
    </w:p>
    <w:p>
      <w:pPr>
        <w:ind w:right="120" w:firstLine="57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of Financial Information. </w:t>
      </w:r>
      <w:r>
        <w:rPr>
          <w:rFonts w:ascii="Times New Roman" w:cs="Times New Roman" w:eastAsia="Times New Roman" w:hAnsi="Times New Roman"/>
          <w:sz w:val="18"/>
          <w:szCs w:val="18"/>
          <w:color w:val="auto"/>
        </w:rPr>
        <w:t>Whether or not we are subject to Section 13 or 15(d) of the Exchange Act, we will, within 15 days of each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 dates by which we would have been required to file annual reports, quarterly reports and other documents with the SEC if we were so subject:</w:t>
      </w:r>
    </w:p>
    <w:p>
      <w:pPr>
        <w:spacing w:after="0" w:line="21" w:lineRule="exact"/>
        <w:rPr>
          <w:sz w:val="20"/>
          <w:szCs w:val="20"/>
          <w:color w:val="auto"/>
        </w:rPr>
      </w:pPr>
    </w:p>
    <w:p>
      <w:pPr>
        <w:jc w:val="both"/>
        <w:ind w:left="800" w:right="80" w:hanging="225"/>
        <w:spacing w:after="0" w:line="262"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37" w:lineRule="exact"/>
        <w:rPr>
          <w:rFonts w:ascii="Times New Roman" w:cs="Times New Roman" w:eastAsia="Times New Roman" w:hAnsi="Times New Roman"/>
          <w:sz w:val="18"/>
          <w:szCs w:val="18"/>
          <w:color w:val="auto"/>
        </w:rPr>
      </w:pPr>
    </w:p>
    <w:p>
      <w:pPr>
        <w:ind w:left="800" w:hanging="225"/>
        <w:spacing w:after="0" w:line="275"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25" w:lineRule="exact"/>
        <w:rPr>
          <w:rFonts w:ascii="Times New Roman" w:cs="Times New Roman" w:eastAsia="Times New Roman" w:hAnsi="Times New Roman"/>
          <w:sz w:val="18"/>
          <w:szCs w:val="18"/>
          <w:color w:val="auto"/>
        </w:rPr>
      </w:pPr>
    </w:p>
    <w:p>
      <w:pPr>
        <w:ind w:left="800" w:right="220" w:hanging="225"/>
        <w:spacing w:after="0" w:line="275"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written request and payment of the reasonable cost of duplication and delivery, supply copies of those documents to any prospective holder.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 of Assets</w:t>
      </w:r>
    </w:p>
    <w:p>
      <w:pPr>
        <w:spacing w:after="0" w:line="79" w:lineRule="exact"/>
        <w:rPr>
          <w:sz w:val="20"/>
          <w:szCs w:val="20"/>
          <w:color w:val="auto"/>
        </w:rPr>
      </w:pPr>
    </w:p>
    <w:p>
      <w:pPr>
        <w:ind w:right="160" w:firstLine="571"/>
        <w:spacing w:after="0" w:line="275" w:lineRule="auto"/>
        <w:rPr>
          <w:sz w:val="20"/>
          <w:szCs w:val="20"/>
          <w:color w:val="auto"/>
        </w:rPr>
      </w:pPr>
      <w:r>
        <w:rPr>
          <w:rFonts w:ascii="Times New Roman" w:cs="Times New Roman" w:eastAsia="Times New Roman" w:hAnsi="Times New Roman"/>
          <w:sz w:val="18"/>
          <w:szCs w:val="18"/>
          <w:color w:val="auto"/>
        </w:rPr>
        <w:t>We may consolidate with, or sell, lease or convey all or substantially all of our assets, or merge with or into any other entity, provided that we satisfy all of the following conditions:</w:t>
      </w:r>
    </w:p>
    <w:p>
      <w:pPr>
        <w:spacing w:after="0" w:line="25" w:lineRule="exact"/>
        <w:rPr>
          <w:sz w:val="20"/>
          <w:szCs w:val="20"/>
          <w:color w:val="auto"/>
        </w:rPr>
      </w:pPr>
    </w:p>
    <w:p>
      <w:pPr>
        <w:ind w:left="800" w:hanging="225"/>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03"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be the continuing company, or</w:t>
      </w:r>
    </w:p>
    <w:p>
      <w:pPr>
        <w:spacing w:after="0" w:line="103" w:lineRule="exact"/>
        <w:rPr>
          <w:rFonts w:ascii="Times New Roman" w:cs="Times New Roman" w:eastAsia="Times New Roman" w:hAnsi="Times New Roman"/>
          <w:sz w:val="18"/>
          <w:szCs w:val="18"/>
          <w:color w:val="auto"/>
        </w:rPr>
      </w:pPr>
    </w:p>
    <w:p>
      <w:pPr>
        <w:ind w:left="1260" w:right="180" w:hanging="455"/>
        <w:spacing w:after="0" w:line="262" w:lineRule="auto"/>
        <w:tabs>
          <w:tab w:leader="none" w:pos="12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37" w:lineRule="exact"/>
        <w:rPr>
          <w:rFonts w:ascii="Times New Roman" w:cs="Times New Roman" w:eastAsia="Times New Roman" w:hAnsi="Times New Roman"/>
          <w:sz w:val="18"/>
          <w:szCs w:val="18"/>
          <w:color w:val="auto"/>
        </w:rPr>
      </w:pPr>
    </w:p>
    <w:p>
      <w:pPr>
        <w:ind w:left="800" w:hanging="225"/>
        <w:spacing w:after="0" w:line="275" w:lineRule="auto"/>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transactions, no default or event of default under the debt securities shall have occurred and be continuing; and</w:t>
      </w:r>
    </w:p>
    <w:p>
      <w:pPr>
        <w:spacing w:after="0" w:line="25" w:lineRule="exact"/>
        <w:rPr>
          <w:rFonts w:ascii="Times New Roman" w:cs="Times New Roman" w:eastAsia="Times New Roman" w:hAnsi="Times New Roman"/>
          <w:sz w:val="18"/>
          <w:szCs w:val="18"/>
          <w:color w:val="auto"/>
        </w:rPr>
      </w:pPr>
    </w:p>
    <w:p>
      <w:pPr>
        <w:ind w:left="800" w:right="180" w:hanging="225"/>
        <w:spacing w:after="0" w:line="258" w:lineRule="auto"/>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75" w:lineRule="exact"/>
        <w:rPr>
          <w:sz w:val="20"/>
          <w:szCs w:val="20"/>
          <w:color w:val="auto"/>
        </w:rPr>
      </w:pPr>
    </w:p>
    <w:p>
      <w:pPr>
        <w:ind w:right="20" w:firstLine="571"/>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 xml:space="preserve">Generally. </w:t>
      </w:r>
      <w:r>
        <w:rPr>
          <w:rFonts w:ascii="Times New Roman" w:cs="Times New Roman" w:eastAsia="Times New Roman" w:hAnsi="Times New Roman"/>
          <w:sz w:val="16"/>
          <w:szCs w:val="16"/>
          <w:color w:val="auto"/>
        </w:rPr>
        <w:t>Unless we say otherwise in a prospectus supplement, the payment of principal, premium, if any, and interest on subordinated debt securities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91" w:lineRule="exact"/>
        <w:rPr>
          <w:sz w:val="20"/>
          <w:szCs w:val="20"/>
          <w:color w:val="auto"/>
        </w:rPr>
      </w:pPr>
    </w:p>
    <w:p>
      <w:pPr>
        <w:ind w:right="200" w:firstLine="571"/>
        <w:spacing w:after="0" w:line="275" w:lineRule="auto"/>
        <w:rPr>
          <w:sz w:val="20"/>
          <w:szCs w:val="20"/>
          <w:color w:val="auto"/>
        </w:rPr>
      </w:pPr>
      <w:r>
        <w:rPr>
          <w:rFonts w:ascii="Times New Roman" w:cs="Times New Roman" w:eastAsia="Times New Roman" w:hAnsi="Times New Roman"/>
          <w:sz w:val="18"/>
          <w:szCs w:val="18"/>
          <w:color w:val="auto"/>
        </w:rPr>
        <w:t>Senior debt is defined in the subordinated indenture as the principal of and interest on, or substantially similar payments to be made by us in respect of, the following, whether outstanding at the date of execution of the subordinated indenture or thereafter incurred, created or assumed:</w:t>
      </w:r>
    </w:p>
    <w:p>
      <w:pPr>
        <w:spacing w:after="0" w:line="25" w:lineRule="exact"/>
        <w:rPr>
          <w:sz w:val="20"/>
          <w:szCs w:val="20"/>
          <w:color w:val="auto"/>
        </w:rPr>
      </w:pPr>
    </w:p>
    <w:p>
      <w:pPr>
        <w:ind w:left="800" w:hanging="225"/>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for money borrowed or represented by purchase-money obligations;</w:t>
      </w:r>
    </w:p>
    <w:p>
      <w:pPr>
        <w:spacing w:after="0" w:line="103" w:lineRule="exact"/>
        <w:rPr>
          <w:rFonts w:ascii="Times New Roman" w:cs="Times New Roman" w:eastAsia="Times New Roman" w:hAnsi="Times New Roman"/>
          <w:sz w:val="18"/>
          <w:szCs w:val="18"/>
          <w:color w:val="auto"/>
        </w:rPr>
      </w:pPr>
    </w:p>
    <w:p>
      <w:pPr>
        <w:ind w:left="800" w:right="380" w:hanging="225"/>
        <w:spacing w:after="0" w:line="275" w:lineRule="auto"/>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evidenced by notes, debentures, or bonds, or other securities issued under the provisions of an indenture, fiscal agency agreement or other instrument;</w:t>
      </w:r>
    </w:p>
    <w:p>
      <w:pPr>
        <w:spacing w:after="0" w:line="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as lessee under leases of property whether made as part of any sale and leaseback transaction to which we are a party or otherwise;</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partnerships and joint ventures which is included in our consolidated financial statements;</w:t>
      </w:r>
    </w:p>
    <w:p>
      <w:pPr>
        <w:spacing w:after="0" w:line="103" w:lineRule="exact"/>
        <w:rPr>
          <w:rFonts w:ascii="Times New Roman" w:cs="Times New Roman" w:eastAsia="Times New Roman" w:hAnsi="Times New Roman"/>
          <w:sz w:val="18"/>
          <w:szCs w:val="18"/>
          <w:color w:val="auto"/>
        </w:rPr>
      </w:pPr>
    </w:p>
    <w:p>
      <w:pPr>
        <w:ind w:left="800" w:right="240" w:hanging="225"/>
        <w:spacing w:after="0" w:line="275" w:lineRule="auto"/>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25" w:lineRule="exact"/>
        <w:rPr>
          <w:rFonts w:ascii="Times New Roman" w:cs="Times New Roman" w:eastAsia="Times New Roman" w:hAnsi="Times New Roman"/>
          <w:sz w:val="18"/>
          <w:szCs w:val="18"/>
          <w:color w:val="auto"/>
        </w:rPr>
      </w:pPr>
    </w:p>
    <w:p>
      <w:pPr>
        <w:ind w:left="800" w:right="60" w:hanging="225"/>
        <w:spacing w:after="0" w:line="275" w:lineRule="auto"/>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binding commitment to fund any real estate investment or to fund any investment in any entity making a real estate investment, in each case other than</w:t>
      </w:r>
    </w:p>
    <w:p>
      <w:pPr>
        <w:spacing w:after="0" w:line="25" w:lineRule="exact"/>
        <w:rPr>
          <w:rFonts w:ascii="Times New Roman" w:cs="Times New Roman" w:eastAsia="Times New Roman" w:hAnsi="Times New Roman"/>
          <w:sz w:val="18"/>
          <w:szCs w:val="18"/>
          <w:color w:val="auto"/>
        </w:rPr>
      </w:pPr>
    </w:p>
    <w:p>
      <w:pPr>
        <w:ind w:left="1260" w:right="80" w:hanging="455"/>
        <w:spacing w:after="0" w:line="262" w:lineRule="auto"/>
        <w:tabs>
          <w:tab w:leader="none" w:pos="12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60" w:right="60" w:hanging="455"/>
        <w:spacing w:after="0" w:line="275" w:lineRule="auto"/>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25"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subordinated debt securities.</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There are no restrictions in the subordinated indenture upon the creation of additional senior debt.</w:t>
      </w:r>
    </w:p>
    <w:p>
      <w:pPr>
        <w:spacing w:after="0" w:line="154" w:lineRule="exact"/>
        <w:rPr>
          <w:sz w:val="20"/>
          <w:szCs w:val="20"/>
          <w:color w:val="auto"/>
        </w:rPr>
      </w:pPr>
    </w:p>
    <w:p>
      <w:pPr>
        <w:ind w:right="20" w:firstLine="57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Blockage for Payment Defaults. </w:t>
      </w:r>
      <w:r>
        <w:rPr>
          <w:rFonts w:ascii="Times New Roman" w:cs="Times New Roman" w:eastAsia="Times New Roman" w:hAnsi="Times New Roman"/>
          <w:sz w:val="18"/>
          <w:szCs w:val="18"/>
          <w:color w:val="auto"/>
        </w:rPr>
        <w:t>Unless we say otherwise in a prospectus supplement, if we have defaulted in the payment of any senior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may not:</w:t>
      </w:r>
    </w:p>
    <w:p>
      <w:pPr>
        <w:spacing w:after="0" w:line="21" w:lineRule="exact"/>
        <w:rPr>
          <w:sz w:val="20"/>
          <w:szCs w:val="20"/>
          <w:color w:val="auto"/>
        </w:rPr>
      </w:pPr>
    </w:p>
    <w:p>
      <w:pPr>
        <w:ind w:left="800" w:hanging="225"/>
        <w:spacing w:after="0"/>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any principal, premium, if any, or interest on subordinated debt securities; or</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defease, or otherwise acquire any subordinated debt securities.</w:t>
      </w:r>
    </w:p>
    <w:p>
      <w:pPr>
        <w:spacing w:after="0" w:line="185" w:lineRule="exact"/>
        <w:rPr>
          <w:sz w:val="20"/>
          <w:szCs w:val="20"/>
          <w:color w:val="auto"/>
        </w:rPr>
      </w:pPr>
    </w:p>
    <w:p>
      <w:pPr>
        <w:ind w:firstLine="571"/>
        <w:spacing w:after="0" w:line="275" w:lineRule="auto"/>
        <w:rPr>
          <w:sz w:val="20"/>
          <w:szCs w:val="20"/>
          <w:color w:val="auto"/>
        </w:rPr>
      </w:pPr>
      <w:r>
        <w:rPr>
          <w:rFonts w:ascii="Times New Roman" w:cs="Times New Roman" w:eastAsia="Times New Roman" w:hAnsi="Times New Roman"/>
          <w:sz w:val="18"/>
          <w:szCs w:val="18"/>
          <w:color w:val="auto"/>
        </w:rPr>
        <w:t>This prohibition will not affect any payment we have already made to defease debt securities, as described under “— Defeasance or Covenant Defeasance of Indentures,” below.</w:t>
      </w:r>
    </w:p>
    <w:p>
      <w:pPr>
        <w:spacing w:after="0" w:line="1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must resume payment on our subordinated debt securities, and make any payments we have missed, when one of the following has occurred:</w:t>
      </w:r>
    </w:p>
    <w:p>
      <w:pPr>
        <w:spacing w:after="0" w:line="77" w:lineRule="exact"/>
        <w:rPr>
          <w:sz w:val="20"/>
          <w:szCs w:val="20"/>
          <w:color w:val="auto"/>
        </w:rPr>
      </w:pPr>
    </w:p>
    <w:p>
      <w:pPr>
        <w:ind w:left="800" w:hanging="225"/>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debt has been discharged or paid in full;</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senior debt have waived payment; or</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default has otherwise been cured or ceased to exist.</w:t>
      </w:r>
    </w:p>
    <w:p>
      <w:pPr>
        <w:spacing w:after="0" w:line="181" w:lineRule="exact"/>
        <w:rPr>
          <w:sz w:val="20"/>
          <w:szCs w:val="20"/>
          <w:color w:val="auto"/>
        </w:rPr>
      </w:pPr>
    </w:p>
    <w:p>
      <w:pPr>
        <w:ind w:right="480" w:firstLine="57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Blockage for Non-Payment Defaults. </w:t>
      </w:r>
      <w:r>
        <w:rPr>
          <w:rFonts w:ascii="Times New Roman" w:cs="Times New Roman" w:eastAsia="Times New Roman" w:hAnsi="Times New Roman"/>
          <w:sz w:val="18"/>
          <w:szCs w:val="18"/>
          <w:color w:val="auto"/>
        </w:rPr>
        <w:t>Unless we say otherwise in a prospectus supplement, we will also be prohibited from paying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amounts or distributing any assets if:</w:t>
      </w:r>
    </w:p>
    <w:p>
      <w:pPr>
        <w:spacing w:after="0" w:line="21" w:lineRule="exact"/>
        <w:rPr>
          <w:sz w:val="20"/>
          <w:szCs w:val="20"/>
          <w:color w:val="auto"/>
        </w:rPr>
      </w:pPr>
    </w:p>
    <w:p>
      <w:pPr>
        <w:ind w:left="800" w:hanging="225"/>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defaulted on senior debt in a way that does not involve a failure to pay amounts but accelerates payment; and</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trustee for the subordinated debt securities have received written notice of this default.</w:t>
      </w:r>
    </w:p>
    <w:p>
      <w:pPr>
        <w:spacing w:after="0" w:line="185" w:lineRule="exact"/>
        <w:rPr>
          <w:sz w:val="20"/>
          <w:szCs w:val="20"/>
          <w:color w:val="auto"/>
        </w:rPr>
      </w:pPr>
    </w:p>
    <w:p>
      <w:pPr>
        <w:jc w:val="both"/>
        <w:ind w:right="460" w:firstLine="571"/>
        <w:spacing w:after="0" w:line="262"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be required to suspend payments and distributions on our subordinated debt securities starting when we receive notice of the applicable default. We must resume payments on our subordinated debt securities, and make any payments we have missed, upon the earliest of:</w:t>
      </w:r>
    </w:p>
    <w:p>
      <w:pPr>
        <w:spacing w:after="0" w:line="38" w:lineRule="exact"/>
        <w:rPr>
          <w:sz w:val="20"/>
          <w:szCs w:val="20"/>
          <w:color w:val="auto"/>
        </w:rPr>
      </w:pPr>
    </w:p>
    <w:p>
      <w:pPr>
        <w:ind w:left="800" w:hanging="225"/>
        <w:spacing w:after="0"/>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179 days after receipt of notice (unless we have previously been required to pay all amounts owing on the applicable senior debt);</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default and all other similar defaults as to which notice has been given shall have been cured, waived or shall have ceased to exist;</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applicable senior debt (and all other senior debt as to which notice has been given) shall have been discharged or paid in full; and</w:t>
      </w:r>
    </w:p>
    <w:p>
      <w:pPr>
        <w:spacing w:after="0" w:line="103" w:lineRule="exact"/>
        <w:rPr>
          <w:rFonts w:ascii="Times New Roman" w:cs="Times New Roman" w:eastAsia="Times New Roman" w:hAnsi="Times New Roman"/>
          <w:sz w:val="18"/>
          <w:szCs w:val="18"/>
          <w:color w:val="auto"/>
        </w:rPr>
      </w:pPr>
    </w:p>
    <w:p>
      <w:pPr>
        <w:ind w:left="800" w:right="140" w:hanging="225"/>
        <w:spacing w:after="0" w:line="275" w:lineRule="auto"/>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06" w:lineRule="exact"/>
        <w:rPr>
          <w:sz w:val="20"/>
          <w:szCs w:val="20"/>
          <w:color w:val="auto"/>
        </w:rPr>
      </w:pPr>
    </w:p>
    <w:p>
      <w:pPr>
        <w:ind w:right="40" w:firstLine="571"/>
        <w:spacing w:after="0" w:line="258" w:lineRule="auto"/>
        <w:rPr>
          <w:sz w:val="20"/>
          <w:szCs w:val="20"/>
          <w:color w:val="auto"/>
        </w:rPr>
      </w:pPr>
      <w:r>
        <w:rPr>
          <w:rFonts w:ascii="Times New Roman" w:cs="Times New Roman" w:eastAsia="Times New Roman" w:hAnsi="Times New Roman"/>
          <w:sz w:val="18"/>
          <w:szCs w:val="18"/>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 Provisions</w:t>
      </w:r>
    </w:p>
    <w:p>
      <w:pPr>
        <w:spacing w:after="0" w:line="75" w:lineRule="exact"/>
        <w:rPr>
          <w:sz w:val="20"/>
          <w:szCs w:val="20"/>
          <w:color w:val="auto"/>
        </w:rPr>
      </w:pPr>
    </w:p>
    <w:p>
      <w:pPr>
        <w:ind w:right="780" w:firstLine="57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Events of Default. </w:t>
      </w:r>
      <w:r>
        <w:rPr>
          <w:rFonts w:ascii="Times New Roman" w:cs="Times New Roman" w:eastAsia="Times New Roman" w:hAnsi="Times New Roman"/>
          <w:sz w:val="18"/>
          <w:szCs w:val="18"/>
          <w:color w:val="auto"/>
        </w:rPr>
        <w:t>Unless we say otherwise in a prospectus supplement, each of the following is an event of default as to any of our senior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subordinated debt securities:</w:t>
      </w:r>
    </w:p>
    <w:p>
      <w:pPr>
        <w:spacing w:after="0" w:line="21" w:lineRule="exact"/>
        <w:rPr>
          <w:sz w:val="20"/>
          <w:szCs w:val="20"/>
          <w:color w:val="auto"/>
        </w:rPr>
      </w:pPr>
    </w:p>
    <w:p>
      <w:pPr>
        <w:ind w:left="580" w:right="320" w:firstLine="541"/>
        <w:spacing w:after="0" w:line="275" w:lineRule="auto"/>
        <w:tabs>
          <w:tab w:leader="none" w:pos="14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any interest on any debt security of that series when it becomes due and payable, if the default continues for a period of 30 days.</w:t>
      </w:r>
    </w:p>
    <w:p>
      <w:pPr>
        <w:spacing w:after="0" w:line="25" w:lineRule="exact"/>
        <w:rPr>
          <w:rFonts w:ascii="Times New Roman" w:cs="Times New Roman" w:eastAsia="Times New Roman" w:hAnsi="Times New Roman"/>
          <w:sz w:val="18"/>
          <w:szCs w:val="18"/>
          <w:color w:val="auto"/>
        </w:rPr>
      </w:pPr>
    </w:p>
    <w:p>
      <w:pPr>
        <w:ind w:left="580" w:firstLine="541"/>
        <w:spacing w:after="0" w:line="275" w:lineRule="auto"/>
        <w:tabs>
          <w:tab w:leader="none" w:pos="14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25" w:lineRule="exact"/>
        <w:rPr>
          <w:rFonts w:ascii="Times New Roman" w:cs="Times New Roman" w:eastAsia="Times New Roman" w:hAnsi="Times New Roman"/>
          <w:sz w:val="18"/>
          <w:szCs w:val="18"/>
          <w:color w:val="auto"/>
        </w:rPr>
      </w:pPr>
    </w:p>
    <w:p>
      <w:pPr>
        <w:ind w:left="1420" w:hanging="29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deposit of any sinking fund payment as required by the terms of any debt security of that series.</w:t>
      </w:r>
    </w:p>
    <w:p>
      <w:pPr>
        <w:spacing w:after="0" w:line="76" w:lineRule="exact"/>
        <w:rPr>
          <w:rFonts w:ascii="Times New Roman" w:cs="Times New Roman" w:eastAsia="Times New Roman" w:hAnsi="Times New Roman"/>
          <w:sz w:val="18"/>
          <w:szCs w:val="18"/>
          <w:color w:val="auto"/>
        </w:rPr>
      </w:pPr>
    </w:p>
    <w:p>
      <w:pPr>
        <w:ind w:left="580" w:right="140" w:firstLine="541"/>
        <w:spacing w:after="0" w:line="262" w:lineRule="auto"/>
        <w:tabs>
          <w:tab w:leader="none" w:pos="14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37" w:lineRule="exact"/>
        <w:rPr>
          <w:rFonts w:ascii="Times New Roman" w:cs="Times New Roman" w:eastAsia="Times New Roman" w:hAnsi="Times New Roman"/>
          <w:sz w:val="18"/>
          <w:szCs w:val="18"/>
          <w:color w:val="auto"/>
        </w:rPr>
      </w:pPr>
    </w:p>
    <w:p>
      <w:pPr>
        <w:ind w:left="2040" w:hanging="377"/>
        <w:spacing w:after="0"/>
        <w:tabs>
          <w:tab w:leader="none" w:pos="20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by the trustee; or</w:t>
      </w:r>
    </w:p>
    <w:p>
      <w:pPr>
        <w:spacing w:after="0" w:line="76" w:lineRule="exact"/>
        <w:rPr>
          <w:rFonts w:ascii="Times New Roman" w:cs="Times New Roman" w:eastAsia="Times New Roman" w:hAnsi="Times New Roman"/>
          <w:sz w:val="18"/>
          <w:szCs w:val="18"/>
          <w:color w:val="auto"/>
        </w:rPr>
      </w:pPr>
    </w:p>
    <w:p>
      <w:pPr>
        <w:ind w:left="2040" w:hanging="377"/>
        <w:spacing w:after="0"/>
        <w:tabs>
          <w:tab w:leader="none" w:pos="20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and the trustee by the holders of at least 25% in aggregate principal amount of the outstanding debt securities of the series.</w:t>
      </w:r>
    </w:p>
    <w:p>
      <w:pPr>
        <w:spacing w:after="0" w:line="76" w:lineRule="exact"/>
        <w:rPr>
          <w:rFonts w:ascii="Times New Roman" w:cs="Times New Roman" w:eastAsia="Times New Roman" w:hAnsi="Times New Roman"/>
          <w:sz w:val="18"/>
          <w:szCs w:val="18"/>
          <w:color w:val="auto"/>
        </w:rPr>
      </w:pPr>
    </w:p>
    <w:p>
      <w:pPr>
        <w:ind w:left="580" w:right="60" w:firstLine="541"/>
        <w:spacing w:after="0" w:line="254" w:lineRule="auto"/>
        <w:tabs>
          <w:tab w:leader="none" w:pos="142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one or more defaults under any bond, debenture, note or other evidence of indebtedness for money borrowed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43" w:lineRule="exact"/>
        <w:rPr>
          <w:rFonts w:ascii="Times New Roman" w:cs="Times New Roman" w:eastAsia="Times New Roman" w:hAnsi="Times New Roman"/>
          <w:sz w:val="18"/>
          <w:szCs w:val="18"/>
          <w:color w:val="auto"/>
        </w:rPr>
      </w:pPr>
    </w:p>
    <w:p>
      <w:pPr>
        <w:ind w:left="1420" w:hanging="29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of competent jurisdiction under any applicable bankruptcy law that:</w:t>
      </w:r>
    </w:p>
    <w:p>
      <w:pPr>
        <w:spacing w:after="0" w:line="76" w:lineRule="exact"/>
        <w:rPr>
          <w:rFonts w:ascii="Times New Roman" w:cs="Times New Roman" w:eastAsia="Times New Roman" w:hAnsi="Times New Roman"/>
          <w:sz w:val="18"/>
          <w:szCs w:val="18"/>
          <w:color w:val="auto"/>
        </w:rPr>
      </w:pPr>
    </w:p>
    <w:p>
      <w:pPr>
        <w:ind w:left="2040" w:hanging="377"/>
        <w:spacing w:after="0"/>
        <w:tabs>
          <w:tab w:leader="none" w:pos="20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us or any of our significant subsidiaries in an involuntary case,</w:t>
      </w:r>
    </w:p>
    <w:p>
      <w:pPr>
        <w:spacing w:after="0" w:line="76" w:lineRule="exact"/>
        <w:rPr>
          <w:rFonts w:ascii="Times New Roman" w:cs="Times New Roman" w:eastAsia="Times New Roman" w:hAnsi="Times New Roman"/>
          <w:sz w:val="18"/>
          <w:szCs w:val="18"/>
          <w:color w:val="auto"/>
        </w:rPr>
      </w:pPr>
    </w:p>
    <w:p>
      <w:pPr>
        <w:ind w:left="2040" w:hanging="377"/>
        <w:spacing w:after="0"/>
        <w:tabs>
          <w:tab w:leader="none" w:pos="204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appoints a receiver in respect of us or any of our significant subsidiaries or for all or substantially all of the property of any of us; and</w:t>
      </w:r>
    </w:p>
    <w:p>
      <w:pPr>
        <w:spacing w:after="0" w:line="99" w:lineRule="exact"/>
        <w:rPr>
          <w:rFonts w:ascii="Times New Roman" w:cs="Times New Roman" w:eastAsia="Times New Roman" w:hAnsi="Times New Roman"/>
          <w:sz w:val="16"/>
          <w:szCs w:val="16"/>
          <w:color w:val="auto"/>
        </w:rPr>
      </w:pPr>
    </w:p>
    <w:p>
      <w:pPr>
        <w:ind w:left="2040" w:hanging="377"/>
        <w:spacing w:after="0"/>
        <w:tabs>
          <w:tab w:leader="none" w:pos="20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our liquidation or the liquidation of any of our significant subsidiaries,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the order or decree remains unstayed and in effect for 90 days.</w:t>
      </w:r>
    </w:p>
    <w:p>
      <w:pPr>
        <w:spacing w:after="0" w:line="77" w:lineRule="exact"/>
        <w:rPr>
          <w:sz w:val="20"/>
          <w:szCs w:val="20"/>
          <w:color w:val="auto"/>
        </w:rPr>
      </w:pPr>
    </w:p>
    <w:p>
      <w:pPr>
        <w:ind w:left="1420" w:hanging="299"/>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significant subsidiaries do any of the following:</w:t>
      </w:r>
    </w:p>
    <w:p>
      <w:pPr>
        <w:spacing w:after="0" w:line="76" w:lineRule="exact"/>
        <w:rPr>
          <w:rFonts w:ascii="Times New Roman" w:cs="Times New Roman" w:eastAsia="Times New Roman" w:hAnsi="Times New Roman"/>
          <w:sz w:val="18"/>
          <w:szCs w:val="18"/>
          <w:color w:val="auto"/>
        </w:rPr>
      </w:pPr>
    </w:p>
    <w:p>
      <w:pPr>
        <w:ind w:left="1140" w:right="300" w:firstLine="523"/>
        <w:spacing w:after="0" w:line="275" w:lineRule="auto"/>
        <w:tabs>
          <w:tab w:leader="none" w:pos="202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 or proceeding under any applicable bankruptcy law or any other case or proceeding to be adjudicated bankrupt or insolvent;</w:t>
      </w:r>
    </w:p>
    <w:p>
      <w:pPr>
        <w:spacing w:after="0" w:line="25" w:lineRule="exact"/>
        <w:rPr>
          <w:rFonts w:ascii="Times New Roman" w:cs="Times New Roman" w:eastAsia="Times New Roman" w:hAnsi="Times New Roman"/>
          <w:sz w:val="18"/>
          <w:szCs w:val="18"/>
          <w:color w:val="auto"/>
        </w:rPr>
      </w:pPr>
    </w:p>
    <w:p>
      <w:pPr>
        <w:ind w:left="1140" w:right="280" w:firstLine="523"/>
        <w:spacing w:after="0" w:line="325" w:lineRule="auto"/>
        <w:tabs>
          <w:tab w:leader="none" w:pos="2034"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consent to the entry of a decree or order for relief in respect of us or any of our significant subsidiaries in an involuntary case or proceeding under any applicable bankruptcy law or to the commencement of any bankruptcy or insolvency case or proceeding against us or it;</w:t>
      </w:r>
    </w:p>
    <w:p>
      <w:pPr>
        <w:spacing w:after="0" w:line="1" w:lineRule="exact"/>
        <w:rPr>
          <w:rFonts w:ascii="Times New Roman" w:cs="Times New Roman" w:eastAsia="Times New Roman" w:hAnsi="Times New Roman"/>
          <w:sz w:val="16"/>
          <w:szCs w:val="16"/>
          <w:color w:val="auto"/>
        </w:rPr>
      </w:pPr>
    </w:p>
    <w:p>
      <w:pPr>
        <w:ind w:left="2040" w:hanging="377"/>
        <w:spacing w:after="0"/>
        <w:tabs>
          <w:tab w:leader="none" w:pos="2040"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consent to the appointment of a receiver in respect of us or any of our significant subsidiaries for all or substantially all of our or its</w:t>
      </w:r>
    </w:p>
    <w:p>
      <w:pPr>
        <w:spacing w:after="0" w:line="44" w:lineRule="exact"/>
        <w:rPr>
          <w:rFonts w:ascii="Times New Roman" w:cs="Times New Roman" w:eastAsia="Times New Roman" w:hAnsi="Times New Roman"/>
          <w:sz w:val="16"/>
          <w:szCs w:val="16"/>
          <w:color w:val="auto"/>
        </w:rPr>
      </w:pPr>
    </w:p>
    <w:p>
      <w:pPr>
        <w:ind w:left="11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property; or</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2040" w:hanging="377"/>
        <w:spacing w:after="0"/>
        <w:tabs>
          <w:tab w:leader="none" w:pos="20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our creditors or the creditors of any of our significant subsidiaries.</w:t>
      </w:r>
    </w:p>
    <w:p>
      <w:pPr>
        <w:spacing w:after="0" w:line="76" w:lineRule="exact"/>
        <w:rPr>
          <w:rFonts w:ascii="Times New Roman" w:cs="Times New Roman" w:eastAsia="Times New Roman" w:hAnsi="Times New Roman"/>
          <w:sz w:val="18"/>
          <w:szCs w:val="18"/>
          <w:color w:val="auto"/>
        </w:rPr>
      </w:pPr>
    </w:p>
    <w:p>
      <w:pPr>
        <w:ind w:left="1420" w:hanging="299"/>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the debt securities of that series.</w:t>
      </w:r>
    </w:p>
    <w:p>
      <w:pPr>
        <w:spacing w:after="0" w:line="154" w:lineRule="exact"/>
        <w:rPr>
          <w:sz w:val="20"/>
          <w:szCs w:val="20"/>
          <w:color w:val="auto"/>
        </w:rPr>
      </w:pPr>
    </w:p>
    <w:p>
      <w:pPr>
        <w:ind w:right="100" w:firstLine="57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Waiver of Default. </w:t>
      </w:r>
      <w:r>
        <w:rPr>
          <w:rFonts w:ascii="Times New Roman" w:cs="Times New Roman" w:eastAsia="Times New Roman" w:hAnsi="Times New Roman"/>
          <w:sz w:val="18"/>
          <w:szCs w:val="18"/>
          <w:color w:val="auto"/>
        </w:rPr>
        <w:t>Unless we say otherwise in a prospectus supplement, holders of not less than a majority of the debt securities of a series may waive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past default except for:</w:t>
      </w:r>
    </w:p>
    <w:p>
      <w:pPr>
        <w:spacing w:after="0" w:line="21" w:lineRule="exact"/>
        <w:rPr>
          <w:sz w:val="20"/>
          <w:szCs w:val="20"/>
          <w:color w:val="auto"/>
        </w:rPr>
      </w:pPr>
    </w:p>
    <w:p>
      <w:pPr>
        <w:ind w:left="800" w:hanging="225"/>
        <w:spacing w:after="0"/>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default; or</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on any provision that requires the consent of all holders to modify.</w:t>
      </w:r>
    </w:p>
    <w:p>
      <w:pPr>
        <w:spacing w:after="0" w:line="181" w:lineRule="exact"/>
        <w:rPr>
          <w:sz w:val="20"/>
          <w:szCs w:val="20"/>
          <w:color w:val="auto"/>
        </w:rPr>
      </w:pPr>
    </w:p>
    <w:p>
      <w:pPr>
        <w:ind w:firstLine="57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Acceleration of Payment. </w:t>
      </w:r>
      <w:r>
        <w:rPr>
          <w:rFonts w:ascii="Times New Roman" w:cs="Times New Roman" w:eastAsia="Times New Roman" w:hAnsi="Times New Roman"/>
          <w:sz w:val="18"/>
          <w:szCs w:val="18"/>
          <w:color w:val="auto"/>
        </w:rPr>
        <w:t>Unless we say otherwise in a prospectus supplement, each indenture provides that if an event of default occurs and continues,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21" w:lineRule="exact"/>
        <w:rPr>
          <w:sz w:val="20"/>
          <w:szCs w:val="20"/>
          <w:color w:val="auto"/>
        </w:rPr>
      </w:pPr>
    </w:p>
    <w:p>
      <w:pPr>
        <w:ind w:right="220" w:firstLine="57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Waiver of Acceleration. </w:t>
      </w:r>
      <w:r>
        <w:rPr>
          <w:rFonts w:ascii="Times New Roman" w:cs="Times New Roman" w:eastAsia="Times New Roman" w:hAnsi="Times New Roman"/>
          <w:sz w:val="18"/>
          <w:szCs w:val="18"/>
          <w:color w:val="auto"/>
        </w:rPr>
        <w:t>Unless we say otherwise in a prospectus supplement, each indenture provides that, after a declaration of acceleration, but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34" w:lineRule="exact"/>
        <w:rPr>
          <w:sz w:val="20"/>
          <w:szCs w:val="20"/>
          <w:color w:val="auto"/>
        </w:rPr>
      </w:pPr>
    </w:p>
    <w:p>
      <w:pPr>
        <w:ind w:left="800" w:hanging="225"/>
        <w:spacing w:after="0"/>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deposited with the trustee a sum sufficient to pay;</w:t>
      </w:r>
    </w:p>
    <w:p>
      <w:pPr>
        <w:spacing w:after="0" w:line="103"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interest on all debt securities of the applicable series,</w:t>
      </w:r>
    </w:p>
    <w:p>
      <w:pPr>
        <w:spacing w:after="0" w:line="103" w:lineRule="exact"/>
        <w:rPr>
          <w:rFonts w:ascii="Times New Roman" w:cs="Times New Roman" w:eastAsia="Times New Roman" w:hAnsi="Times New Roman"/>
          <w:sz w:val="18"/>
          <w:szCs w:val="18"/>
          <w:color w:val="auto"/>
        </w:rPr>
      </w:pPr>
    </w:p>
    <w:p>
      <w:pPr>
        <w:ind w:left="1260" w:right="260" w:hanging="455"/>
        <w:spacing w:after="0" w:line="275" w:lineRule="auto"/>
        <w:tabs>
          <w:tab w:leader="none" w:pos="12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25"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lawful, interest upon overdue interest at the rate borne by the debt securities, and</w:t>
      </w:r>
    </w:p>
    <w:p>
      <w:pPr>
        <w:spacing w:after="0" w:line="103" w:lineRule="exact"/>
        <w:rPr>
          <w:rFonts w:ascii="Times New Roman" w:cs="Times New Roman" w:eastAsia="Times New Roman" w:hAnsi="Times New Roman"/>
          <w:sz w:val="18"/>
          <w:szCs w:val="18"/>
          <w:color w:val="auto"/>
        </w:rPr>
      </w:pPr>
    </w:p>
    <w:p>
      <w:pPr>
        <w:ind w:left="1260" w:right="300" w:hanging="455"/>
        <w:spacing w:after="0" w:line="275" w:lineRule="auto"/>
        <w:tabs>
          <w:tab w:leader="none" w:pos="12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advanced by the trustee under the indenture and the reasonable compensation, expenses, disbursements and advances of the trustee, its agents and counsel; and</w:t>
      </w:r>
    </w:p>
    <w:p>
      <w:pPr>
        <w:spacing w:after="0" w:line="25" w:lineRule="exact"/>
        <w:rPr>
          <w:rFonts w:ascii="Times New Roman" w:cs="Times New Roman" w:eastAsia="Times New Roman" w:hAnsi="Times New Roman"/>
          <w:sz w:val="18"/>
          <w:szCs w:val="18"/>
          <w:color w:val="auto"/>
        </w:rPr>
      </w:pPr>
    </w:p>
    <w:p>
      <w:pPr>
        <w:ind w:left="800" w:right="100" w:hanging="225"/>
        <w:spacing w:after="0" w:line="275" w:lineRule="auto"/>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principal of the debt securities which have become due solely by such declaration of acceleration, have been cured or waived.</w:t>
      </w:r>
    </w:p>
    <w:p>
      <w:pPr>
        <w:spacing w:after="0" w:line="102" w:lineRule="exact"/>
        <w:rPr>
          <w:sz w:val="20"/>
          <w:szCs w:val="20"/>
          <w:color w:val="auto"/>
        </w:rPr>
      </w:pPr>
    </w:p>
    <w:p>
      <w:pPr>
        <w:ind w:right="40" w:firstLine="57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Notices of Default. </w:t>
      </w:r>
      <w:r>
        <w:rPr>
          <w:rFonts w:ascii="Times New Roman" w:cs="Times New Roman" w:eastAsia="Times New Roman" w:hAnsi="Times New Roman"/>
          <w:sz w:val="18"/>
          <w:szCs w:val="18"/>
          <w:color w:val="auto"/>
        </w:rPr>
        <w:t>Unless we say otherwise in a prospectus supplement, we are required to deliver to the trustee, on or before a date not more than 120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days after the end of each fiscal year, a written statement as to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any debt security of such series or in the payment of any sinking fund installment in respect of any debt security of such series) if the trustee considers such withholding to be in the interest of the holders.</w:t>
      </w:r>
    </w:p>
    <w:p>
      <w:pPr>
        <w:spacing w:after="0" w:line="122" w:lineRule="exact"/>
        <w:rPr>
          <w:sz w:val="20"/>
          <w:szCs w:val="20"/>
          <w:color w:val="auto"/>
        </w:rPr>
      </w:pPr>
    </w:p>
    <w:p>
      <w:pPr>
        <w:jc w:val="both"/>
        <w:ind w:right="160" w:firstLine="57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 on Suits. </w:t>
      </w:r>
      <w:r>
        <w:rPr>
          <w:rFonts w:ascii="Times New Roman" w:cs="Times New Roman" w:eastAsia="Times New Roman" w:hAnsi="Times New Roman"/>
          <w:sz w:val="18"/>
          <w:szCs w:val="18"/>
          <w:color w:val="auto"/>
        </w:rPr>
        <w:t>Each indenture provides that no holders of debt securities of any series may institute any proceedings, judicial or otherwise,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 to the indenture or for any remedy thereunder, except in the case of the failure of the trustee, for 60 days, to act after it has received a written request to institute proceedings in respect of an event of default from the holders of not less than 25% in aggregate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principal amount of the debt securities of the applicable series outstanding, as well as an offer of indemnity reasonably satisfactory to it.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15" w:lineRule="exact"/>
        <w:rPr>
          <w:sz w:val="20"/>
          <w:szCs w:val="20"/>
          <w:color w:val="auto"/>
        </w:rPr>
      </w:pPr>
    </w:p>
    <w:p>
      <w:pPr>
        <w:ind w:right="180" w:firstLine="57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Obligations of Trustee. </w:t>
      </w:r>
      <w:r>
        <w:rPr>
          <w:rFonts w:ascii="Times New Roman" w:cs="Times New Roman" w:eastAsia="Times New Roman" w:hAnsi="Times New Roman"/>
          <w:sz w:val="18"/>
          <w:szCs w:val="18"/>
          <w:color w:val="auto"/>
        </w:rPr>
        <w:t>Unless we say otherwise in a prospectus supplement, the trustee is under no obligation to exercise any of the rights or powers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15" w:lineRule="exact"/>
        <w:rPr>
          <w:sz w:val="20"/>
          <w:szCs w:val="20"/>
          <w:color w:val="auto"/>
        </w:rPr>
      </w:pPr>
    </w:p>
    <w:p>
      <w:pPr>
        <w:ind w:right="40" w:firstLine="571"/>
        <w:spacing w:after="0" w:line="262" w:lineRule="auto"/>
        <w:rPr>
          <w:sz w:val="20"/>
          <w:szCs w:val="20"/>
          <w:color w:val="auto"/>
        </w:rPr>
      </w:pPr>
      <w:r>
        <w:rPr>
          <w:rFonts w:ascii="Times New Roman" w:cs="Times New Roman" w:eastAsia="Times New Roman" w:hAnsi="Times New Roman"/>
          <w:sz w:val="18"/>
          <w:szCs w:val="18"/>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19" w:lineRule="exact"/>
        <w:rPr>
          <w:sz w:val="20"/>
          <w:szCs w:val="20"/>
          <w:color w:val="auto"/>
        </w:rPr>
      </w:pPr>
    </w:p>
    <w:p>
      <w:pPr>
        <w:ind w:right="160" w:firstLine="571"/>
        <w:spacing w:after="0" w:line="275" w:lineRule="auto"/>
        <w:rPr>
          <w:sz w:val="20"/>
          <w:szCs w:val="20"/>
          <w:color w:val="auto"/>
        </w:rPr>
      </w:pPr>
      <w:r>
        <w:rPr>
          <w:rFonts w:ascii="Times New Roman" w:cs="Times New Roman" w:eastAsia="Times New Roman" w:hAnsi="Times New Roman"/>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or Covenant Defeasance of Indenture</w:t>
      </w:r>
    </w:p>
    <w:p>
      <w:pPr>
        <w:spacing w:after="0" w:line="79" w:lineRule="exact"/>
        <w:rPr>
          <w:sz w:val="20"/>
          <w:szCs w:val="20"/>
          <w:color w:val="auto"/>
        </w:rPr>
      </w:pPr>
    </w:p>
    <w:p>
      <w:pPr>
        <w:ind w:right="160" w:firstLine="571"/>
        <w:spacing w:after="0" w:line="262"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38" w:lineRule="exact"/>
        <w:rPr>
          <w:sz w:val="20"/>
          <w:szCs w:val="20"/>
          <w:color w:val="auto"/>
        </w:rPr>
      </w:pPr>
    </w:p>
    <w:p>
      <w:pPr>
        <w:ind w:left="800" w:right="340" w:hanging="225"/>
        <w:spacing w:after="0" w:line="275" w:lineRule="auto"/>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25" w:lineRule="exact"/>
        <w:rPr>
          <w:rFonts w:ascii="Times New Roman" w:cs="Times New Roman" w:eastAsia="Times New Roman" w:hAnsi="Times New Roman"/>
          <w:sz w:val="18"/>
          <w:szCs w:val="18"/>
          <w:color w:val="auto"/>
        </w:rPr>
      </w:pPr>
    </w:p>
    <w:p>
      <w:pPr>
        <w:ind w:left="800" w:hanging="225"/>
        <w:spacing w:after="0" w:line="275" w:lineRule="auto"/>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and</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185" w:lineRule="exact"/>
        <w:rPr>
          <w:sz w:val="20"/>
          <w:szCs w:val="20"/>
          <w:color w:val="auto"/>
        </w:rPr>
      </w:pPr>
    </w:p>
    <w:p>
      <w:pPr>
        <w:ind w:right="80" w:firstLine="571"/>
        <w:spacing w:after="0" w:line="258" w:lineRule="auto"/>
        <w:rPr>
          <w:sz w:val="20"/>
          <w:szCs w:val="20"/>
          <w:color w:val="auto"/>
        </w:rPr>
      </w:pPr>
      <w:r>
        <w:rPr>
          <w:rFonts w:ascii="Times New Roman" w:cs="Times New Roman" w:eastAsia="Times New Roman" w:hAnsi="Times New Roman"/>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Unless we say otherwise in a prospectus supplement, in order to exercise either defeasance or covenant defeasance as to the outstanding debt securities of</w:t>
      </w:r>
    </w:p>
    <w:p>
      <w:pPr>
        <w:spacing w:after="0" w:line="44" w:lineRule="exact"/>
        <w:rPr>
          <w:sz w:val="20"/>
          <w:szCs w:val="20"/>
          <w:color w:val="auto"/>
        </w:rPr>
      </w:pPr>
    </w:p>
    <w:p>
      <w:pPr>
        <w:ind w:left="120" w:hanging="112"/>
        <w:spacing w:after="0"/>
        <w:tabs>
          <w:tab w:leader="none" w:pos="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w:t>
      </w:r>
    </w:p>
    <w:p>
      <w:pPr>
        <w:spacing w:after="0" w:line="64" w:lineRule="exact"/>
        <w:rPr>
          <w:rFonts w:ascii="Times New Roman" w:cs="Times New Roman" w:eastAsia="Times New Roman" w:hAnsi="Times New Roman"/>
          <w:sz w:val="18"/>
          <w:szCs w:val="18"/>
          <w:color w:val="auto"/>
        </w:rPr>
      </w:pPr>
    </w:p>
    <w:p>
      <w:pPr>
        <w:ind w:left="800" w:right="140" w:hanging="225"/>
        <w:spacing w:after="0" w:line="255" w:lineRule="auto"/>
        <w:tabs>
          <w:tab w:leader="none" w:pos="8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deposit with the trustee, in trust, for the benefit of the holders of the debt securities of the applicable series, an amount in (i) currency, currencies or currency unit in which those debt securities are then specified as payable at maturity, (ii) government securities (as defined in the applicable indenture) or (iii) any combination thereof, as will be sufficient,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hanging="225"/>
        <w:spacing w:after="0"/>
        <w:tabs>
          <w:tab w:leader="none" w:pos="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defeasance, we will deliver to the trustee an opinion of counsel confirming that either:</w:t>
      </w:r>
    </w:p>
    <w:p>
      <w:pPr>
        <w:spacing w:after="0" w:line="103"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from, or there has been published by, the Internal Revenue Service a ruling, or</w:t>
      </w:r>
    </w:p>
    <w:p>
      <w:pPr>
        <w:spacing w:after="0" w:line="103"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we issued the applicable debt securities, there has been a change in the applicable federal income tax law,</w:t>
      </w:r>
    </w:p>
    <w:p>
      <w:pPr>
        <w:spacing w:after="0" w:line="104" w:lineRule="exact"/>
        <w:rPr>
          <w:sz w:val="20"/>
          <w:szCs w:val="20"/>
          <w:color w:val="auto"/>
        </w:rPr>
      </w:pPr>
    </w:p>
    <w:p>
      <w:pPr>
        <w:ind w:left="800"/>
        <w:spacing w:after="0" w:line="262" w:lineRule="auto"/>
        <w:rPr>
          <w:sz w:val="20"/>
          <w:szCs w:val="20"/>
          <w:color w:val="auto"/>
        </w:rPr>
      </w:pPr>
      <w:r>
        <w:rPr>
          <w:rFonts w:ascii="Times New Roman" w:cs="Times New Roman" w:eastAsia="Times New Roman" w:hAnsi="Times New Roman"/>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38" w:lineRule="exact"/>
        <w:rPr>
          <w:sz w:val="20"/>
          <w:szCs w:val="20"/>
          <w:color w:val="auto"/>
        </w:rPr>
      </w:pPr>
    </w:p>
    <w:p>
      <w:pPr>
        <w:ind w:left="800" w:right="40" w:hanging="225"/>
        <w:spacing w:after="0" w:line="258" w:lineRule="auto"/>
        <w:tabs>
          <w:tab w:leader="none" w:pos="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41" w:lineRule="exact"/>
        <w:rPr>
          <w:rFonts w:ascii="Times New Roman" w:cs="Times New Roman" w:eastAsia="Times New Roman" w:hAnsi="Times New Roman"/>
          <w:sz w:val="18"/>
          <w:szCs w:val="18"/>
          <w:color w:val="auto"/>
        </w:rPr>
      </w:pPr>
    </w:p>
    <w:p>
      <w:pPr>
        <w:ind w:left="800" w:hanging="225"/>
        <w:spacing w:after="0" w:line="275" w:lineRule="auto"/>
        <w:tabs>
          <w:tab w:leader="none" w:pos="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25" w:lineRule="exact"/>
        <w:rPr>
          <w:rFonts w:ascii="Times New Roman" w:cs="Times New Roman" w:eastAsia="Times New Roman" w:hAnsi="Times New Roman"/>
          <w:sz w:val="18"/>
          <w:szCs w:val="18"/>
          <w:color w:val="auto"/>
        </w:rPr>
      </w:pPr>
    </w:p>
    <w:p>
      <w:pPr>
        <w:ind w:left="800" w:right="360" w:hanging="225"/>
        <w:spacing w:after="0" w:line="275" w:lineRule="auto"/>
        <w:tabs>
          <w:tab w:leader="none" w:pos="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25" w:lineRule="exact"/>
        <w:rPr>
          <w:rFonts w:ascii="Times New Roman" w:cs="Times New Roman" w:eastAsia="Times New Roman" w:hAnsi="Times New Roman"/>
          <w:sz w:val="18"/>
          <w:szCs w:val="18"/>
          <w:color w:val="auto"/>
        </w:rPr>
      </w:pPr>
    </w:p>
    <w:p>
      <w:pPr>
        <w:ind w:left="800" w:right="340" w:hanging="225"/>
        <w:spacing w:after="0" w:line="275" w:lineRule="auto"/>
        <w:tabs>
          <w:tab w:leader="none" w:pos="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25" w:lineRule="exact"/>
        <w:rPr>
          <w:rFonts w:ascii="Times New Roman" w:cs="Times New Roman" w:eastAsia="Times New Roman" w:hAnsi="Times New Roman"/>
          <w:sz w:val="18"/>
          <w:szCs w:val="18"/>
          <w:color w:val="auto"/>
        </w:rPr>
      </w:pPr>
    </w:p>
    <w:p>
      <w:pPr>
        <w:ind w:left="800" w:right="60" w:hanging="225"/>
        <w:spacing w:after="0" w:line="262" w:lineRule="auto"/>
        <w:tabs>
          <w:tab w:leader="none" w:pos="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representations under the Investment Company Act have been effected.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Modifications and Amendments</w:t>
      </w:r>
    </w:p>
    <w:p>
      <w:pPr>
        <w:spacing w:after="0" w:line="79" w:lineRule="exact"/>
        <w:rPr>
          <w:sz w:val="20"/>
          <w:szCs w:val="20"/>
          <w:color w:val="auto"/>
        </w:rPr>
      </w:pPr>
    </w:p>
    <w:p>
      <w:pPr>
        <w:jc w:val="both"/>
        <w:ind w:right="340" w:firstLine="571"/>
        <w:spacing w:after="0" w:line="310" w:lineRule="auto"/>
        <w:rPr>
          <w:sz w:val="20"/>
          <w:szCs w:val="20"/>
          <w:color w:val="auto"/>
        </w:rPr>
      </w:pPr>
      <w:r>
        <w:rPr>
          <w:rFonts w:ascii="Times New Roman" w:cs="Times New Roman" w:eastAsia="Times New Roman" w:hAnsi="Times New Roman"/>
          <w:sz w:val="16"/>
          <w:szCs w:val="16"/>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3" w:lineRule="exact"/>
        <w:rPr>
          <w:sz w:val="20"/>
          <w:szCs w:val="20"/>
          <w:color w:val="auto"/>
        </w:rPr>
      </w:pPr>
    </w:p>
    <w:p>
      <w:pPr>
        <w:ind w:left="800" w:hanging="225"/>
        <w:spacing w:after="0"/>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interest on, any debt security;</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thereof or the rate of interest thereon or any premium payable upon the redemption thereof;</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coin or currency in which the principal or premium, if any, of any debt security or the interest thereon is payable;</w:t>
      </w:r>
    </w:p>
    <w:p>
      <w:pPr>
        <w:spacing w:after="0" w:line="103" w:lineRule="exact"/>
        <w:rPr>
          <w:rFonts w:ascii="Times New Roman" w:cs="Times New Roman" w:eastAsia="Times New Roman" w:hAnsi="Times New Roman"/>
          <w:sz w:val="18"/>
          <w:szCs w:val="18"/>
          <w:color w:val="auto"/>
        </w:rPr>
      </w:pPr>
    </w:p>
    <w:p>
      <w:pPr>
        <w:ind w:left="800" w:right="40" w:hanging="225"/>
        <w:spacing w:after="0" w:line="275" w:lineRule="auto"/>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such payment after the stated maturity of the debt security (or in the case of redemption, on or after the redemption date);</w:t>
      </w:r>
    </w:p>
    <w:p>
      <w:pPr>
        <w:spacing w:after="0" w:line="25" w:lineRule="exact"/>
        <w:rPr>
          <w:rFonts w:ascii="Times New Roman" w:cs="Times New Roman" w:eastAsia="Times New Roman" w:hAnsi="Times New Roman"/>
          <w:sz w:val="18"/>
          <w:szCs w:val="18"/>
          <w:color w:val="auto"/>
        </w:rPr>
      </w:pPr>
    </w:p>
    <w:p>
      <w:pPr>
        <w:ind w:left="800" w:right="320" w:hanging="225"/>
        <w:spacing w:after="0" w:line="275" w:lineRule="auto"/>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80"/>
          </w:cols>
          <w:pgMar w:left="240" w:top="455" w:right="2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right="20" w:hanging="225"/>
        <w:spacing w:after="0" w:line="258" w:lineRule="auto"/>
        <w:tabs>
          <w:tab w:leader="none" w:pos="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23" w:lineRule="exact"/>
        <w:rPr>
          <w:sz w:val="20"/>
          <w:szCs w:val="20"/>
          <w:color w:val="auto"/>
        </w:rPr>
      </w:pPr>
    </w:p>
    <w:p>
      <w:pPr>
        <w:ind w:right="100" w:firstLine="571"/>
        <w:spacing w:after="0" w:line="275" w:lineRule="auto"/>
        <w:rPr>
          <w:sz w:val="20"/>
          <w:szCs w:val="20"/>
          <w:color w:val="auto"/>
        </w:rPr>
      </w:pPr>
      <w:r>
        <w:rPr>
          <w:rFonts w:ascii="Times New Roman" w:cs="Times New Roman" w:eastAsia="Times New Roman" w:hAnsi="Times New Roman"/>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25" w:lineRule="exact"/>
        <w:rPr>
          <w:sz w:val="20"/>
          <w:szCs w:val="20"/>
          <w:color w:val="auto"/>
        </w:rPr>
      </w:pPr>
    </w:p>
    <w:p>
      <w:pPr>
        <w:ind w:left="800" w:right="500" w:hanging="225"/>
        <w:spacing w:after="0" w:line="275" w:lineRule="auto"/>
        <w:tabs>
          <w:tab w:leader="none" w:pos="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evidences the succession of another person to us and the assumption by any such successor of any covenants under the indenture and in the debt securities of any series;</w:t>
      </w:r>
    </w:p>
    <w:p>
      <w:pPr>
        <w:spacing w:after="0" w:line="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to our covenants for the benefit of the holders of all or any series of debt securities or surrenders any of our rights or powers;</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any additional event of default for the benefit of the holders of all or any series of debt securities;</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secures the debt securities of any series;</w:t>
      </w:r>
    </w:p>
    <w:p>
      <w:pPr>
        <w:spacing w:after="0" w:line="103" w:lineRule="exact"/>
        <w:rPr>
          <w:rFonts w:ascii="Times New Roman" w:cs="Times New Roman" w:eastAsia="Times New Roman" w:hAnsi="Times New Roman"/>
          <w:sz w:val="18"/>
          <w:szCs w:val="18"/>
          <w:color w:val="auto"/>
        </w:rPr>
      </w:pPr>
    </w:p>
    <w:p>
      <w:pPr>
        <w:ind w:left="800" w:right="20" w:hanging="225"/>
        <w:spacing w:after="0" w:line="310" w:lineRule="auto"/>
        <w:tabs>
          <w:tab w:leader="none" w:pos="8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w:t>
      </w:r>
    </w:p>
    <w:p>
      <w:pPr>
        <w:spacing w:after="0" w:line="2" w:lineRule="exact"/>
        <w:rPr>
          <w:rFonts w:ascii="Times New Roman" w:cs="Times New Roman" w:eastAsia="Times New Roman" w:hAnsi="Times New Roman"/>
          <w:sz w:val="16"/>
          <w:szCs w:val="16"/>
          <w:color w:val="auto"/>
        </w:rPr>
      </w:pPr>
    </w:p>
    <w:p>
      <w:pPr>
        <w:ind w:left="800" w:hanging="225"/>
        <w:spacing w:after="0"/>
        <w:tabs>
          <w:tab w:leader="none" w:pos="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eliminates any provision affecting only debt securities not yet issued;</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the form or terms of debt securities of any series not yet issued;</w:t>
      </w:r>
    </w:p>
    <w:p>
      <w:pPr>
        <w:spacing w:after="0" w:line="103" w:lineRule="exact"/>
        <w:rPr>
          <w:rFonts w:ascii="Times New Roman" w:cs="Times New Roman" w:eastAsia="Times New Roman" w:hAnsi="Times New Roman"/>
          <w:sz w:val="18"/>
          <w:szCs w:val="18"/>
          <w:color w:val="auto"/>
        </w:rPr>
      </w:pPr>
    </w:p>
    <w:p>
      <w:pPr>
        <w:ind w:left="800" w:right="440" w:hanging="225"/>
        <w:spacing w:after="0" w:line="275" w:lineRule="auto"/>
        <w:tabs>
          <w:tab w:leader="none" w:pos="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25" w:lineRule="exact"/>
        <w:rPr>
          <w:rFonts w:ascii="Times New Roman" w:cs="Times New Roman" w:eastAsia="Times New Roman" w:hAnsi="Times New Roman"/>
          <w:sz w:val="18"/>
          <w:szCs w:val="18"/>
          <w:color w:val="auto"/>
        </w:rPr>
      </w:pPr>
    </w:p>
    <w:p>
      <w:pPr>
        <w:ind w:left="800" w:right="400" w:hanging="225"/>
        <w:spacing w:after="0" w:line="258" w:lineRule="auto"/>
        <w:tabs>
          <w:tab w:leader="none" w:pos="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41" w:lineRule="exact"/>
        <w:rPr>
          <w:rFonts w:ascii="Times New Roman" w:cs="Times New Roman" w:eastAsia="Times New Roman" w:hAnsi="Times New Roman"/>
          <w:sz w:val="18"/>
          <w:szCs w:val="18"/>
          <w:color w:val="auto"/>
        </w:rPr>
      </w:pPr>
    </w:p>
    <w:p>
      <w:pPr>
        <w:ind w:left="800" w:hanging="225"/>
        <w:spacing w:after="0" w:line="262" w:lineRule="auto"/>
        <w:tabs>
          <w:tab w:leader="none" w:pos="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19" w:lineRule="exact"/>
        <w:rPr>
          <w:sz w:val="20"/>
          <w:szCs w:val="20"/>
          <w:color w:val="auto"/>
        </w:rPr>
      </w:pPr>
    </w:p>
    <w:p>
      <w:pPr>
        <w:ind w:right="500" w:firstLine="571"/>
        <w:spacing w:after="0" w:line="275"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Issue Discount</w:t>
      </w:r>
    </w:p>
    <w:p>
      <w:pPr>
        <w:spacing w:after="0" w:line="79" w:lineRule="exact"/>
        <w:rPr>
          <w:sz w:val="20"/>
          <w:szCs w:val="20"/>
          <w:color w:val="auto"/>
        </w:rPr>
      </w:pPr>
    </w:p>
    <w:p>
      <w:pPr>
        <w:ind w:right="140" w:firstLine="571"/>
        <w:spacing w:after="0" w:line="258" w:lineRule="auto"/>
        <w:rPr>
          <w:sz w:val="20"/>
          <w:szCs w:val="20"/>
          <w:color w:val="auto"/>
        </w:rPr>
      </w:pPr>
      <w:r>
        <w:rPr>
          <w:rFonts w:ascii="Times New Roman" w:cs="Times New Roman" w:eastAsia="Times New Roman" w:hAnsi="Times New Roman"/>
          <w:sz w:val="18"/>
          <w:szCs w:val="18"/>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treated as original issue discount securities in the prospectus supplement relating to such securities. “Original issue discount security” generally means any debt security that:</w:t>
      </w:r>
    </w:p>
    <w:p>
      <w:pPr>
        <w:spacing w:after="0" w:line="25" w:lineRule="exact"/>
        <w:rPr>
          <w:sz w:val="20"/>
          <w:szCs w:val="20"/>
          <w:color w:val="auto"/>
        </w:rPr>
      </w:pPr>
    </w:p>
    <w:p>
      <w:pPr>
        <w:ind w:left="800" w:hanging="225"/>
        <w:spacing w:after="0"/>
        <w:tabs>
          <w:tab w:leader="none" w:pos="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provide for the payment of interest prior to maturity; or</w:t>
      </w:r>
    </w:p>
    <w:p>
      <w:pPr>
        <w:spacing w:after="0" w:line="103" w:lineRule="exact"/>
        <w:rPr>
          <w:rFonts w:ascii="Times New Roman" w:cs="Times New Roman" w:eastAsia="Times New Roman" w:hAnsi="Times New Roman"/>
          <w:sz w:val="18"/>
          <w:szCs w:val="18"/>
          <w:color w:val="auto"/>
        </w:rPr>
      </w:pPr>
    </w:p>
    <w:p>
      <w:pPr>
        <w:ind w:left="800" w:right="100" w:hanging="225"/>
        <w:spacing w:after="0" w:line="275" w:lineRule="auto"/>
        <w:tabs>
          <w:tab w:leader="none" w:pos="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issued at a price lower than its face value and provides that upon redemption or acceleration of its stated maturity an amount less than its principal amount shall become due and payable.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Unless we say otherwise in a prospectus supplement, we will send notices to holders of debt securities by mail to the holder’s address as it appears in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79" w:lineRule="exact"/>
        <w:rPr>
          <w:sz w:val="20"/>
          <w:szCs w:val="20"/>
          <w:color w:val="auto"/>
        </w:rPr>
      </w:pPr>
    </w:p>
    <w:p>
      <w:pPr>
        <w:jc w:val="center"/>
        <w:ind w:left="400" w:right="420"/>
        <w:spacing w:after="0" w:line="447" w:lineRule="auto"/>
        <w:rPr>
          <w:sz w:val="20"/>
          <w:szCs w:val="20"/>
          <w:color w:val="auto"/>
        </w:rPr>
      </w:pPr>
      <w:r>
        <w:rPr>
          <w:rFonts w:ascii="Times New Roman" w:cs="Times New Roman" w:eastAsia="Times New Roman" w:hAnsi="Times New Roman"/>
          <w:sz w:val="18"/>
          <w:szCs w:val="18"/>
          <w:color w:val="auto"/>
        </w:rPr>
        <w:t>Unless we say otherwise in a prospectus supplement, each indenture and the debt securities will be governed by the laws of the State of New York. 17</w:t>
      </w:r>
    </w:p>
    <w:p>
      <w:pPr>
        <w:sectPr>
          <w:pgSz w:w="11900" w:h="16838" w:orient="portrait"/>
          <w:cols w:equalWidth="0" w:num="1">
            <w:col w:w="11320"/>
          </w:cols>
          <w:pgMar w:left="240" w:top="455" w:right="3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SHARES OF BENEFICIAL INTEREST</w:t>
      </w:r>
    </w:p>
    <w:p>
      <w:pPr>
        <w:spacing w:after="0" w:line="160" w:lineRule="exact"/>
        <w:rPr>
          <w:sz w:val="20"/>
          <w:szCs w:val="20"/>
          <w:color w:val="auto"/>
        </w:rPr>
      </w:pPr>
    </w:p>
    <w:p>
      <w:pPr>
        <w:jc w:val="both"/>
        <w:ind w:right="100" w:firstLine="571"/>
        <w:spacing w:after="0" w:line="262" w:lineRule="auto"/>
        <w:rPr>
          <w:sz w:val="20"/>
          <w:szCs w:val="20"/>
          <w:color w:val="auto"/>
        </w:rPr>
      </w:pPr>
      <w:r>
        <w:rPr>
          <w:rFonts w:ascii="Times New Roman" w:cs="Times New Roman" w:eastAsia="Times New Roman" w:hAnsi="Times New Roman"/>
          <w:sz w:val="18"/>
          <w:szCs w:val="18"/>
          <w:color w:val="auto"/>
        </w:rPr>
        <w:t>We are a Maryland real estate investment trust. Your rights as a shareholder are governed by the Code of Maryland, including Title 8 of the Corporations and Associations Article, our declaration of trust and our bylaws. The following summary of the material terms, rights and preferences of the shares of beneficial interest is not complete. You should read our declaration of trust, bylaws and shareholder rights plan for more complete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79" w:lineRule="exact"/>
        <w:rPr>
          <w:sz w:val="20"/>
          <w:szCs w:val="20"/>
          <w:color w:val="auto"/>
        </w:rPr>
      </w:pPr>
    </w:p>
    <w:p>
      <w:pPr>
        <w:jc w:val="both"/>
        <w:ind w:right="320" w:firstLine="571"/>
        <w:spacing w:after="0" w:line="298" w:lineRule="auto"/>
        <w:rPr>
          <w:sz w:val="20"/>
          <w:szCs w:val="20"/>
          <w:color w:val="auto"/>
        </w:rPr>
      </w:pPr>
      <w:r>
        <w:rPr>
          <w:rFonts w:ascii="Times New Roman" w:cs="Times New Roman" w:eastAsia="Times New Roman" w:hAnsi="Times New Roman"/>
          <w:sz w:val="17"/>
          <w:szCs w:val="17"/>
          <w:color w:val="auto"/>
        </w:rPr>
        <w:t xml:space="preserve">Our declaration of trust allows us to issue up to 100,000,000 common shares of beneficial interest, par value $.01 per share, and 15,000,000 preferred shares of beneficial interest, par value $.01 per share. As of May 1, 2006, we had issued and outstanding 53,047,258 common shares, and 5,400,000 preferred shares which were designated as 8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7"/>
          <w:szCs w:val="17"/>
          <w:color w:val="auto"/>
        </w:rPr>
        <w:t>% Series B Cumulative Redeemable Preferred Shares, which we refer to as the Series B preferred shares.</w:t>
      </w:r>
    </w:p>
    <w:p>
      <w:pPr>
        <w:spacing w:after="0" w:line="12" w:lineRule="exact"/>
        <w:rPr>
          <w:sz w:val="20"/>
          <w:szCs w:val="20"/>
          <w:color w:val="auto"/>
        </w:rPr>
      </w:pPr>
    </w:p>
    <w:p>
      <w:pPr>
        <w:ind w:right="280" w:firstLine="571"/>
        <w:spacing w:after="0" w:line="275" w:lineRule="auto"/>
        <w:rPr>
          <w:sz w:val="20"/>
          <w:szCs w:val="20"/>
          <w:color w:val="auto"/>
        </w:rPr>
      </w:pPr>
      <w:r>
        <w:rPr>
          <w:rFonts w:ascii="Times New Roman" w:cs="Times New Roman" w:eastAsia="Times New Roman" w:hAnsi="Times New Roman"/>
          <w:sz w:val="18"/>
          <w:szCs w:val="18"/>
          <w:color w:val="auto"/>
        </w:rPr>
        <w:t>Each Series B preferred share is entitled to receive, when, as and if authorized by our Board of Trustees out of funds legally available for that purpose, cumulative dividends at the rate of $2.125 per annum.</w:t>
      </w:r>
    </w:p>
    <w:p>
      <w:pPr>
        <w:spacing w:after="0" w:line="106" w:lineRule="exact"/>
        <w:rPr>
          <w:sz w:val="20"/>
          <w:szCs w:val="20"/>
          <w:color w:val="auto"/>
        </w:rPr>
      </w:pPr>
    </w:p>
    <w:p>
      <w:pPr>
        <w:ind w:firstLine="571"/>
        <w:spacing w:after="0" w:line="253" w:lineRule="auto"/>
        <w:rPr>
          <w:sz w:val="20"/>
          <w:szCs w:val="20"/>
          <w:color w:val="auto"/>
        </w:rPr>
      </w:pPr>
      <w:r>
        <w:rPr>
          <w:rFonts w:ascii="Times New Roman" w:cs="Times New Roman" w:eastAsia="Times New Roman" w:hAnsi="Times New Roman"/>
          <w:sz w:val="18"/>
          <w:szCs w:val="18"/>
          <w:color w:val="auto"/>
        </w:rPr>
        <w:t>The Series B preferred shares rank prior to the common shares with respect to the payment of dividends and the distribution of assets upon liquidation, dissolution or winding up of the Trust. Our declaration of trust provides that, unless full cumulative dividends on all outstanding Series B preferred shares and any other class or series of our shares of beneficial interest ranking, as to the payment of dividends and the distribution of assets upon liquidation, dissolution or winding up, on a parity with the Series B preferred shares (“Parity Shares”) shall have been declared and paid or declared and set apart for payment for all past dividend periods, then no dividends, other than dividends paid solely in shares of our, or options, warrants or rights to subscribe for or purchase shares of our, beneficial interest which rank junior to the Series B preferred shares with respect to the payment of dividends and the distribution of assets upon our liquidation, dissolution or winding up (“Fully Junior Shares”), shall be declared or paid or set apart for payment on the common shares nor shall any common shares be redeemed, purchased or otherwise acquired (other than for purposes of our employee incentive or benefit plans or by conversion into or exchange for Fully Junior Shares).</w:t>
      </w:r>
    </w:p>
    <w:p>
      <w:pPr>
        <w:spacing w:after="0" w:line="130" w:lineRule="exact"/>
        <w:rPr>
          <w:sz w:val="20"/>
          <w:szCs w:val="20"/>
          <w:color w:val="auto"/>
        </w:rPr>
      </w:pPr>
    </w:p>
    <w:p>
      <w:pPr>
        <w:ind w:right="520" w:firstLine="571"/>
        <w:spacing w:after="0" w:line="275"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Series B preferred shares shall be entitled to receive $25 per share, plus all accrued and unpaid dividends, before any distribution shall be made with respect to the common shares.</w:t>
      </w:r>
    </w:p>
    <w:p>
      <w:pPr>
        <w:spacing w:after="0" w:line="102" w:lineRule="exact"/>
        <w:rPr>
          <w:sz w:val="20"/>
          <w:szCs w:val="20"/>
          <w:color w:val="auto"/>
        </w:rPr>
      </w:pPr>
    </w:p>
    <w:p>
      <w:pPr>
        <w:ind w:right="260" w:firstLine="57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Authority of the Board of Trustees Relating to Authorization and Classification of Shares. </w:t>
      </w:r>
      <w:r>
        <w:rPr>
          <w:rFonts w:ascii="Times New Roman" w:cs="Times New Roman" w:eastAsia="Times New Roman" w:hAnsi="Times New Roman"/>
          <w:sz w:val="18"/>
          <w:szCs w:val="18"/>
          <w:color w:val="auto"/>
        </w:rPr>
        <w:t>Our declaration of trust allows our Board of Trustees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take the following actions without approval by you or any shareholder:</w:t>
      </w:r>
    </w:p>
    <w:p>
      <w:pPr>
        <w:spacing w:after="0" w:line="21" w:lineRule="exact"/>
        <w:rPr>
          <w:sz w:val="20"/>
          <w:szCs w:val="20"/>
          <w:color w:val="auto"/>
        </w:rPr>
      </w:pPr>
    </w:p>
    <w:p>
      <w:pPr>
        <w:ind w:left="800" w:hanging="225"/>
        <w:spacing w:after="0"/>
        <w:tabs>
          <w:tab w:leader="none" w:pos="8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classify or reclassify any authorized but unissued common shares or preferred shares into one or more classes or series of shares of beneficial interest;</w:t>
      </w:r>
    </w:p>
    <w:p>
      <w:pPr>
        <w:spacing w:after="0" w:line="126" w:lineRule="exact"/>
        <w:rPr>
          <w:rFonts w:ascii="Times New Roman" w:cs="Times New Roman" w:eastAsia="Times New Roman" w:hAnsi="Times New Roman"/>
          <w:sz w:val="16"/>
          <w:szCs w:val="16"/>
          <w:color w:val="auto"/>
        </w:rPr>
      </w:pPr>
    </w:p>
    <w:p>
      <w:pPr>
        <w:ind w:left="800" w:hanging="225"/>
        <w:spacing w:after="0"/>
        <w:tabs>
          <w:tab w:leader="none" w:pos="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declaration of trust to change the total number of shares of beneficial interest authorized; and</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declaration of trust to change the authorized number of shares of any class or series of shares of beneficial interest.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80" w:firstLine="571"/>
        <w:spacing w:after="0" w:line="275" w:lineRule="auto"/>
        <w:rPr>
          <w:sz w:val="20"/>
          <w:szCs w:val="20"/>
          <w:color w:val="auto"/>
        </w:rPr>
      </w:pPr>
      <w:r>
        <w:rPr>
          <w:rFonts w:ascii="Times New Roman" w:cs="Times New Roman" w:eastAsia="Times New Roman" w:hAnsi="Times New Roman"/>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06" w:lineRule="exact"/>
        <w:rPr>
          <w:sz w:val="20"/>
          <w:szCs w:val="20"/>
          <w:color w:val="auto"/>
        </w:rPr>
      </w:pPr>
    </w:p>
    <w:p>
      <w:pPr>
        <w:ind w:right="60" w:firstLine="571"/>
        <w:spacing w:after="0" w:line="258" w:lineRule="auto"/>
        <w:rPr>
          <w:sz w:val="20"/>
          <w:szCs w:val="20"/>
          <w:color w:val="auto"/>
        </w:rPr>
      </w:pPr>
      <w:r>
        <w:rPr>
          <w:rFonts w:ascii="Times New Roman" w:cs="Times New Roman" w:eastAsia="Times New Roman" w:hAnsi="Times New Roman"/>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Liability</w:t>
      </w:r>
    </w:p>
    <w:p>
      <w:pPr>
        <w:spacing w:after="0" w:line="79" w:lineRule="exact"/>
        <w:rPr>
          <w:sz w:val="20"/>
          <w:szCs w:val="20"/>
          <w:color w:val="auto"/>
        </w:rPr>
      </w:pPr>
    </w:p>
    <w:p>
      <w:pPr>
        <w:ind w:right="60" w:firstLine="571"/>
        <w:spacing w:after="0" w:line="262" w:lineRule="auto"/>
        <w:rPr>
          <w:sz w:val="20"/>
          <w:szCs w:val="20"/>
          <w:color w:val="auto"/>
        </w:rPr>
      </w:pPr>
      <w:r>
        <w:rPr>
          <w:rFonts w:ascii="Times New Roman" w:cs="Times New Roman" w:eastAsia="Times New Roman" w:hAnsi="Times New Roman"/>
          <w:sz w:val="18"/>
          <w:szCs w:val="18"/>
          <w:color w:val="auto"/>
        </w:rPr>
        <w:t>Under Maryland law, you will not be personally liable for any obligation of ours solely because you are a 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w:t>
      </w:r>
    </w:p>
    <w:p>
      <w:pPr>
        <w:spacing w:after="0" w:line="119" w:lineRule="exact"/>
        <w:rPr>
          <w:sz w:val="20"/>
          <w:szCs w:val="20"/>
          <w:color w:val="auto"/>
        </w:rPr>
      </w:pPr>
    </w:p>
    <w:p>
      <w:pPr>
        <w:ind w:right="300" w:firstLine="571"/>
        <w:spacing w:after="0" w:line="310" w:lineRule="auto"/>
        <w:rPr>
          <w:sz w:val="20"/>
          <w:szCs w:val="20"/>
          <w:color w:val="auto"/>
        </w:rPr>
      </w:pPr>
      <w:r>
        <w:rPr>
          <w:rFonts w:ascii="Times New Roman" w:cs="Times New Roman" w:eastAsia="Times New Roman" w:hAnsi="Times New Roman"/>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79" w:lineRule="exact"/>
        <w:rPr>
          <w:sz w:val="20"/>
          <w:szCs w:val="20"/>
          <w:color w:val="auto"/>
        </w:rPr>
      </w:pPr>
    </w:p>
    <w:p>
      <w:pPr>
        <w:ind w:firstLine="571"/>
        <w:spacing w:after="0" w:line="253" w:lineRule="auto"/>
        <w:rPr>
          <w:sz w:val="20"/>
          <w:szCs w:val="20"/>
          <w:color w:val="auto"/>
        </w:rPr>
      </w:pPr>
      <w:r>
        <w:rPr>
          <w:rFonts w:ascii="Times New Roman" w:cs="Times New Roman" w:eastAsia="Times New Roman" w:hAnsi="Times New Roman"/>
          <w:sz w:val="18"/>
          <w:szCs w:val="18"/>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B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B preferred shares and any other shares of beneficial interest having a priority over our common shares in the event of our liquidation, dissolution or winding up. As noted above under “— Authorized Shares,” our outstanding Series B preferred shares rank prior to our common shares with respect to the payment of dividends and as to the distribution of assets in the event of our liquidation, dissolution or winding up.</w:t>
      </w:r>
    </w:p>
    <w:p>
      <w:pPr>
        <w:spacing w:after="0" w:line="123" w:lineRule="exact"/>
        <w:rPr>
          <w:sz w:val="20"/>
          <w:szCs w:val="20"/>
          <w:color w:val="auto"/>
        </w:rPr>
      </w:pPr>
    </w:p>
    <w:p>
      <w:pPr>
        <w:ind w:right="40" w:firstLine="571"/>
        <w:spacing w:after="0" w:line="290" w:lineRule="auto"/>
        <w:rPr>
          <w:sz w:val="20"/>
          <w:szCs w:val="20"/>
          <w:color w:val="auto"/>
        </w:rPr>
      </w:pPr>
      <w:r>
        <w:rPr>
          <w:rFonts w:ascii="Times New Roman" w:cs="Times New Roman" w:eastAsia="Times New Roman" w:hAnsi="Times New Roman"/>
          <w:sz w:val="16"/>
          <w:szCs w:val="16"/>
          <w:b w:val="1"/>
          <w:bCs w:val="1"/>
          <w:i w:val="1"/>
          <w:iCs w:val="1"/>
          <w:color w:val="auto"/>
        </w:rPr>
        <w:t xml:space="preserve">Voting Rights. </w:t>
      </w:r>
      <w:r>
        <w:rPr>
          <w:rFonts w:ascii="Times New Roman" w:cs="Times New Roman" w:eastAsia="Times New Roman" w:hAnsi="Times New Roman"/>
          <w:sz w:val="16"/>
          <w:szCs w:val="16"/>
          <w:color w:val="auto"/>
        </w:rPr>
        <w:t>Each outstanding common share owned by a shareholder entitles that holder to one vote on all matters submitted to a vote of common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shareholders, including the election of trustees (other than trustees elected by the holders of our preferred shares under the circumstances described below under “— Preferred Shares — Voting Rights”).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at a meeting where the number of nominees exceeds the number of trustees to be elected, and the holders of a majority of all of the votes cast at a meeting of shareholders duly called and at which a quorum is present can elect a trustee at a meeting where the number of nominees is the same as the number of trustees to be elected, and in both cases the holders of the remaining shares will not be able to elect any trustees.</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holder of a common share, you will not have any right to:</w:t>
      </w:r>
    </w:p>
    <w:p>
      <w:pPr>
        <w:spacing w:after="0" w:line="77" w:lineRule="exact"/>
        <w:rPr>
          <w:sz w:val="20"/>
          <w:szCs w:val="20"/>
          <w:color w:val="auto"/>
        </w:rPr>
      </w:pPr>
    </w:p>
    <w:p>
      <w:pPr>
        <w:ind w:left="800" w:hanging="225"/>
        <w:spacing w:after="0"/>
        <w:tabs>
          <w:tab w:leader="none" w:pos="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your shares into any other security;</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any funds set aside for future payments;</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455" w:right="27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hanging="225"/>
        <w:spacing w:after="0"/>
        <w:tabs>
          <w:tab w:leader="none" w:pos="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repurchase your shares; or</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of our securities, if other securities are offered for sale, other than as a member of the general public.</w:t>
      </w:r>
    </w:p>
    <w:p>
      <w:pPr>
        <w:spacing w:after="0" w:line="185" w:lineRule="exact"/>
        <w:rPr>
          <w:sz w:val="20"/>
          <w:szCs w:val="20"/>
          <w:color w:val="auto"/>
        </w:rPr>
      </w:pPr>
    </w:p>
    <w:p>
      <w:pPr>
        <w:ind w:right="400" w:firstLine="571"/>
        <w:spacing w:after="0" w:line="275" w:lineRule="auto"/>
        <w:rPr>
          <w:sz w:val="20"/>
          <w:szCs w:val="20"/>
          <w:color w:val="auto"/>
        </w:rPr>
      </w:pPr>
      <w:r>
        <w:rPr>
          <w:rFonts w:ascii="Times New Roman" w:cs="Times New Roman" w:eastAsia="Times New Roman" w:hAnsi="Times New Roman"/>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0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38" w:lineRule="exact"/>
        <w:rPr>
          <w:sz w:val="20"/>
          <w:szCs w:val="20"/>
          <w:color w:val="auto"/>
        </w:rPr>
      </w:pPr>
    </w:p>
    <w:p>
      <w:pPr>
        <w:ind w:left="800" w:right="80" w:hanging="225"/>
        <w:spacing w:after="0" w:line="275" w:lineRule="auto"/>
        <w:tabs>
          <w:tab w:leader="none" w:pos="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trustees where the number of nominees exceeds the number of trustees to be elected (which requires a plurality of all the votes cast at a meeting of our shareholders at which a quorum is present);</w:t>
      </w:r>
    </w:p>
    <w:p>
      <w:pPr>
        <w:spacing w:after="0" w:line="25" w:lineRule="exact"/>
        <w:rPr>
          <w:rFonts w:ascii="Times New Roman" w:cs="Times New Roman" w:eastAsia="Times New Roman" w:hAnsi="Times New Roman"/>
          <w:sz w:val="18"/>
          <w:szCs w:val="18"/>
          <w:color w:val="auto"/>
        </w:rPr>
      </w:pPr>
    </w:p>
    <w:p>
      <w:pPr>
        <w:ind w:left="800" w:hanging="225"/>
        <w:spacing w:after="0" w:line="258" w:lineRule="auto"/>
        <w:tabs>
          <w:tab w:leader="none" w:pos="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41" w:lineRule="exact"/>
        <w:rPr>
          <w:rFonts w:ascii="Times New Roman" w:cs="Times New Roman" w:eastAsia="Times New Roman" w:hAnsi="Times New Roman"/>
          <w:sz w:val="18"/>
          <w:szCs w:val="18"/>
          <w:color w:val="auto"/>
        </w:rPr>
      </w:pPr>
    </w:p>
    <w:p>
      <w:pPr>
        <w:ind w:left="800" w:right="160" w:hanging="225"/>
        <w:spacing w:after="0" w:line="262" w:lineRule="auto"/>
        <w:tabs>
          <w:tab w:leader="none" w:pos="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37" w:lineRule="exact"/>
        <w:rPr>
          <w:rFonts w:ascii="Times New Roman" w:cs="Times New Roman" w:eastAsia="Times New Roman" w:hAnsi="Times New Roman"/>
          <w:sz w:val="18"/>
          <w:szCs w:val="18"/>
          <w:color w:val="auto"/>
        </w:rPr>
      </w:pPr>
    </w:p>
    <w:p>
      <w:pPr>
        <w:ind w:left="800" w:right="500" w:hanging="225"/>
        <w:spacing w:after="0" w:line="275" w:lineRule="auto"/>
        <w:tabs>
          <w:tab w:leader="none" w:pos="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termination, winding up of affairs and liquidation (which requires the affirmative vote of two-thirds of all the votes entitled to be cast on the matter); and</w:t>
      </w:r>
    </w:p>
    <w:p>
      <w:pPr>
        <w:spacing w:after="0" w:line="25" w:lineRule="exact"/>
        <w:rPr>
          <w:rFonts w:ascii="Times New Roman" w:cs="Times New Roman" w:eastAsia="Times New Roman" w:hAnsi="Times New Roman"/>
          <w:sz w:val="18"/>
          <w:szCs w:val="18"/>
          <w:color w:val="auto"/>
        </w:rPr>
      </w:pPr>
    </w:p>
    <w:p>
      <w:pPr>
        <w:ind w:left="800" w:right="120" w:hanging="225"/>
        <w:spacing w:after="0" w:line="275" w:lineRule="auto"/>
        <w:tabs>
          <w:tab w:leader="none" w:pos="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06" w:lineRule="exact"/>
        <w:rPr>
          <w:sz w:val="20"/>
          <w:szCs w:val="20"/>
          <w:color w:val="auto"/>
        </w:rPr>
      </w:pPr>
    </w:p>
    <w:p>
      <w:pPr>
        <w:ind w:right="80" w:firstLine="456"/>
        <w:spacing w:after="0" w:line="310" w:lineRule="auto"/>
        <w:rPr>
          <w:sz w:val="20"/>
          <w:szCs w:val="20"/>
          <w:color w:val="auto"/>
        </w:rPr>
      </w:pPr>
      <w:r>
        <w:rPr>
          <w:rFonts w:ascii="Times New Roman" w:cs="Times New Roman" w:eastAsia="Times New Roman" w:hAnsi="Times New Roman"/>
          <w:sz w:val="16"/>
          <w:szCs w:val="16"/>
          <w:color w:val="auto"/>
        </w:rPr>
        <w:t>Our declaration of trust permits the trustees to revoke our election to be taxed as a real estate investment trust, or REIT, or to determine that compliance with any restriction or limitations on ownership and transfers of shares set forth in the declaration of trust is no longer required in order for us to qualify as a REIT. Our declaration of trust also permits the trustees to amend the declaration of trust from time to time, without approval by you or the other shareholders, to:</w:t>
      </w:r>
    </w:p>
    <w:p>
      <w:pPr>
        <w:spacing w:after="0" w:line="3" w:lineRule="exact"/>
        <w:rPr>
          <w:sz w:val="20"/>
          <w:szCs w:val="20"/>
          <w:color w:val="auto"/>
        </w:rPr>
      </w:pPr>
    </w:p>
    <w:p>
      <w:pPr>
        <w:ind w:left="800" w:hanging="225"/>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as a real estate investment trust under Maryland law or the Internal Revenue Code; or</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or decrease the authorized aggregate number of shares and number of authorized shares of any class or series.</w:t>
      </w:r>
    </w:p>
    <w:p>
      <w:pPr>
        <w:spacing w:after="0" w:line="185" w:lineRule="exact"/>
        <w:rPr>
          <w:sz w:val="20"/>
          <w:szCs w:val="20"/>
          <w:color w:val="auto"/>
        </w:rPr>
      </w:pPr>
    </w:p>
    <w:p>
      <w:pPr>
        <w:ind w:right="140" w:firstLine="571"/>
        <w:spacing w:after="0" w:line="275" w:lineRule="auto"/>
        <w:rPr>
          <w:sz w:val="20"/>
          <w:szCs w:val="20"/>
          <w:color w:val="auto"/>
        </w:rPr>
      </w:pPr>
      <w:r>
        <w:rPr>
          <w:rFonts w:ascii="Times New Roman" w:cs="Times New Roman" w:eastAsia="Times New Roman" w:hAnsi="Times New Roman"/>
          <w:sz w:val="18"/>
          <w:szCs w:val="18"/>
          <w:color w:val="auto"/>
        </w:rPr>
        <w:t>In addition, any provision of our bylaws may be adopted, altered or repealed by the shareholders, at any meeting of shareholders called for that purpose, by the affirmative vote of holders of not less than a majority of the shares then outstanding and entitled to vote.</w:t>
      </w:r>
    </w:p>
    <w:p>
      <w:pPr>
        <w:spacing w:after="0" w:line="102" w:lineRule="exact"/>
        <w:rPr>
          <w:sz w:val="20"/>
          <w:szCs w:val="20"/>
          <w:color w:val="auto"/>
        </w:rPr>
      </w:pPr>
    </w:p>
    <w:p>
      <w:pPr>
        <w:ind w:right="80" w:firstLine="57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Preemptive Rights. </w:t>
      </w:r>
      <w:r>
        <w:rPr>
          <w:rFonts w:ascii="Times New Roman" w:cs="Times New Roman" w:eastAsia="Times New Roman" w:hAnsi="Times New Roman"/>
          <w:sz w:val="18"/>
          <w:szCs w:val="18"/>
          <w:color w:val="auto"/>
        </w:rPr>
        <w:t>Under the declaration of trust, no holder of shares of beneficial interest has any preemptive rights to subscribe to any issuance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580"/>
        <w:spacing w:after="0"/>
        <w:tabs>
          <w:tab w:leader="none" w:pos="2500" w:val="left"/>
        </w:tabs>
        <w:rPr>
          <w:sz w:val="20"/>
          <w:szCs w:val="20"/>
          <w:color w:val="auto"/>
        </w:rPr>
      </w:pPr>
      <w:r>
        <w:rPr>
          <w:rFonts w:ascii="Times New Roman" w:cs="Times New Roman" w:eastAsia="Times New Roman" w:hAnsi="Times New Roman"/>
          <w:sz w:val="18"/>
          <w:szCs w:val="18"/>
          <w:b w:val="1"/>
          <w:bCs w:val="1"/>
          <w:i w:val="1"/>
          <w:iCs w:val="1"/>
          <w:color w:val="auto"/>
        </w:rPr>
        <w:t>Stock Exchange Listing.</w:t>
      </w:r>
      <w:r>
        <w:rPr>
          <w:sz w:val="20"/>
          <w:szCs w:val="20"/>
          <w:color w:val="auto"/>
        </w:rPr>
        <w:tab/>
      </w:r>
      <w:r>
        <w:rPr>
          <w:rFonts w:ascii="Times New Roman" w:cs="Times New Roman" w:eastAsia="Times New Roman" w:hAnsi="Times New Roman"/>
          <w:sz w:val="16"/>
          <w:szCs w:val="16"/>
          <w:color w:val="auto"/>
        </w:rPr>
        <w:t>The common shares are traded on the New York Stock Exchange under the trading symbol “FRT.”</w:t>
      </w:r>
    </w:p>
    <w:p>
      <w:pPr>
        <w:spacing w:after="0" w:line="158" w:lineRule="exact"/>
        <w:rPr>
          <w:sz w:val="20"/>
          <w:szCs w:val="20"/>
          <w:color w:val="auto"/>
        </w:rPr>
      </w:pPr>
    </w:p>
    <w:p>
      <w:pPr>
        <w:ind w:left="580"/>
        <w:spacing w:after="0"/>
        <w:tabs>
          <w:tab w:leader="none" w:pos="2900" w:val="left"/>
        </w:tabs>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r>
        <w:rPr>
          <w:sz w:val="20"/>
          <w:szCs w:val="20"/>
          <w:color w:val="auto"/>
        </w:rPr>
        <w:tab/>
      </w:r>
      <w:r>
        <w:rPr>
          <w:rFonts w:ascii="Times New Roman" w:cs="Times New Roman" w:eastAsia="Times New Roman" w:hAnsi="Times New Roman"/>
          <w:sz w:val="16"/>
          <w:szCs w:val="16"/>
          <w:color w:val="auto"/>
        </w:rPr>
        <w:t>The transfer agent and registrar for the common shares is American Stock Transfer &amp; Trust Company, New York, New</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75" w:lineRule="exact"/>
        <w:rPr>
          <w:sz w:val="20"/>
          <w:szCs w:val="20"/>
          <w:color w:val="auto"/>
        </w:rPr>
      </w:pPr>
    </w:p>
    <w:p>
      <w:pPr>
        <w:ind w:firstLine="57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Preferred shares may be offered and sold from time to time, in one or more series, as authorized by the Board of Trustees.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20" w:lineRule="exact"/>
        <w:rPr>
          <w:sz w:val="20"/>
          <w:szCs w:val="20"/>
          <w:color w:val="auto"/>
        </w:rPr>
      </w:pPr>
    </w:p>
    <w:p>
      <w:pPr>
        <w:ind w:left="460"/>
        <w:spacing w:after="0"/>
        <w:tabs>
          <w:tab w:leader="none" w:pos="1100" w:val="left"/>
        </w:tabs>
        <w:rPr>
          <w:sz w:val="20"/>
          <w:szCs w:val="20"/>
          <w:color w:val="auto"/>
        </w:rPr>
      </w:pPr>
      <w:r>
        <w:rPr>
          <w:rFonts w:ascii="Times New Roman" w:cs="Times New Roman" w:eastAsia="Times New Roman" w:hAnsi="Times New Roman"/>
          <w:sz w:val="18"/>
          <w:szCs w:val="18"/>
          <w:b w:val="1"/>
          <w:bCs w:val="1"/>
          <w:i w:val="1"/>
          <w:iCs w:val="1"/>
          <w:color w:val="auto"/>
        </w:rPr>
        <w:t>Terms.</w:t>
      </w:r>
      <w:r>
        <w:rPr>
          <w:sz w:val="20"/>
          <w:szCs w:val="20"/>
          <w:color w:val="auto"/>
        </w:rPr>
        <w:tab/>
      </w:r>
      <w:r>
        <w:rPr>
          <w:rFonts w:ascii="Times New Roman" w:cs="Times New Roman" w:eastAsia="Times New Roman" w:hAnsi="Times New Roman"/>
          <w:sz w:val="16"/>
          <w:szCs w:val="16"/>
          <w:color w:val="auto"/>
        </w:rPr>
        <w:t>You should refer to the prospectus supplement relating to the offering of any preferred shares for specific terms, including the following terms:</w:t>
      </w:r>
    </w:p>
    <w:p>
      <w:pPr>
        <w:spacing w:after="0" w:line="81" w:lineRule="exact"/>
        <w:rPr>
          <w:sz w:val="20"/>
          <w:szCs w:val="20"/>
          <w:color w:val="auto"/>
        </w:rPr>
      </w:pPr>
    </w:p>
    <w:p>
      <w:pPr>
        <w:ind w:left="800" w:hanging="225"/>
        <w:spacing w:after="0"/>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those preferred shares;</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preferred shares offered and the offering price of those preferred shares;</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dividend rate(s), period(s), amounts and/or payment date(s) or method(s) of calculation of any of those terms that apply to those preferred shares;</w:t>
      </w:r>
    </w:p>
    <w:p>
      <w:pPr>
        <w:spacing w:after="0" w:line="126" w:lineRule="exact"/>
        <w:rPr>
          <w:rFonts w:ascii="Times New Roman" w:cs="Times New Roman" w:eastAsia="Times New Roman" w:hAnsi="Times New Roman"/>
          <w:sz w:val="16"/>
          <w:szCs w:val="16"/>
          <w:color w:val="auto"/>
        </w:rPr>
      </w:pPr>
    </w:p>
    <w:p>
      <w:pPr>
        <w:ind w:left="800" w:hanging="225"/>
        <w:spacing w:after="0"/>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from which dividends on those preferred shares will accumulate, if applicable;</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 of a sinking fund, if any, for the purchase or redemption of those preferred shares;</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including conditions, time(s) and the redemption price(s), if applicable, of those preferred shares;</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those preferred shares;</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those preferred shares on any securities exchange;</w:t>
      </w:r>
    </w:p>
    <w:p>
      <w:pPr>
        <w:spacing w:after="0" w:line="103" w:lineRule="exact"/>
        <w:rPr>
          <w:rFonts w:ascii="Times New Roman" w:cs="Times New Roman" w:eastAsia="Times New Roman" w:hAnsi="Times New Roman"/>
          <w:sz w:val="18"/>
          <w:szCs w:val="18"/>
          <w:color w:val="auto"/>
        </w:rPr>
      </w:pPr>
    </w:p>
    <w:p>
      <w:pPr>
        <w:ind w:left="800" w:right="440" w:hanging="225"/>
        <w:spacing w:after="0" w:line="275" w:lineRule="auto"/>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25" w:lineRule="exact"/>
        <w:rPr>
          <w:rFonts w:ascii="Times New Roman" w:cs="Times New Roman" w:eastAsia="Times New Roman" w:hAnsi="Times New Roman"/>
          <w:sz w:val="18"/>
          <w:szCs w:val="18"/>
          <w:color w:val="auto"/>
        </w:rPr>
      </w:pPr>
    </w:p>
    <w:p>
      <w:pPr>
        <w:ind w:left="800" w:right="300" w:hanging="225"/>
        <w:spacing w:after="0" w:line="275" w:lineRule="auto"/>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 of those preferred shares as to dividend rights and rights upon liquidation, dissolution or the winding up of our affairs;</w:t>
      </w:r>
    </w:p>
    <w:p>
      <w:pPr>
        <w:spacing w:after="0" w:line="25" w:lineRule="exact"/>
        <w:rPr>
          <w:rFonts w:ascii="Times New Roman" w:cs="Times New Roman" w:eastAsia="Times New Roman" w:hAnsi="Times New Roman"/>
          <w:sz w:val="18"/>
          <w:szCs w:val="18"/>
          <w:color w:val="auto"/>
        </w:rPr>
      </w:pPr>
    </w:p>
    <w:p>
      <w:pPr>
        <w:ind w:left="800" w:right="200" w:hanging="225"/>
        <w:spacing w:after="0" w:line="275" w:lineRule="auto"/>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 for those preferred shares;</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those preferred shares;</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federal income tax consequences applicable to those preferred shares; and</w:t>
      </w:r>
    </w:p>
    <w:p>
      <w:pPr>
        <w:spacing w:after="0" w:line="103" w:lineRule="exact"/>
        <w:rPr>
          <w:rFonts w:ascii="Times New Roman" w:cs="Times New Roman" w:eastAsia="Times New Roman" w:hAnsi="Times New Roman"/>
          <w:sz w:val="18"/>
          <w:szCs w:val="18"/>
          <w:color w:val="auto"/>
        </w:rPr>
      </w:pPr>
    </w:p>
    <w:p>
      <w:pPr>
        <w:ind w:left="800" w:right="420" w:hanging="225"/>
        <w:spacing w:after="0" w:line="275" w:lineRule="auto"/>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direct or beneficial ownership and restrictions on transfer in addition to those described in “— Restrictions on Ownership and Transfer,” in each case as may be appropriate to preserve our status as a real estate investment trust.</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40"/>
          </w:cols>
          <w:pgMar w:left="240" w:top="455" w:right="31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firstLine="571"/>
        <w:spacing w:after="0" w:line="258" w:lineRule="auto"/>
        <w:rPr>
          <w:sz w:val="20"/>
          <w:szCs w:val="20"/>
          <w:color w:val="auto"/>
        </w:rPr>
      </w:pPr>
      <w:r>
        <w:rPr>
          <w:rFonts w:ascii="Times New Roman" w:cs="Times New Roman" w:eastAsia="Times New Roman" w:hAnsi="Times New Roman"/>
          <w:sz w:val="18"/>
          <w:szCs w:val="18"/>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19" w:lineRule="exact"/>
        <w:rPr>
          <w:sz w:val="20"/>
          <w:szCs w:val="20"/>
          <w:color w:val="auto"/>
        </w:rPr>
      </w:pPr>
    </w:p>
    <w:p>
      <w:pPr>
        <w:ind w:right="240" w:firstLine="57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Rank. </w:t>
      </w:r>
      <w:r>
        <w:rPr>
          <w:rFonts w:ascii="Times New Roman" w:cs="Times New Roman" w:eastAsia="Times New Roman" w:hAnsi="Times New Roman"/>
          <w:sz w:val="18"/>
          <w:szCs w:val="18"/>
          <w:color w:val="auto"/>
        </w:rPr>
        <w:t>Unless we say otherwise in a prospectus supplement, the preferred shares offered through that supplement will, with respect to dividend rights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rights upon our liquidation, dissolution or winding up, rank:</w:t>
      </w:r>
    </w:p>
    <w:p>
      <w:pPr>
        <w:spacing w:after="0" w:line="21" w:lineRule="exact"/>
        <w:rPr>
          <w:sz w:val="20"/>
          <w:szCs w:val="20"/>
          <w:color w:val="auto"/>
        </w:rPr>
      </w:pPr>
    </w:p>
    <w:p>
      <w:pPr>
        <w:ind w:left="800" w:hanging="225"/>
        <w:spacing w:after="0"/>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all classes or series of our common shares, and to all other equity securities ranking junior to those preferred shares;</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of our equity securities ranking on a parity with the preferred shares; and</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of our equity securities ranking senior to the preferred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“equity securities” does not include convertible debt securities.</w:t>
      </w:r>
    </w:p>
    <w:p>
      <w:pPr>
        <w:spacing w:after="0" w:line="154" w:lineRule="exact"/>
        <w:rPr>
          <w:sz w:val="20"/>
          <w:szCs w:val="20"/>
          <w:color w:val="auto"/>
        </w:rPr>
      </w:pPr>
    </w:p>
    <w:p>
      <w:pPr>
        <w:jc w:val="both"/>
        <w:ind w:right="320" w:firstLine="57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Subject to any preferential rights of any outstanding shares or series of shares and to the provisions of our declaration of trust regarding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11" w:lineRule="exact"/>
        <w:rPr>
          <w:sz w:val="20"/>
          <w:szCs w:val="20"/>
          <w:color w:val="auto"/>
        </w:rPr>
      </w:pPr>
    </w:p>
    <w:p>
      <w:pPr>
        <w:ind w:right="240" w:firstLine="57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w:t>
      </w:r>
      <w:r>
        <w:rPr>
          <w:rFonts w:ascii="Times New Roman" w:cs="Times New Roman" w:eastAsia="Times New Roman" w:hAnsi="Times New Roman"/>
          <w:sz w:val="18"/>
          <w:szCs w:val="18"/>
          <w:color w:val="auto"/>
        </w:rPr>
        <w:t>If we provide for a redemption right in a prospectus supplement, the preferred shares offered through that supplement will be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mandatory redemption or redemption at our option, in whole or in part, in each case upon the terms, at the times and at the redemption prices set forth in that supplement.</w:t>
      </w:r>
    </w:p>
    <w:p>
      <w:pPr>
        <w:spacing w:after="0" w:line="111" w:lineRule="exact"/>
        <w:rPr>
          <w:sz w:val="20"/>
          <w:szCs w:val="20"/>
          <w:color w:val="auto"/>
        </w:rPr>
      </w:pPr>
    </w:p>
    <w:p>
      <w:pPr>
        <w:ind w:right="20" w:firstLine="57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As to any liquidation preference applicable to preferred shares offered through this prospectus, the applicable supplement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stockholders,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25" w:lineRule="exact"/>
        <w:rPr>
          <w:sz w:val="20"/>
          <w:szCs w:val="20"/>
          <w:color w:val="auto"/>
        </w:rPr>
      </w:pPr>
    </w:p>
    <w:p>
      <w:pPr>
        <w:ind w:firstLine="571"/>
        <w:spacing w:after="0" w:line="310" w:lineRule="auto"/>
        <w:rPr>
          <w:sz w:val="20"/>
          <w:szCs w:val="20"/>
          <w:color w:val="auto"/>
        </w:rPr>
      </w:pPr>
      <w:r>
        <w:rPr>
          <w:rFonts w:ascii="Times New Roman" w:cs="Times New Roman" w:eastAsia="Times New Roman" w:hAnsi="Times New Roman"/>
          <w:sz w:val="16"/>
          <w:szCs w:val="16"/>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57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Unless otherwise indicated in the applicable supplement, holders of preferred shares we issue in the future will not have any voting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except as may be required by applicable law or any applicable rules and regulations of the New York Stock Exchange.</w:t>
      </w:r>
    </w:p>
    <w:p>
      <w:pPr>
        <w:spacing w:after="0" w:line="102" w:lineRule="exact"/>
        <w:rPr>
          <w:sz w:val="20"/>
          <w:szCs w:val="20"/>
          <w:color w:val="auto"/>
        </w:rPr>
      </w:pPr>
    </w:p>
    <w:p>
      <w:pPr>
        <w:jc w:val="both"/>
        <w:ind w:right="340" w:firstLine="571"/>
        <w:spacing w:after="0" w:line="287" w:lineRule="auto"/>
        <w:rPr>
          <w:sz w:val="20"/>
          <w:szCs w:val="20"/>
          <w:color w:val="auto"/>
        </w:rPr>
      </w:pPr>
      <w:r>
        <w:rPr>
          <w:rFonts w:ascii="Times New Roman" w:cs="Times New Roman" w:eastAsia="Times New Roman" w:hAnsi="Times New Roman"/>
          <w:sz w:val="16"/>
          <w:szCs w:val="16"/>
          <w:color w:val="auto"/>
        </w:rPr>
        <w:t>Our Declaration of Trust provides that the holders of Series B preferred shares, together with the holders of any series or class of shares ranking on a parity with the Series B preferred shares, voting as a single class regardless of series, will be entitled to elect two additional trustees to serve on the Board of Trustees when six consecutive quarterly dividends payable to the holders of Series B preferred shares or any series or class of parity shares are in arrears.</w:t>
      </w:r>
    </w:p>
    <w:p>
      <w:pPr>
        <w:spacing w:after="0" w:line="1"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Whenever all dividends in arrears on the Series B preferred shares and any series or class of parity shares have been paid or set aside for payment, then these special voting rights immediately cease (subject to reinstatement under similar circumstances in the future), and the term of office of the trustees so elected automatically expires.</w:t>
      </w:r>
    </w:p>
    <w:p>
      <w:pPr>
        <w:spacing w:after="0" w:line="125" w:lineRule="exact"/>
        <w:rPr>
          <w:sz w:val="20"/>
          <w:szCs w:val="20"/>
          <w:color w:val="auto"/>
        </w:rPr>
      </w:pPr>
    </w:p>
    <w:p>
      <w:pPr>
        <w:ind w:right="100" w:firstLine="571"/>
        <w:spacing w:after="0" w:line="275" w:lineRule="auto"/>
        <w:rPr>
          <w:sz w:val="20"/>
          <w:szCs w:val="20"/>
          <w:color w:val="auto"/>
        </w:rPr>
      </w:pPr>
      <w:r>
        <w:rPr>
          <w:rFonts w:ascii="Times New Roman" w:cs="Times New Roman" w:eastAsia="Times New Roman" w:hAnsi="Times New Roman"/>
          <w:sz w:val="18"/>
          <w:szCs w:val="18"/>
          <w:color w:val="auto"/>
        </w:rPr>
        <w:t>In addition, the holders of the Series B preferred shares have such voting rights as are required by applicable law or any applicable rules and regulations of the New York Stock Exchange.</w:t>
      </w:r>
    </w:p>
    <w:p>
      <w:pPr>
        <w:spacing w:after="0" w:line="102" w:lineRule="exact"/>
        <w:rPr>
          <w:sz w:val="20"/>
          <w:szCs w:val="20"/>
          <w:color w:val="auto"/>
        </w:rPr>
      </w:pPr>
    </w:p>
    <w:p>
      <w:pPr>
        <w:ind w:right="160" w:firstLine="57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Rights. </w:t>
      </w:r>
      <w:r>
        <w:rPr>
          <w:rFonts w:ascii="Times New Roman" w:cs="Times New Roman" w:eastAsia="Times New Roman" w:hAnsi="Times New Roman"/>
          <w:sz w:val="18"/>
          <w:szCs w:val="18"/>
          <w:color w:val="auto"/>
        </w:rPr>
        <w:t>The terms and conditions, if any, upon which any series of preferred shares is convertible into common shares will be set forth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prospectus supplement relating to the offering of those preferred shares. These terms typically will include:</w:t>
      </w:r>
    </w:p>
    <w:p>
      <w:pPr>
        <w:spacing w:after="0" w:line="21" w:lineRule="exact"/>
        <w:rPr>
          <w:sz w:val="20"/>
          <w:szCs w:val="20"/>
          <w:color w:val="auto"/>
        </w:rPr>
      </w:pPr>
    </w:p>
    <w:p>
      <w:pPr>
        <w:ind w:left="800" w:hanging="225"/>
        <w:spacing w:after="0"/>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into which the preferred shares are convertible;</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or rate (or manner of calculation thereof);</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period;</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as to whether conversion will be at the option of the holders of the preferred shares or at our option;</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requiring an adjustment of the conversion price; and</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affecting conversion in the event of the redemption of that series of preferred shares.</w:t>
      </w:r>
    </w:p>
    <w:p>
      <w:pPr>
        <w:spacing w:after="0" w:line="181" w:lineRule="exact"/>
        <w:rPr>
          <w:sz w:val="20"/>
          <w:szCs w:val="20"/>
          <w:color w:val="auto"/>
        </w:rPr>
      </w:pPr>
    </w:p>
    <w:p>
      <w:pPr>
        <w:ind w:right="220" w:firstLine="57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the Series B preferred shares is American Stock Transfer &amp; Trust Company,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York, New York. We will identify the transfer agent and registrar for any additional series of preferred shares issued through this prospectus in a prospectus supplement.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75" w:lineRule="exact"/>
        <w:rPr>
          <w:sz w:val="20"/>
          <w:szCs w:val="20"/>
          <w:color w:val="auto"/>
        </w:rPr>
      </w:pPr>
    </w:p>
    <w:p>
      <w:pPr>
        <w:ind w:firstLine="57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We may issue receipts for depositary shares, each of which will represent a fractional interest of a share of a particular series of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25" w:lineRule="exact"/>
        <w:rPr>
          <w:sz w:val="20"/>
          <w:szCs w:val="20"/>
          <w:color w:val="auto"/>
        </w:rPr>
      </w:pPr>
    </w:p>
    <w:p>
      <w:pPr>
        <w:jc w:val="both"/>
        <w:ind w:right="20" w:firstLine="571"/>
        <w:spacing w:after="0" w:line="262" w:lineRule="auto"/>
        <w:rPr>
          <w:sz w:val="20"/>
          <w:szCs w:val="20"/>
          <w:color w:val="auto"/>
        </w:rPr>
      </w:pPr>
      <w:r>
        <w:rPr>
          <w:rFonts w:ascii="Times New Roman" w:cs="Times New Roman" w:eastAsia="Times New Roman" w:hAnsi="Times New Roman"/>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60"/>
          </w:cols>
          <w:pgMar w:left="240" w:top="455" w:right="29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57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Other Provisions. </w:t>
      </w:r>
      <w:r>
        <w:rPr>
          <w:rFonts w:ascii="Times New Roman" w:cs="Times New Roman" w:eastAsia="Times New Roman" w:hAnsi="Times New Roman"/>
          <w:sz w:val="18"/>
          <w:szCs w:val="18"/>
          <w:color w:val="auto"/>
        </w:rPr>
        <w:t>If you are a “record holder” (as defined below) of depositary receipts and we pay a cash dividend or other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20" w:lineRule="exact"/>
        <w:rPr>
          <w:sz w:val="20"/>
          <w:szCs w:val="20"/>
          <w:color w:val="auto"/>
        </w:rPr>
      </w:pPr>
    </w:p>
    <w:p>
      <w:pPr>
        <w:ind w:right="40" w:firstLine="571"/>
        <w:spacing w:after="0" w:line="258" w:lineRule="auto"/>
        <w:rPr>
          <w:sz w:val="20"/>
          <w:szCs w:val="20"/>
          <w:color w:val="auto"/>
        </w:rPr>
      </w:pPr>
      <w:r>
        <w:rPr>
          <w:rFonts w:ascii="Times New Roman" w:cs="Times New Roman" w:eastAsia="Times New Roman" w:hAnsi="Times New Roman"/>
          <w:sz w:val="18"/>
          <w:szCs w:val="18"/>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23" w:lineRule="exact"/>
        <w:rPr>
          <w:sz w:val="20"/>
          <w:szCs w:val="20"/>
          <w:color w:val="auto"/>
        </w:rPr>
      </w:pPr>
    </w:p>
    <w:p>
      <w:pPr>
        <w:ind w:right="680" w:firstLine="571"/>
        <w:spacing w:after="0" w:line="275" w:lineRule="auto"/>
        <w:rPr>
          <w:sz w:val="20"/>
          <w:szCs w:val="20"/>
          <w:color w:val="auto"/>
        </w:rPr>
      </w:pPr>
      <w:r>
        <w:rPr>
          <w:rFonts w:ascii="Times New Roman" w:cs="Times New Roman" w:eastAsia="Times New Roman" w:hAnsi="Times New Roman"/>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02" w:lineRule="exact"/>
        <w:rPr>
          <w:sz w:val="20"/>
          <w:szCs w:val="20"/>
          <w:color w:val="auto"/>
        </w:rPr>
      </w:pPr>
    </w:p>
    <w:p>
      <w:pPr>
        <w:ind w:right="60" w:firstLine="57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Withdrawal of Preferred Shares. </w:t>
      </w:r>
      <w:r>
        <w:rPr>
          <w:rFonts w:ascii="Times New Roman" w:cs="Times New Roman" w:eastAsia="Times New Roman" w:hAnsi="Times New Roman"/>
          <w:sz w:val="18"/>
          <w:szCs w:val="18"/>
          <w:color w:val="auto"/>
        </w:rPr>
        <w:t>If you surrender your depositary receipts, the depositary will be required to deliver certificates to you evidencing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16" w:lineRule="exact"/>
        <w:rPr>
          <w:sz w:val="20"/>
          <w:szCs w:val="20"/>
          <w:color w:val="auto"/>
        </w:rPr>
      </w:pPr>
    </w:p>
    <w:p>
      <w:pPr>
        <w:ind w:right="120" w:firstLine="57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Depositary Shares. </w:t>
      </w:r>
      <w:r>
        <w:rPr>
          <w:rFonts w:ascii="Times New Roman" w:cs="Times New Roman" w:eastAsia="Times New Roman" w:hAnsi="Times New Roman"/>
          <w:sz w:val="18"/>
          <w:szCs w:val="18"/>
          <w:color w:val="auto"/>
        </w:rPr>
        <w:t>If we redeem a series of preferred shares represented by depositary receipts, the depositary will redeem depositary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22" w:lineRule="exact"/>
        <w:rPr>
          <w:sz w:val="20"/>
          <w:szCs w:val="20"/>
          <w:color w:val="auto"/>
        </w:rPr>
      </w:pPr>
    </w:p>
    <w:p>
      <w:pPr>
        <w:ind w:firstLine="571"/>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 xml:space="preserve">Voting the Preferred Shares. </w:t>
      </w:r>
      <w:r>
        <w:rPr>
          <w:rFonts w:ascii="Times New Roman" w:cs="Times New Roman" w:eastAsia="Times New Roman" w:hAnsi="Times New Roman"/>
          <w:sz w:val="16"/>
          <w:szCs w:val="16"/>
          <w:color w:val="auto"/>
        </w:rPr>
        <w:t>When the depositary receives notice of any meeting at which the holders of preferred shares are entitled to vote,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93" w:lineRule="exact"/>
        <w:rPr>
          <w:sz w:val="20"/>
          <w:szCs w:val="20"/>
          <w:color w:val="auto"/>
        </w:rPr>
      </w:pPr>
    </w:p>
    <w:p>
      <w:pPr>
        <w:ind w:right="160" w:firstLine="57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our liquidation, dissolution or winding up, whether voluntary or involuntary, you will be entitled, as a record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of depositary shares, to the fraction of the liquidation preference accorded each applicable preferred share, as has been set forth in a prospectus supplement.</w:t>
      </w:r>
    </w:p>
    <w:p>
      <w:pPr>
        <w:spacing w:after="0" w:line="111" w:lineRule="exact"/>
        <w:rPr>
          <w:sz w:val="20"/>
          <w:szCs w:val="20"/>
          <w:color w:val="auto"/>
        </w:rPr>
      </w:pPr>
    </w:p>
    <w:p>
      <w:pPr>
        <w:ind w:right="40" w:firstLine="57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of Preferred Shares. </w:t>
      </w:r>
      <w:r>
        <w:rPr>
          <w:rFonts w:ascii="Times New Roman" w:cs="Times New Roman" w:eastAsia="Times New Roman" w:hAnsi="Times New Roman"/>
          <w:sz w:val="18"/>
          <w:szCs w:val="18"/>
          <w:color w:val="auto"/>
        </w:rPr>
        <w:t>Our depositary shares, as such, are not convertible into common shares or any of our other securities or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455" w:right="2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6"/>
          <w:szCs w:val="16"/>
          <w:color w:val="auto"/>
        </w:rPr>
        <w:t>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86" w:lineRule="exact"/>
        <w:rPr>
          <w:sz w:val="20"/>
          <w:szCs w:val="20"/>
          <w:color w:val="auto"/>
        </w:rPr>
      </w:pPr>
    </w:p>
    <w:p>
      <w:pPr>
        <w:ind w:right="180" w:firstLine="571"/>
        <w:spacing w:after="0" w:line="312" w:lineRule="auto"/>
        <w:rPr>
          <w:sz w:val="20"/>
          <w:szCs w:val="20"/>
          <w:color w:val="auto"/>
        </w:rPr>
      </w:pPr>
      <w:r>
        <w:rPr>
          <w:rFonts w:ascii="Times New Roman" w:cs="Times New Roman" w:eastAsia="Times New Roman" w:hAnsi="Times New Roman"/>
          <w:sz w:val="16"/>
          <w:szCs w:val="16"/>
          <w:b w:val="1"/>
          <w:bCs w:val="1"/>
          <w:i w:val="1"/>
          <w:iCs w:val="1"/>
          <w:color w:val="auto"/>
        </w:rPr>
        <w:t xml:space="preserve">Amendment and Termination of the Deposit Agreement. </w:t>
      </w:r>
      <w:r>
        <w:rPr>
          <w:rFonts w:ascii="Times New Roman" w:cs="Times New Roman" w:eastAsia="Times New Roman" w:hAnsi="Times New Roman"/>
          <w:sz w:val="16"/>
          <w:szCs w:val="16"/>
          <w:color w:val="auto"/>
        </w:rPr>
        <w:t>We and the depositary may amend the form of depositary receipt and any provision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2" w:lineRule="exact"/>
        <w:rPr>
          <w:sz w:val="20"/>
          <w:szCs w:val="20"/>
          <w:color w:val="auto"/>
        </w:rPr>
      </w:pPr>
    </w:p>
    <w:p>
      <w:pPr>
        <w:ind w:left="800" w:hanging="225"/>
        <w:spacing w:after="0"/>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redeem all outstanding depositary shares;</w:t>
      </w:r>
    </w:p>
    <w:p>
      <w:pPr>
        <w:spacing w:after="0" w:line="103" w:lineRule="exact"/>
        <w:rPr>
          <w:rFonts w:ascii="Times New Roman" w:cs="Times New Roman" w:eastAsia="Times New Roman" w:hAnsi="Times New Roman"/>
          <w:sz w:val="18"/>
          <w:szCs w:val="18"/>
          <w:color w:val="auto"/>
        </w:rPr>
      </w:pPr>
    </w:p>
    <w:p>
      <w:pPr>
        <w:ind w:left="800" w:right="220" w:hanging="225"/>
        <w:spacing w:after="0" w:line="275" w:lineRule="auto"/>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25" w:lineRule="exact"/>
        <w:rPr>
          <w:rFonts w:ascii="Times New Roman" w:cs="Times New Roman" w:eastAsia="Times New Roman" w:hAnsi="Times New Roman"/>
          <w:sz w:val="18"/>
          <w:szCs w:val="18"/>
          <w:color w:val="auto"/>
        </w:rPr>
      </w:pPr>
    </w:p>
    <w:p>
      <w:pPr>
        <w:ind w:left="800" w:right="20" w:hanging="225"/>
        <w:spacing w:after="0" w:line="275" w:lineRule="auto"/>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preferred share to which the depositary shares and agreement relate shall have been converted into shares of beneficial interest not represented by depositary shares.</w:t>
      </w:r>
    </w:p>
    <w:p>
      <w:pPr>
        <w:spacing w:after="0" w:line="102" w:lineRule="exact"/>
        <w:rPr>
          <w:sz w:val="20"/>
          <w:szCs w:val="20"/>
          <w:color w:val="auto"/>
        </w:rPr>
      </w:pPr>
    </w:p>
    <w:p>
      <w:pPr>
        <w:ind w:right="20" w:firstLine="57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Resignation and Removal of Depositary. </w:t>
      </w:r>
      <w:r>
        <w:rPr>
          <w:rFonts w:ascii="Times New Roman" w:cs="Times New Roman" w:eastAsia="Times New Roman" w:hAnsi="Times New Roman"/>
          <w:sz w:val="18"/>
          <w:szCs w:val="18"/>
          <w:color w:val="auto"/>
        </w:rPr>
        <w:t>The depositary may resign at any time by delivering a notice to us of its election to do so. Additionally,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16" w:lineRule="exact"/>
        <w:rPr>
          <w:sz w:val="20"/>
          <w:szCs w:val="20"/>
          <w:color w:val="auto"/>
        </w:rPr>
      </w:pPr>
    </w:p>
    <w:p>
      <w:pPr>
        <w:ind w:right="520" w:firstLine="57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Charges of Depositary. </w:t>
      </w:r>
      <w:r>
        <w:rPr>
          <w:rFonts w:ascii="Times New Roman" w:cs="Times New Roman" w:eastAsia="Times New Roman" w:hAnsi="Times New Roman"/>
          <w:sz w:val="18"/>
          <w:szCs w:val="18"/>
          <w:color w:val="auto"/>
        </w:rPr>
        <w:t>We will pay all transfer and other taxes and governmental charges arising solely from the existence of the depositary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16" w:lineRule="exact"/>
        <w:rPr>
          <w:sz w:val="20"/>
          <w:szCs w:val="20"/>
          <w:color w:val="auto"/>
        </w:rPr>
      </w:pPr>
    </w:p>
    <w:p>
      <w:pPr>
        <w:ind w:right="180" w:firstLine="57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Miscellaneous. </w:t>
      </w:r>
      <w:r>
        <w:rPr>
          <w:rFonts w:ascii="Times New Roman" w:cs="Times New Roman" w:eastAsia="Times New Roman" w:hAnsi="Times New Roman"/>
          <w:sz w:val="18"/>
          <w:szCs w:val="18"/>
          <w:color w:val="auto"/>
        </w:rPr>
        <w:t>The depositary will forward to you all reports and communications from us that we are required, or otherwise determine, to furnish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holders of the preferred shares.</w:t>
      </w:r>
    </w:p>
    <w:p>
      <w:pPr>
        <w:spacing w:after="0" w:line="102" w:lineRule="exact"/>
        <w:rPr>
          <w:sz w:val="20"/>
          <w:szCs w:val="20"/>
          <w:color w:val="auto"/>
        </w:rPr>
      </w:pPr>
    </w:p>
    <w:p>
      <w:pPr>
        <w:ind w:firstLine="571"/>
        <w:spacing w:after="0" w:line="301" w:lineRule="auto"/>
        <w:rPr>
          <w:sz w:val="20"/>
          <w:szCs w:val="20"/>
          <w:color w:val="auto"/>
        </w:rPr>
      </w:pPr>
      <w:r>
        <w:rPr>
          <w:rFonts w:ascii="Times New Roman" w:cs="Times New Roman" w:eastAsia="Times New Roman" w:hAnsi="Times New Roman"/>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w:t>
      </w:r>
    </w:p>
    <w:p>
      <w:pPr>
        <w:spacing w:after="0" w:line="79" w:lineRule="exact"/>
        <w:rPr>
          <w:sz w:val="20"/>
          <w:szCs w:val="20"/>
          <w:color w:val="auto"/>
        </w:rPr>
      </w:pPr>
    </w:p>
    <w:p>
      <w:pPr>
        <w:ind w:right="340" w:firstLine="571"/>
        <w:spacing w:after="0" w:line="275" w:lineRule="auto"/>
        <w:rPr>
          <w:sz w:val="20"/>
          <w:szCs w:val="20"/>
          <w:color w:val="auto"/>
        </w:rPr>
      </w:pPr>
      <w:r>
        <w:rPr>
          <w:rFonts w:ascii="Times New Roman" w:cs="Times New Roman" w:eastAsia="Times New Roman" w:hAnsi="Times New Roman"/>
          <w:sz w:val="18"/>
          <w:szCs w:val="18"/>
          <w:color w:val="auto"/>
        </w:rPr>
        <w:t>Restrictions on ownership and transfer of shares are important to ensure that we meet certain conditions under the Internal Revenue Code of 1986, as amended, which we refer to as the Code, to qualify as a REIT. For example, the Code contains the following requirements.</w:t>
      </w:r>
    </w:p>
    <w:p>
      <w:pPr>
        <w:spacing w:after="0" w:line="25" w:lineRule="exact"/>
        <w:rPr>
          <w:sz w:val="20"/>
          <w:szCs w:val="20"/>
          <w:color w:val="auto"/>
        </w:rPr>
      </w:pPr>
    </w:p>
    <w:p>
      <w:pPr>
        <w:ind w:left="800" w:right="160" w:hanging="225"/>
        <w:spacing w:after="0" w:line="339" w:lineRule="auto"/>
        <w:tabs>
          <w:tab w:leader="none" w:pos="8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individuals include certain tax-exempt entities except that qualified domestic pension funds are not generally treated as individuals.</w:t>
      </w:r>
    </w:p>
    <w:p>
      <w:pPr>
        <w:spacing w:after="0" w:line="90" w:lineRule="exact"/>
        <w:rPr>
          <w:sz w:val="20"/>
          <w:szCs w:val="20"/>
          <w:color w:val="auto"/>
        </w:rPr>
      </w:pPr>
    </w:p>
    <w:p>
      <w:pPr>
        <w:ind w:left="800" w:right="100" w:hanging="225"/>
        <w:spacing w:after="0" w:line="275" w:lineRule="auto"/>
        <w:tabs>
          <w:tab w:leader="none" w:pos="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25" w:lineRule="exact"/>
        <w:rPr>
          <w:rFonts w:ascii="Times New Roman" w:cs="Times New Roman" w:eastAsia="Times New Roman" w:hAnsi="Times New Roman"/>
          <w:sz w:val="18"/>
          <w:szCs w:val="18"/>
          <w:color w:val="auto"/>
        </w:rPr>
      </w:pPr>
    </w:p>
    <w:p>
      <w:pPr>
        <w:ind w:left="800" w:right="420" w:hanging="225"/>
        <w:spacing w:after="0" w:line="275" w:lineRule="auto"/>
        <w:tabs>
          <w:tab w:leader="none" w:pos="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REIT’s stock or beneficial interests must be owned by 100 or more persons during at least 335 days of a taxable year of 12 months or during a proportionate part of a shorter taxable year.</w:t>
      </w:r>
    </w:p>
    <w:p>
      <w:pPr>
        <w:spacing w:after="0" w:line="106" w:lineRule="exact"/>
        <w:rPr>
          <w:sz w:val="20"/>
          <w:szCs w:val="20"/>
          <w:color w:val="auto"/>
        </w:rPr>
      </w:pPr>
    </w:p>
    <w:p>
      <w:pPr>
        <w:ind w:right="40" w:firstLine="571"/>
        <w:spacing w:after="0" w:line="258" w:lineRule="auto"/>
        <w:rPr>
          <w:sz w:val="20"/>
          <w:szCs w:val="20"/>
          <w:color w:val="auto"/>
        </w:rPr>
      </w:pPr>
      <w:r>
        <w:rPr>
          <w:rFonts w:ascii="Times New Roman" w:cs="Times New Roman" w:eastAsia="Times New Roman" w:hAnsi="Times New Roman"/>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Any transfer of shares will be null and void, and the intended transferee will acquire no rights in such shares if the transfer:</w:t>
      </w:r>
    </w:p>
    <w:p>
      <w:pPr>
        <w:spacing w:after="0" w:line="77" w:lineRule="exact"/>
        <w:rPr>
          <w:sz w:val="20"/>
          <w:szCs w:val="20"/>
          <w:color w:val="auto"/>
        </w:rPr>
      </w:pPr>
    </w:p>
    <w:p>
      <w:pPr>
        <w:ind w:left="800" w:hanging="225"/>
        <w:spacing w:after="0"/>
        <w:tabs>
          <w:tab w:leader="none" w:pos="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any person owning, directly or indirectly, shares in excess of the ownership limitation;</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the shares being owned by fewer than 100 persons (determined without reference to any rules of attribution);</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our being “closely held” (within the meaning of Section 856(h) of the Code);</w:t>
      </w:r>
    </w:p>
    <w:p>
      <w:pPr>
        <w:spacing w:after="0" w:line="103" w:lineRule="exact"/>
        <w:rPr>
          <w:rFonts w:ascii="Times New Roman" w:cs="Times New Roman" w:eastAsia="Times New Roman" w:hAnsi="Times New Roman"/>
          <w:sz w:val="18"/>
          <w:szCs w:val="18"/>
          <w:color w:val="auto"/>
        </w:rPr>
      </w:pPr>
    </w:p>
    <w:p>
      <w:pPr>
        <w:ind w:left="800" w:right="300" w:hanging="225"/>
        <w:spacing w:after="0" w:line="275" w:lineRule="auto"/>
        <w:tabs>
          <w:tab w:leader="none" w:pos="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causes us to own, directly or constructively, 10% or more of the ownership interests in a tenant of our real property (within the meaning of Section 856(d)(2)(B) of the Code); or</w:t>
      </w:r>
    </w:p>
    <w:p>
      <w:pPr>
        <w:spacing w:after="0" w:line="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results in our failure to qualify as a REIT.</w:t>
      </w:r>
    </w:p>
    <w:p>
      <w:pPr>
        <w:spacing w:after="0" w:line="181" w:lineRule="exact"/>
        <w:rPr>
          <w:sz w:val="20"/>
          <w:szCs w:val="20"/>
          <w:color w:val="auto"/>
        </w:rPr>
      </w:pPr>
    </w:p>
    <w:p>
      <w:pPr>
        <w:ind w:right="60" w:firstLine="57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Automatic Transfer of Shares to Trust</w:t>
      </w:r>
      <w:r>
        <w:rPr>
          <w:rFonts w:ascii="Times New Roman" w:cs="Times New Roman" w:eastAsia="Times New Roman" w:hAnsi="Times New Roman"/>
          <w:sz w:val="18"/>
          <w:szCs w:val="18"/>
          <w:color w:val="auto"/>
        </w:rPr>
        <w:t>. With certain exceptions described below, if any purported transfer of shares would violate any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25"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23" w:lineRule="exact"/>
        <w:rPr>
          <w:sz w:val="20"/>
          <w:szCs w:val="20"/>
          <w:color w:val="auto"/>
        </w:rPr>
      </w:pPr>
    </w:p>
    <w:p>
      <w:pPr>
        <w:ind w:firstLine="571"/>
        <w:spacing w:after="0" w:line="262" w:lineRule="auto"/>
        <w:rPr>
          <w:sz w:val="20"/>
          <w:szCs w:val="20"/>
          <w:color w:val="auto"/>
        </w:rPr>
      </w:pPr>
      <w:r>
        <w:rPr>
          <w:rFonts w:ascii="Times New Roman" w:cs="Times New Roman" w:eastAsia="Times New Roman" w:hAnsi="Times New Roman"/>
          <w:sz w:val="18"/>
          <w:szCs w:val="18"/>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38" w:lineRule="exact"/>
        <w:rPr>
          <w:sz w:val="20"/>
          <w:szCs w:val="20"/>
          <w:color w:val="auto"/>
        </w:rPr>
      </w:pPr>
    </w:p>
    <w:p>
      <w:pPr>
        <w:ind w:left="800" w:hanging="225"/>
        <w:spacing w:after="0"/>
        <w:tabs>
          <w:tab w:leader="none" w:pos="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if any, paid by the record holder for the shares; or</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amount was paid for such shares (e.g., if such shares were received through a gift or devise),</w:t>
      </w:r>
    </w:p>
    <w:p>
      <w:pPr>
        <w:spacing w:after="0" w:line="103"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per share equal to the market price (which is calculated as defined in our declaration of trust) on the date the shares were received, or</w:t>
      </w:r>
    </w:p>
    <w:p>
      <w:pPr>
        <w:spacing w:after="0" w:line="126" w:lineRule="exact"/>
        <w:rPr>
          <w:rFonts w:ascii="Times New Roman" w:cs="Times New Roman" w:eastAsia="Times New Roman" w:hAnsi="Times New Roman"/>
          <w:sz w:val="16"/>
          <w:szCs w:val="16"/>
          <w:color w:val="auto"/>
        </w:rPr>
      </w:pPr>
    </w:p>
    <w:p>
      <w:pPr>
        <w:ind w:left="1260" w:hanging="455"/>
        <w:spacing w:after="0"/>
        <w:tabs>
          <w:tab w:leader="none" w:pos="12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received by the trustee from the sale of such shares-in-trust.</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455" w:right="2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571"/>
        <w:spacing w:after="0" w:line="258" w:lineRule="auto"/>
        <w:rPr>
          <w:sz w:val="20"/>
          <w:szCs w:val="20"/>
          <w:color w:val="auto"/>
        </w:rPr>
      </w:pPr>
      <w:r>
        <w:rPr>
          <w:rFonts w:ascii="Times New Roman" w:cs="Times New Roman" w:eastAsia="Times New Roman" w:hAnsi="Times New Roman"/>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23" w:lineRule="exact"/>
        <w:rPr>
          <w:sz w:val="20"/>
          <w:szCs w:val="20"/>
          <w:color w:val="auto"/>
        </w:rPr>
      </w:pPr>
    </w:p>
    <w:p>
      <w:pPr>
        <w:ind w:right="100" w:firstLine="571"/>
        <w:spacing w:after="0" w:line="262" w:lineRule="auto"/>
        <w:rPr>
          <w:sz w:val="20"/>
          <w:szCs w:val="20"/>
          <w:color w:val="auto"/>
        </w:rPr>
      </w:pPr>
      <w:r>
        <w:rPr>
          <w:rFonts w:ascii="Times New Roman" w:cs="Times New Roman" w:eastAsia="Times New Roman" w:hAnsi="Times New Roman"/>
          <w:sz w:val="18"/>
          <w:szCs w:val="18"/>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19" w:lineRule="exact"/>
        <w:rPr>
          <w:sz w:val="20"/>
          <w:szCs w:val="20"/>
          <w:color w:val="auto"/>
        </w:rPr>
      </w:pPr>
    </w:p>
    <w:p>
      <w:pPr>
        <w:ind w:right="220" w:firstLine="571"/>
        <w:spacing w:after="0" w:line="262" w:lineRule="auto"/>
        <w:rPr>
          <w:sz w:val="20"/>
          <w:szCs w:val="20"/>
          <w:color w:val="auto"/>
        </w:rPr>
      </w:pPr>
      <w:r>
        <w:rPr>
          <w:rFonts w:ascii="Times New Roman" w:cs="Times New Roman" w:eastAsia="Times New Roman" w:hAnsi="Times New Roman"/>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19" w:lineRule="exact"/>
        <w:rPr>
          <w:sz w:val="20"/>
          <w:szCs w:val="20"/>
          <w:color w:val="auto"/>
        </w:rPr>
      </w:pPr>
    </w:p>
    <w:p>
      <w:pPr>
        <w:ind w:right="80" w:firstLine="571"/>
        <w:spacing w:after="0" w:line="275" w:lineRule="auto"/>
        <w:rPr>
          <w:sz w:val="20"/>
          <w:szCs w:val="20"/>
          <w:color w:val="auto"/>
        </w:rPr>
      </w:pPr>
      <w:r>
        <w:rPr>
          <w:rFonts w:ascii="Times New Roman" w:cs="Times New Roman" w:eastAsia="Times New Roman" w:hAnsi="Times New Roman"/>
          <w:sz w:val="18"/>
          <w:szCs w:val="18"/>
          <w:color w:val="auto"/>
        </w:rPr>
        <w:t>If a shareholder owns more than 5% of the outstanding common shares or preferred shares, then the shareholder must notify us of its share ownership by January 30 of each year.</w:t>
      </w:r>
    </w:p>
    <w:p>
      <w:pPr>
        <w:spacing w:after="0" w:line="106" w:lineRule="exact"/>
        <w:rPr>
          <w:sz w:val="20"/>
          <w:szCs w:val="20"/>
          <w:color w:val="auto"/>
        </w:rPr>
      </w:pPr>
    </w:p>
    <w:p>
      <w:pPr>
        <w:jc w:val="both"/>
        <w:ind w:right="220" w:firstLine="571"/>
        <w:spacing w:after="0" w:line="258" w:lineRule="auto"/>
        <w:rPr>
          <w:sz w:val="20"/>
          <w:szCs w:val="20"/>
          <w:color w:val="auto"/>
        </w:rPr>
      </w:pPr>
      <w:r>
        <w:rPr>
          <w:rFonts w:ascii="Times New Roman" w:cs="Times New Roman" w:eastAsia="Times New Roman" w:hAnsi="Times New Roman"/>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23" w:lineRule="exact"/>
        <w:rPr>
          <w:sz w:val="20"/>
          <w:szCs w:val="20"/>
          <w:color w:val="auto"/>
        </w:rPr>
      </w:pPr>
    </w:p>
    <w:p>
      <w:pPr>
        <w:ind w:right="300" w:firstLine="571"/>
        <w:spacing w:after="0" w:line="262" w:lineRule="auto"/>
        <w:rPr>
          <w:sz w:val="20"/>
          <w:szCs w:val="20"/>
          <w:color w:val="auto"/>
        </w:rPr>
      </w:pPr>
      <w:r>
        <w:rPr>
          <w:rFonts w:ascii="Times New Roman" w:cs="Times New Roman" w:eastAsia="Times New Roman" w:hAnsi="Times New Roman"/>
          <w:sz w:val="18"/>
          <w:szCs w:val="18"/>
          <w:color w:val="auto"/>
        </w:rPr>
        <w:t>The Board of Trustees has agreed to exempt from the ownership limitation Morgan Stanley Investment Management, Inc., or MSIM, for itself and on behalf of its investment advisory clients on whose behalf MSIM owns our common shares. The Board of Trustees approved an exemption for MSIM, which expires on May 3, 2010 and which permits MSIM and its clients, as a group to own up to 12.0% of our outstanding common shares.</w:t>
      </w:r>
    </w:p>
    <w:p>
      <w:pPr>
        <w:spacing w:after="0" w:line="119" w:lineRule="exact"/>
        <w:rPr>
          <w:sz w:val="20"/>
          <w:szCs w:val="20"/>
          <w:color w:val="auto"/>
        </w:rPr>
      </w:pPr>
    </w:p>
    <w:p>
      <w:pPr>
        <w:ind w:right="40" w:firstLine="571"/>
        <w:spacing w:after="0" w:line="262" w:lineRule="auto"/>
        <w:rPr>
          <w:sz w:val="20"/>
          <w:szCs w:val="20"/>
          <w:color w:val="auto"/>
        </w:rPr>
      </w:pPr>
      <w:r>
        <w:rPr>
          <w:rFonts w:ascii="Times New Roman" w:cs="Times New Roman" w:eastAsia="Times New Roman" w:hAnsi="Times New Roman"/>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75" w:lineRule="exact"/>
        <w:rPr>
          <w:sz w:val="20"/>
          <w:szCs w:val="20"/>
          <w:color w:val="auto"/>
        </w:rPr>
      </w:pPr>
    </w:p>
    <w:p>
      <w:pPr>
        <w:ind w:firstLine="57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We may issue warrants for the purchase of common or preferred shares. If we offer warrants, we will describe the terms in a prospectus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are some of the warrant terms that could be described in a prospectus supplement:</w:t>
      </w:r>
    </w:p>
    <w:p>
      <w:pPr>
        <w:spacing w:after="0" w:line="77" w:lineRule="exact"/>
        <w:rPr>
          <w:sz w:val="20"/>
          <w:szCs w:val="20"/>
          <w:color w:val="auto"/>
        </w:rPr>
      </w:pPr>
    </w:p>
    <w:p>
      <w:pPr>
        <w:ind w:left="800" w:hanging="225"/>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455" w:right="27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hanging="225"/>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 will be issued;</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preferred shares or common shares that may be purchased on exercise of the warrant;</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 and the related securities will be separately transferable;</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each security purchasable on exercise of the warrant may be purchased;</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purchase the securities purchasable on exercise of the warrant will begin and end;</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number of securities that may be purchased at any one time;</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anti-dilution protection;</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federal income tax considerations; and</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warrant terms, including terms relating to transferability, exchange or exercise of the warrant.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Maryland Law and our Declaration of Trust and Bylaws</w:t>
      </w:r>
    </w:p>
    <w:p>
      <w:pPr>
        <w:spacing w:after="0" w:line="79" w:lineRule="exact"/>
        <w:rPr>
          <w:sz w:val="20"/>
          <w:szCs w:val="20"/>
          <w:color w:val="auto"/>
        </w:rPr>
      </w:pPr>
    </w:p>
    <w:p>
      <w:pPr>
        <w:ind w:right="320" w:firstLine="571"/>
        <w:spacing w:after="0" w:line="275" w:lineRule="auto"/>
        <w:rPr>
          <w:sz w:val="20"/>
          <w:szCs w:val="20"/>
          <w:color w:val="auto"/>
        </w:rPr>
      </w:pPr>
      <w:r>
        <w:rPr>
          <w:rFonts w:ascii="Times New Roman" w:cs="Times New Roman" w:eastAsia="Times New Roman" w:hAnsi="Times New Roman"/>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06" w:lineRule="exact"/>
        <w:rPr>
          <w:sz w:val="20"/>
          <w:szCs w:val="20"/>
          <w:color w:val="auto"/>
        </w:rPr>
      </w:pPr>
    </w:p>
    <w:p>
      <w:pPr>
        <w:ind w:right="80" w:firstLine="571"/>
        <w:spacing w:after="0" w:line="293" w:lineRule="auto"/>
        <w:rPr>
          <w:sz w:val="20"/>
          <w:szCs w:val="20"/>
          <w:color w:val="auto"/>
        </w:rPr>
      </w:pPr>
      <w:r>
        <w:rPr>
          <w:rFonts w:ascii="Times New Roman" w:cs="Times New Roman" w:eastAsia="Times New Roman" w:hAnsi="Times New Roman"/>
          <w:sz w:val="16"/>
          <w:szCs w:val="16"/>
          <w:color w:val="auto"/>
        </w:rPr>
        <w:t>The following provisions, together with the ability of the Board of Trustees to increase the number of authorized shares, in the aggregate or by class, and to issue preferred shares without further stockholder action, the transfer restrictions described under “ — Restrictions on Ownership and Transfer” and the supermajority voting rights described under “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93" w:lineRule="exact"/>
        <w:rPr>
          <w:sz w:val="20"/>
          <w:szCs w:val="20"/>
          <w:color w:val="auto"/>
        </w:rPr>
      </w:pPr>
    </w:p>
    <w:p>
      <w:pPr>
        <w:ind w:right="200" w:firstLine="57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Business Combinations</w:t>
      </w:r>
      <w:r>
        <w:rPr>
          <w:rFonts w:ascii="Times New Roman" w:cs="Times New Roman" w:eastAsia="Times New Roman" w:hAnsi="Times New Roman"/>
          <w:sz w:val="18"/>
          <w:szCs w:val="18"/>
          <w:color w:val="auto"/>
        </w:rPr>
        <w:t>. Applicable Maryland law, as set forth in the Maryland General Corporation Law, limits our ability to enter into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39" w:lineRule="exact"/>
        <w:rPr>
          <w:sz w:val="20"/>
          <w:szCs w:val="20"/>
          <w:color w:val="auto"/>
        </w:rPr>
      </w:pPr>
    </w:p>
    <w:p>
      <w:pPr>
        <w:ind w:left="800" w:hanging="225"/>
        <w:spacing w:after="0"/>
        <w:tabs>
          <w:tab w:leader="none" w:pos="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owns 10% or more of the voting power of our shares; or</w:t>
      </w:r>
    </w:p>
    <w:p>
      <w:pPr>
        <w:spacing w:after="0" w:line="103" w:lineRule="exact"/>
        <w:rPr>
          <w:rFonts w:ascii="Times New Roman" w:cs="Times New Roman" w:eastAsia="Times New Roman" w:hAnsi="Times New Roman"/>
          <w:sz w:val="18"/>
          <w:szCs w:val="18"/>
          <w:color w:val="auto"/>
        </w:rPr>
      </w:pPr>
    </w:p>
    <w:p>
      <w:pPr>
        <w:ind w:left="800" w:right="20" w:hanging="225"/>
        <w:spacing w:after="0" w:line="275" w:lineRule="auto"/>
        <w:tabs>
          <w:tab w:leader="none" w:pos="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affiliates that beneficially owned 10% or more of the voting power of our shares within two years prior to the applicable date relating to the transaction.</w:t>
      </w:r>
    </w:p>
    <w:p>
      <w:pPr>
        <w:spacing w:after="0" w:line="106" w:lineRule="exact"/>
        <w:rPr>
          <w:sz w:val="20"/>
          <w:szCs w:val="20"/>
          <w:color w:val="auto"/>
        </w:rPr>
      </w:pPr>
    </w:p>
    <w:p>
      <w:pPr>
        <w:jc w:val="both"/>
        <w:ind w:firstLine="571"/>
        <w:spacing w:after="0" w:line="262" w:lineRule="auto"/>
        <w:rPr>
          <w:sz w:val="20"/>
          <w:szCs w:val="20"/>
          <w:color w:val="auto"/>
        </w:rPr>
      </w:pPr>
      <w:r>
        <w:rPr>
          <w:rFonts w:ascii="Times New Roman" w:cs="Times New Roman" w:eastAsia="Times New Roman" w:hAnsi="Times New Roman"/>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19" w:lineRule="exact"/>
        <w:rPr>
          <w:sz w:val="20"/>
          <w:szCs w:val="20"/>
          <w:color w:val="auto"/>
        </w:rPr>
      </w:pPr>
    </w:p>
    <w:p>
      <w:pPr>
        <w:ind w:right="720" w:firstLine="571"/>
        <w:spacing w:after="0" w:line="275" w:lineRule="auto"/>
        <w:rPr>
          <w:sz w:val="20"/>
          <w:szCs w:val="20"/>
          <w:color w:val="auto"/>
        </w:rPr>
      </w:pPr>
      <w:r>
        <w:rPr>
          <w:rFonts w:ascii="Times New Roman" w:cs="Times New Roman" w:eastAsia="Times New Roman" w:hAnsi="Times New Roman"/>
          <w:sz w:val="18"/>
          <w:szCs w:val="18"/>
          <w:color w:val="auto"/>
        </w:rPr>
        <w:t>We may engage in business combinations with an interested shareholder if at least five years have passed since the person became an interested shareholder, but only if the transaction is:</w:t>
      </w:r>
    </w:p>
    <w:p>
      <w:pPr>
        <w:spacing w:after="0" w:line="25" w:lineRule="exact"/>
        <w:rPr>
          <w:sz w:val="20"/>
          <w:szCs w:val="20"/>
          <w:color w:val="auto"/>
        </w:rPr>
      </w:pPr>
    </w:p>
    <w:p>
      <w:pPr>
        <w:ind w:left="800" w:hanging="225"/>
        <w:spacing w:after="0"/>
        <w:tabs>
          <w:tab w:leader="none" w:pos="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recommended by our Board of Trustees; and</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at least</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455" w:right="27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hanging="225"/>
        <w:spacing w:after="0"/>
        <w:tabs>
          <w:tab w:leader="none" w:pos="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our outstanding shares entitled to vote; and</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two-thirds of our outstanding shares entitled to vote that are not held by the interested shareholder.</w:t>
      </w:r>
    </w:p>
    <w:p>
      <w:pPr>
        <w:spacing w:after="0" w:line="185" w:lineRule="exact"/>
        <w:rPr>
          <w:sz w:val="20"/>
          <w:szCs w:val="20"/>
          <w:color w:val="auto"/>
        </w:rPr>
      </w:pPr>
    </w:p>
    <w:p>
      <w:pPr>
        <w:ind w:right="580" w:firstLine="571"/>
        <w:spacing w:after="0" w:line="275" w:lineRule="auto"/>
        <w:rPr>
          <w:sz w:val="20"/>
          <w:szCs w:val="20"/>
          <w:color w:val="auto"/>
        </w:rPr>
      </w:pPr>
      <w:r>
        <w:rPr>
          <w:rFonts w:ascii="Times New Roman" w:cs="Times New Roman" w:eastAsia="Times New Roman" w:hAnsi="Times New Roman"/>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02" w:lineRule="exact"/>
        <w:rPr>
          <w:sz w:val="20"/>
          <w:szCs w:val="20"/>
          <w:color w:val="auto"/>
        </w:rPr>
      </w:pPr>
    </w:p>
    <w:p>
      <w:pPr>
        <w:ind w:right="180" w:firstLine="57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Control Share Acquisitions</w:t>
      </w:r>
      <w:r>
        <w:rPr>
          <w:rFonts w:ascii="Times New Roman" w:cs="Times New Roman" w:eastAsia="Times New Roman" w:hAnsi="Times New Roman"/>
          <w:sz w:val="18"/>
          <w:szCs w:val="18"/>
          <w:color w:val="auto"/>
        </w:rPr>
        <w:t>. Our bylaws exempt acquisitions of our shares of beneficial interest by any person from “control share acquisition”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20" w:lineRule="exact"/>
        <w:rPr>
          <w:sz w:val="20"/>
          <w:szCs w:val="20"/>
          <w:color w:val="auto"/>
        </w:rPr>
      </w:pPr>
    </w:p>
    <w:p>
      <w:pPr>
        <w:ind w:firstLine="571"/>
        <w:spacing w:after="0" w:line="262" w:lineRule="auto"/>
        <w:rPr>
          <w:sz w:val="20"/>
          <w:szCs w:val="20"/>
          <w:color w:val="auto"/>
        </w:rPr>
      </w:pPr>
      <w:r>
        <w:rPr>
          <w:rFonts w:ascii="Times New Roman" w:cs="Times New Roman" w:eastAsia="Times New Roman" w:hAnsi="Times New Roman"/>
          <w:sz w:val="18"/>
          <w:szCs w:val="18"/>
          <w:color w:val="auto"/>
        </w:rPr>
        <w:t>The Maryland General Corporation Law provides that “control shares” of a Maryland real estate investment trust acquired in a “control share acquisition” have no voting rights unless two-thirds of the shareholders (excluding shares owned by the acquirer and by the officers and trustees who are employees of the Maryland real estate investment trust) approve their voting rights.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“Control Shares” are shares that, if added to all other shares previously acquired, would entitle that person to vote, in electing trustees:</w:t>
      </w:r>
    </w:p>
    <w:p>
      <w:pPr>
        <w:spacing w:after="0" w:line="77" w:lineRule="exact"/>
        <w:rPr>
          <w:sz w:val="20"/>
          <w:szCs w:val="20"/>
          <w:color w:val="auto"/>
        </w:rPr>
      </w:pPr>
    </w:p>
    <w:p>
      <w:pPr>
        <w:ind w:left="800" w:hanging="225"/>
        <w:spacing w:after="0"/>
        <w:tabs>
          <w:tab w:leader="none" w:pos="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or more but less than one-third of such shares;</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of such shares, or</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outstanding shares.</w:t>
      </w:r>
    </w:p>
    <w:p>
      <w:pPr>
        <w:spacing w:after="0" w:line="185" w:lineRule="exact"/>
        <w:rPr>
          <w:sz w:val="20"/>
          <w:szCs w:val="20"/>
          <w:color w:val="auto"/>
        </w:rPr>
      </w:pPr>
    </w:p>
    <w:p>
      <w:pPr>
        <w:ind w:right="760" w:firstLine="571"/>
        <w:spacing w:after="0" w:line="275" w:lineRule="auto"/>
        <w:rPr>
          <w:sz w:val="20"/>
          <w:szCs w:val="20"/>
          <w:color w:val="auto"/>
        </w:rPr>
      </w:pPr>
      <w:r>
        <w:rPr>
          <w:rFonts w:ascii="Times New Roman" w:cs="Times New Roman" w:eastAsia="Times New Roman" w:hAnsi="Times New Roman"/>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06" w:lineRule="exact"/>
        <w:rPr>
          <w:sz w:val="20"/>
          <w:szCs w:val="20"/>
          <w:color w:val="auto"/>
        </w:rPr>
      </w:pPr>
    </w:p>
    <w:p>
      <w:pPr>
        <w:jc w:val="both"/>
        <w:ind w:right="260" w:firstLine="571"/>
        <w:spacing w:after="0" w:line="262" w:lineRule="auto"/>
        <w:rPr>
          <w:sz w:val="20"/>
          <w:szCs w:val="20"/>
          <w:color w:val="auto"/>
        </w:rPr>
      </w:pPr>
      <w:r>
        <w:rPr>
          <w:rFonts w:ascii="Times New Roman" w:cs="Times New Roman" w:eastAsia="Times New Roman" w:hAnsi="Times New Roman"/>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19" w:lineRule="exact"/>
        <w:rPr>
          <w:sz w:val="20"/>
          <w:szCs w:val="20"/>
          <w:color w:val="auto"/>
        </w:rPr>
      </w:pPr>
    </w:p>
    <w:p>
      <w:pPr>
        <w:ind w:right="240" w:firstLine="571"/>
        <w:spacing w:after="0" w:line="262" w:lineRule="auto"/>
        <w:rPr>
          <w:sz w:val="20"/>
          <w:szCs w:val="20"/>
          <w:color w:val="auto"/>
        </w:rPr>
      </w:pPr>
      <w:r>
        <w:rPr>
          <w:rFonts w:ascii="Times New Roman" w:cs="Times New Roman" w:eastAsia="Times New Roman" w:hAnsi="Times New Roman"/>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15" w:lineRule="exact"/>
        <w:rPr>
          <w:sz w:val="20"/>
          <w:szCs w:val="20"/>
          <w:color w:val="auto"/>
        </w:rPr>
      </w:pPr>
    </w:p>
    <w:p>
      <w:pPr>
        <w:ind w:firstLine="57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Rights Plan</w:t>
      </w:r>
      <w:r>
        <w:rPr>
          <w:rFonts w:ascii="Times New Roman" w:cs="Times New Roman" w:eastAsia="Times New Roman" w:hAnsi="Times New Roman"/>
          <w:sz w:val="18"/>
          <w:szCs w:val="18"/>
          <w:color w:val="auto"/>
        </w:rPr>
        <w:t>. On April 13, 1989, we adopted a shareholder rights plan and declared a dividend distribution of one right for each outstanding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to shareholders of record at the close of business on April 24, 1989, with such rights to expire on April 24, 1999. On March 11, 1999, the expiration date of the rights plan was extended and certain other amendments to the terms of the rights plan were adopted. Except as set forth below, each right, when exercisable, entitles the registered holder to purchase from us a number of common shares equal in value to two times the purchase price, which is initially equal to $65.00 per share but is subject to adjustment upon the occurrence of specified events.</w:t>
      </w:r>
    </w:p>
    <w:p>
      <w:pPr>
        <w:spacing w:after="0" w:line="1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rights become exercisable upon the earlier to occur of</w:t>
      </w:r>
    </w:p>
    <w:p>
      <w:pPr>
        <w:spacing w:after="0" w:line="77" w:lineRule="exact"/>
        <w:rPr>
          <w:sz w:val="20"/>
          <w:szCs w:val="20"/>
          <w:color w:val="auto"/>
        </w:rPr>
      </w:pPr>
    </w:p>
    <w:p>
      <w:pPr>
        <w:ind w:left="800" w:right="460" w:hanging="225"/>
        <w:spacing w:after="0" w:line="275" w:lineRule="auto"/>
        <w:tabs>
          <w:tab w:leader="none" w:pos="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announcement that, without our prior consent, a person or group of affiliated or associated persons has acquired, or obtained the right to acquire, beneficial ownership of 20% or more of our common shares; or</w:t>
      </w:r>
    </w:p>
    <w:p>
      <w:pPr>
        <w:spacing w:after="0" w:line="25" w:lineRule="exact"/>
        <w:rPr>
          <w:rFonts w:ascii="Times New Roman" w:cs="Times New Roman" w:eastAsia="Times New Roman" w:hAnsi="Times New Roman"/>
          <w:sz w:val="18"/>
          <w:szCs w:val="18"/>
          <w:color w:val="auto"/>
        </w:rPr>
      </w:pPr>
    </w:p>
    <w:p>
      <w:pPr>
        <w:ind w:left="800" w:right="120" w:hanging="225"/>
        <w:spacing w:after="0" w:line="275" w:lineRule="auto"/>
        <w:tabs>
          <w:tab w:leader="none" w:pos="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days following the commencement of (or a public announcement of an intention to make) a tender offer or exchange offer that would result in the beneficial ownership by a person or group of 20% or more of our common shares.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firstLine="571"/>
        <w:spacing w:after="0" w:line="262" w:lineRule="auto"/>
        <w:rPr>
          <w:sz w:val="20"/>
          <w:szCs w:val="20"/>
          <w:color w:val="auto"/>
        </w:rPr>
      </w:pPr>
      <w:r>
        <w:rPr>
          <w:rFonts w:ascii="Times New Roman" w:cs="Times New Roman" w:eastAsia="Times New Roman" w:hAnsi="Times New Roman"/>
          <w:sz w:val="18"/>
          <w:szCs w:val="18"/>
          <w:color w:val="auto"/>
        </w:rPr>
        <w:t>Initially, the rights will be attached to, and evidenced by, the common shares certificates representing shares then outstanding, and no separate right certificates will be distributed. Once the rights become exercisable, separate certificates evidencing the rights will be mailed to holders of record of our common shares, and the separate rights certificates alone will evidence the rights.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 general, the rights will expire on the earliest of</w:t>
      </w:r>
    </w:p>
    <w:p>
      <w:pPr>
        <w:spacing w:after="0" w:line="77" w:lineRule="exact"/>
        <w:rPr>
          <w:sz w:val="20"/>
          <w:szCs w:val="20"/>
          <w:color w:val="auto"/>
        </w:rPr>
      </w:pPr>
    </w:p>
    <w:p>
      <w:pPr>
        <w:ind w:left="800" w:hanging="225"/>
        <w:spacing w:after="0"/>
        <w:tabs>
          <w:tab w:leader="none" w:pos="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April 24, 2009;</w:t>
      </w:r>
    </w:p>
    <w:p>
      <w:pPr>
        <w:spacing w:after="0" w:line="103" w:lineRule="exact"/>
        <w:rPr>
          <w:rFonts w:ascii="Times New Roman" w:cs="Times New Roman" w:eastAsia="Times New Roman" w:hAnsi="Times New Roman"/>
          <w:sz w:val="18"/>
          <w:szCs w:val="18"/>
          <w:color w:val="auto"/>
        </w:rPr>
      </w:pPr>
    </w:p>
    <w:p>
      <w:pPr>
        <w:ind w:left="800" w:right="540" w:hanging="225"/>
        <w:spacing w:after="0" w:line="275" w:lineRule="auto"/>
        <w:tabs>
          <w:tab w:leader="none" w:pos="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merger transaction with a person or group who acquired common shares pursuant to a transaction approved by the Board of Trustees; or</w:t>
      </w:r>
    </w:p>
    <w:p>
      <w:pPr>
        <w:spacing w:after="0" w:line="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by us as described below.</w:t>
      </w:r>
    </w:p>
    <w:p>
      <w:pPr>
        <w:spacing w:after="0" w:line="185"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In the event that the rights become exercisable, each holder of a right will for a 60-day period thereafter have the right to receive upon exercise and payment of the purchase price (initially set at $65.00 but subject to adjustment) that number of our common shares (or fractional shares) having a then-current market value of two times the purchase price, subject to the availability of a sufficient number of authorized but unissued common shares. We are entitled (but not required) to deliver, upon exercise of the right, in lieu of common shares, shares of equivalent securities.</w:t>
      </w:r>
    </w:p>
    <w:p>
      <w:pPr>
        <w:spacing w:after="0" w:line="123" w:lineRule="exact"/>
        <w:rPr>
          <w:sz w:val="20"/>
          <w:szCs w:val="20"/>
          <w:color w:val="auto"/>
        </w:rPr>
      </w:pPr>
    </w:p>
    <w:p>
      <w:pPr>
        <w:ind w:right="60" w:firstLine="571"/>
        <w:spacing w:after="0" w:line="256" w:lineRule="auto"/>
        <w:rPr>
          <w:sz w:val="20"/>
          <w:szCs w:val="20"/>
          <w:color w:val="auto"/>
        </w:rPr>
      </w:pPr>
      <w:r>
        <w:rPr>
          <w:rFonts w:ascii="Times New Roman" w:cs="Times New Roman" w:eastAsia="Times New Roman" w:hAnsi="Times New Roman"/>
          <w:sz w:val="18"/>
          <w:szCs w:val="18"/>
          <w:color w:val="auto"/>
        </w:rPr>
        <w:t>In the event that, after the first date that the rights become exercisable, we are involved in a merger or other business combination transaction in which our common shares are exchanged or changed, or 50% or more of our assets or earning power are sold (in one transaction or a series of transactions), each holder of a right (other than the person or group triggering the exercise of the rights) shall thereafter have the right to receive, upon the exercise thereof at the then-current purchase price, that number of common shares of the acquiring company, which at the time of such transaction would have a market value equal to two times the then-current purchase price of the right.</w:t>
      </w:r>
    </w:p>
    <w:p>
      <w:pPr>
        <w:spacing w:after="0" w:line="125" w:lineRule="exact"/>
        <w:rPr>
          <w:sz w:val="20"/>
          <w:szCs w:val="20"/>
          <w:color w:val="auto"/>
        </w:rPr>
      </w:pPr>
    </w:p>
    <w:p>
      <w:pPr>
        <w:ind w:right="160" w:firstLine="571"/>
        <w:spacing w:after="0" w:line="291" w:lineRule="auto"/>
        <w:rPr>
          <w:sz w:val="20"/>
          <w:szCs w:val="20"/>
          <w:color w:val="auto"/>
        </w:rPr>
      </w:pPr>
      <w:r>
        <w:rPr>
          <w:rFonts w:ascii="Times New Roman" w:cs="Times New Roman" w:eastAsia="Times New Roman" w:hAnsi="Times New Roman"/>
          <w:sz w:val="16"/>
          <w:szCs w:val="16"/>
          <w:color w:val="auto"/>
        </w:rPr>
        <w:t>At any time prior to the earlier to occur of the date the rights become exercisable or the expiration of the rights, we may redeem the rights in whole, but not in part, at a price of $0.01 per right, payable in cash or common shares. Additionally, after the date the rights become exercisable, we may redeem the then-outstanding rights in whole, but not in part, at a price of $0.01 per right income provided that the redemption is incidental to a merger or other business combination transaction or series of transactions involving us but not involving the person or group triggering the exercise of the rights, or if the redemption occurs after the expiration of a period during which our shareholders may acquire common shares through the exercise of the rights and, at that time, the person or group that triggered the exercise of the rights no longer has beneficial ownership of 15% or more of our common shares. Upon the effective date of the redemption of the rights, the right to exercise the rights will terminate and the only right of the holders of rights will be to receive the price of $0.01 per right.</w:t>
      </w:r>
    </w:p>
    <w:p>
      <w:pPr>
        <w:spacing w:after="0" w:line="100" w:lineRule="exact"/>
        <w:rPr>
          <w:sz w:val="20"/>
          <w:szCs w:val="20"/>
          <w:color w:val="auto"/>
        </w:rPr>
      </w:pPr>
    </w:p>
    <w:p>
      <w:pPr>
        <w:ind w:right="200" w:firstLine="571"/>
        <w:spacing w:after="0" w:line="275" w:lineRule="auto"/>
        <w:rPr>
          <w:sz w:val="20"/>
          <w:szCs w:val="20"/>
          <w:color w:val="auto"/>
        </w:rPr>
      </w:pPr>
      <w:r>
        <w:rPr>
          <w:rFonts w:ascii="Times New Roman" w:cs="Times New Roman" w:eastAsia="Times New Roman" w:hAnsi="Times New Roman"/>
          <w:sz w:val="18"/>
          <w:szCs w:val="18"/>
          <w:color w:val="auto"/>
        </w:rPr>
        <w:t>Until a right is exercised, the holder thereof, as such, will have no rights as one of our shareholders, including, without limitation, the right to vote or to receive dividends.</w:t>
      </w:r>
    </w:p>
    <w:p>
      <w:pPr>
        <w:spacing w:after="0" w:line="102" w:lineRule="exact"/>
        <w:rPr>
          <w:sz w:val="20"/>
          <w:szCs w:val="20"/>
          <w:color w:val="auto"/>
        </w:rPr>
      </w:pPr>
    </w:p>
    <w:p>
      <w:pPr>
        <w:ind w:right="120" w:firstLine="57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Duties of Trustees</w:t>
      </w:r>
      <w:r>
        <w:rPr>
          <w:rFonts w:ascii="Times New Roman" w:cs="Times New Roman" w:eastAsia="Times New Roman" w:hAnsi="Times New Roman"/>
          <w:sz w:val="18"/>
          <w:szCs w:val="18"/>
          <w:color w:val="auto"/>
        </w:rPr>
        <w:t>. Under Maryland law, there is a presumption that the act of a trustee satisfies the required standard of care. An act of a trustee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11" w:lineRule="exact"/>
        <w:rPr>
          <w:sz w:val="20"/>
          <w:szCs w:val="20"/>
          <w:color w:val="auto"/>
        </w:rPr>
      </w:pPr>
    </w:p>
    <w:p>
      <w:pPr>
        <w:ind w:right="20" w:firstLine="57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Number of Trustees; Classified Board</w:t>
      </w:r>
      <w:r>
        <w:rPr>
          <w:rFonts w:ascii="Times New Roman" w:cs="Times New Roman" w:eastAsia="Times New Roman" w:hAnsi="Times New Roman"/>
          <w:sz w:val="18"/>
          <w:szCs w:val="18"/>
          <w:color w:val="auto"/>
        </w:rPr>
        <w:t>. The number of trustees may be increased or decreased pursuant to the bylaws, provided that the total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trustees may not be less than five or more than 10. Under Maryland law and our declaration of trust, trustees, except for any trustees that may be elected by holders of preferred shares, are elected in three classes for staggered, three-year terms.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57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Removal of Trustees</w:t>
      </w:r>
      <w:r>
        <w:rPr>
          <w:rFonts w:ascii="Times New Roman" w:cs="Times New Roman" w:eastAsia="Times New Roman" w:hAnsi="Times New Roman"/>
          <w:sz w:val="18"/>
          <w:szCs w:val="18"/>
          <w:color w:val="auto"/>
        </w:rPr>
        <w:t>. Under the declaration of trust, and subject to the rights of any holders of preferred shares, our shareholders may remove a trustee,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or without cause, at any meeting of shareholders called for that purpose, either by</w:t>
      </w:r>
    </w:p>
    <w:p>
      <w:pPr>
        <w:spacing w:after="0" w:line="21" w:lineRule="exact"/>
        <w:rPr>
          <w:sz w:val="20"/>
          <w:szCs w:val="20"/>
          <w:color w:val="auto"/>
        </w:rPr>
      </w:pPr>
    </w:p>
    <w:p>
      <w:pPr>
        <w:ind w:left="800" w:right="180" w:hanging="225"/>
        <w:spacing w:after="0" w:line="275" w:lineRule="auto"/>
        <w:tabs>
          <w:tab w:leader="none" w:pos="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25" w:lineRule="exact"/>
        <w:rPr>
          <w:rFonts w:ascii="Times New Roman" w:cs="Times New Roman" w:eastAsia="Times New Roman" w:hAnsi="Times New Roman"/>
          <w:sz w:val="18"/>
          <w:szCs w:val="18"/>
          <w:color w:val="auto"/>
        </w:rPr>
      </w:pPr>
    </w:p>
    <w:p>
      <w:pPr>
        <w:ind w:left="800" w:right="200" w:hanging="225"/>
        <w:spacing w:after="0" w:line="275" w:lineRule="auto"/>
        <w:tabs>
          <w:tab w:leader="none" w:pos="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02" w:lineRule="exact"/>
        <w:rPr>
          <w:sz w:val="20"/>
          <w:szCs w:val="20"/>
          <w:color w:val="auto"/>
        </w:rPr>
      </w:pPr>
    </w:p>
    <w:p>
      <w:pPr>
        <w:ind w:right="60" w:firstLine="57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Vacancies on the Board of Trustees</w:t>
      </w:r>
      <w:r>
        <w:rPr>
          <w:rFonts w:ascii="Times New Roman" w:cs="Times New Roman" w:eastAsia="Times New Roman" w:hAnsi="Times New Roman"/>
          <w:sz w:val="18"/>
          <w:szCs w:val="18"/>
          <w:color w:val="auto"/>
        </w:rPr>
        <w:t>. The bylaws provide that, subject to the rights of any holders of preferred shares, any vacancy on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20" w:lineRule="exact"/>
        <w:rPr>
          <w:sz w:val="20"/>
          <w:szCs w:val="20"/>
          <w:color w:val="auto"/>
        </w:rPr>
      </w:pPr>
    </w:p>
    <w:p>
      <w:pPr>
        <w:ind w:right="320" w:firstLine="571"/>
        <w:spacing w:after="0" w:line="275" w:lineRule="auto"/>
        <w:rPr>
          <w:sz w:val="20"/>
          <w:szCs w:val="20"/>
          <w:color w:val="auto"/>
        </w:rPr>
      </w:pPr>
      <w:r>
        <w:rPr>
          <w:rFonts w:ascii="Times New Roman" w:cs="Times New Roman" w:eastAsia="Times New Roman" w:hAnsi="Times New Roman"/>
          <w:sz w:val="18"/>
          <w:szCs w:val="18"/>
          <w:color w:val="auto"/>
        </w:rPr>
        <w:t>The holders of the Series B preferred shares have the right to elect two additional trustees to the Board of Trustees under the circumstances described above under “— Preferred Shares — Voting Rights.”</w:t>
      </w:r>
    </w:p>
    <w:p>
      <w:pPr>
        <w:spacing w:after="0" w:line="102" w:lineRule="exact"/>
        <w:rPr>
          <w:sz w:val="20"/>
          <w:szCs w:val="20"/>
          <w:color w:val="auto"/>
        </w:rPr>
      </w:pPr>
    </w:p>
    <w:p>
      <w:pPr>
        <w:ind w:right="140" w:firstLine="57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Meetings of Shareholders</w:t>
      </w:r>
      <w:r>
        <w:rPr>
          <w:rFonts w:ascii="Times New Roman" w:cs="Times New Roman" w:eastAsia="Times New Roman" w:hAnsi="Times New Roman"/>
          <w:sz w:val="18"/>
          <w:szCs w:val="18"/>
          <w:color w:val="auto"/>
        </w:rPr>
        <w:t>. Our bylaws provide for an annual meeting of shareholders, to be held in May after delivery of the annual report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to elect individuals to the Board of Trustees for the class of trustees then standing for election and transact such other business as may properly be brought before the meeting. Special meetings of shareholders may be called by our President or by one-third of the Board of Trustees, and shall be called at the request in writing of the holders of 25% of all votes entitled to be cast at the meeting.</w:t>
      </w:r>
    </w:p>
    <w:p>
      <w:pPr>
        <w:spacing w:after="0" w:line="120" w:lineRule="exact"/>
        <w:rPr>
          <w:sz w:val="20"/>
          <w:szCs w:val="20"/>
          <w:color w:val="auto"/>
        </w:rPr>
      </w:pPr>
    </w:p>
    <w:p>
      <w:pPr>
        <w:ind w:right="160" w:firstLine="571"/>
        <w:spacing w:after="0" w:line="262" w:lineRule="auto"/>
        <w:rPr>
          <w:sz w:val="20"/>
          <w:szCs w:val="20"/>
          <w:color w:val="auto"/>
        </w:rPr>
      </w:pPr>
      <w:r>
        <w:rPr>
          <w:rFonts w:ascii="Times New Roman" w:cs="Times New Roman" w:eastAsia="Times New Roman" w:hAnsi="Times New Roman"/>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15" w:lineRule="exact"/>
        <w:rPr>
          <w:sz w:val="20"/>
          <w:szCs w:val="20"/>
          <w:color w:val="auto"/>
        </w:rPr>
      </w:pPr>
    </w:p>
    <w:p>
      <w:pPr>
        <w:ind w:firstLine="571"/>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Advance Notice for Shareholder Nominations and Shareholder New Business Proposals</w:t>
      </w:r>
      <w:r>
        <w:rPr>
          <w:rFonts w:ascii="Times New Roman" w:cs="Times New Roman" w:eastAsia="Times New Roman" w:hAnsi="Times New Roman"/>
          <w:sz w:val="18"/>
          <w:szCs w:val="18"/>
          <w:color w:val="auto"/>
        </w:rPr>
        <w:t>. Our bylaws require advance written notice for shareholders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prior to the first anniversary of the date of the proxy statement relating to the preceding year’s annual meeting. If the date of the annual meeting is advanced by more than 30 days from the date of the preceding year’s meeting or if we did not hold an annual meeting the preceding year, notice must be delivered within a reasonable time before we begin to print and mail our proxy materials.</w:t>
      </w:r>
    </w:p>
    <w:p>
      <w:pPr>
        <w:spacing w:after="0" w:line="134" w:lineRule="exact"/>
        <w:rPr>
          <w:sz w:val="20"/>
          <w:szCs w:val="20"/>
          <w:color w:val="auto"/>
        </w:rPr>
      </w:pPr>
    </w:p>
    <w:p>
      <w:pPr>
        <w:ind w:right="40" w:firstLine="571"/>
        <w:spacing w:after="0" w:line="228" w:lineRule="auto"/>
        <w:rPr>
          <w:sz w:val="20"/>
          <w:szCs w:val="20"/>
          <w:color w:val="auto"/>
        </w:rPr>
      </w:pPr>
      <w:r>
        <w:rPr>
          <w:rFonts w:ascii="Times New Roman" w:cs="Times New Roman" w:eastAsia="Times New Roman" w:hAnsi="Times New Roman"/>
          <w:sz w:val="18"/>
          <w:szCs w:val="18"/>
          <w:color w:val="auto"/>
        </w:rPr>
        <w:t>For a special meeting, to nominate a trustee, a shareholder must deliver notice to our Secretary not earlier that the close of business on the 120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prior to the special meeting and not later than the close of business on the later of the 90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prior to the special meeting or the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following the date on which public announcement is first made of the special meeting. Nominations for elections to the Board of Trustees at a special meeting may be made by shareholders only if the Board of Trustees has determined that trustees shall be elected at the special meeting.</w:t>
      </w:r>
    </w:p>
    <w:p>
      <w:pPr>
        <w:spacing w:after="0" w:line="139" w:lineRule="exact"/>
        <w:rPr>
          <w:sz w:val="20"/>
          <w:szCs w:val="20"/>
          <w:color w:val="auto"/>
        </w:rPr>
      </w:pPr>
    </w:p>
    <w:p>
      <w:pPr>
        <w:ind w:right="180" w:firstLine="571"/>
        <w:spacing w:after="0" w:line="339" w:lineRule="auto"/>
        <w:rPr>
          <w:sz w:val="20"/>
          <w:szCs w:val="20"/>
          <w:color w:val="auto"/>
        </w:rPr>
      </w:pPr>
      <w:r>
        <w:rPr>
          <w:rFonts w:ascii="Times New Roman" w:cs="Times New Roman" w:eastAsia="Times New Roman" w:hAnsi="Times New Roman"/>
          <w:sz w:val="16"/>
          <w:szCs w:val="16"/>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455" w:right="2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INCOME TAX CONSEQUENCES</w:t>
      </w:r>
    </w:p>
    <w:p>
      <w:pPr>
        <w:spacing w:after="0" w:line="160"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The following sections summarize the material federal income tax issues that you may consider relevant. Because this section is a summary, it does not address all of the tax issues that may be important to you. For example, this discussion addresses only shares held as capital assets. In addition, this section does not address the tax issues that may be important to certain types of shareholders that are subject to special treatment under the federal income tax laws, such as insurance companies, tax-exempt organizations (except to the extent discussed in “— Taxation of Tax — Exempt U.S. Shareholders” below), financial institutions and dealers or brokers in securities, non-U.S. individuals and foreign corporations (except to the extent discussed in “— Taxation of Non-U.S. Shareholders” below), and shareholders that hold their shares as part of a hedge, appreciated financial position, straddle or conversion transaction.</w:t>
      </w:r>
    </w:p>
    <w:p>
      <w:pPr>
        <w:spacing w:after="0" w:line="126" w:lineRule="exact"/>
        <w:rPr>
          <w:sz w:val="20"/>
          <w:szCs w:val="20"/>
          <w:color w:val="auto"/>
        </w:rPr>
      </w:pPr>
    </w:p>
    <w:p>
      <w:pPr>
        <w:ind w:right="360" w:firstLine="571"/>
        <w:spacing w:after="0" w:line="339" w:lineRule="auto"/>
        <w:rPr>
          <w:sz w:val="20"/>
          <w:szCs w:val="20"/>
          <w:color w:val="auto"/>
        </w:rPr>
      </w:pPr>
      <w:r>
        <w:rPr>
          <w:rFonts w:ascii="Times New Roman" w:cs="Times New Roman" w:eastAsia="Times New Roman" w:hAnsi="Times New Roman"/>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61" w:lineRule="exact"/>
        <w:rPr>
          <w:sz w:val="20"/>
          <w:szCs w:val="20"/>
          <w:color w:val="auto"/>
        </w:rPr>
      </w:pPr>
    </w:p>
    <w:p>
      <w:pPr>
        <w:ind w:right="80" w:firstLine="571"/>
        <w:spacing w:after="0" w:line="275" w:lineRule="auto"/>
        <w:rPr>
          <w:sz w:val="20"/>
          <w:szCs w:val="20"/>
          <w:color w:val="auto"/>
        </w:rPr>
      </w:pPr>
      <w:r>
        <w:rPr>
          <w:rFonts w:ascii="Times New Roman" w:cs="Times New Roman" w:eastAsia="Times New Roman" w:hAnsi="Times New Roman"/>
          <w:sz w:val="18"/>
          <w:szCs w:val="18"/>
          <w:color w:val="auto"/>
        </w:rPr>
        <w:t>We urge you to consult your own tax advisor regarding the specific federal, state, local, foreign and other tax consequences to you of purchasing, owning and disposing of our securities, our election to be taxed as a REIT and the effect of potential changes in applicable tax laws.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the Company</w:t>
      </w:r>
    </w:p>
    <w:p>
      <w:pPr>
        <w:spacing w:after="0" w:line="79" w:lineRule="exact"/>
        <w:rPr>
          <w:sz w:val="20"/>
          <w:szCs w:val="20"/>
          <w:color w:val="auto"/>
        </w:rPr>
      </w:pPr>
    </w:p>
    <w:p>
      <w:pPr>
        <w:ind w:right="80" w:firstLine="571"/>
        <w:spacing w:after="0" w:line="262" w:lineRule="auto"/>
        <w:rPr>
          <w:sz w:val="20"/>
          <w:szCs w:val="20"/>
          <w:color w:val="auto"/>
        </w:rPr>
      </w:pPr>
      <w:r>
        <w:rPr>
          <w:rFonts w:ascii="Times New Roman" w:cs="Times New Roman" w:eastAsia="Times New Roman" w:hAnsi="Times New Roman"/>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19" w:lineRule="exact"/>
        <w:rPr>
          <w:sz w:val="20"/>
          <w:szCs w:val="20"/>
          <w:color w:val="auto"/>
        </w:rPr>
      </w:pPr>
    </w:p>
    <w:p>
      <w:pPr>
        <w:ind w:firstLine="571"/>
        <w:spacing w:after="0" w:line="253" w:lineRule="auto"/>
        <w:rPr>
          <w:sz w:val="20"/>
          <w:szCs w:val="20"/>
          <w:color w:val="auto"/>
        </w:rPr>
      </w:pPr>
      <w:r>
        <w:rPr>
          <w:rFonts w:ascii="Times New Roman" w:cs="Times New Roman" w:eastAsia="Times New Roman" w:hAnsi="Times New Roman"/>
          <w:sz w:val="18"/>
          <w:szCs w:val="18"/>
          <w:color w:val="auto"/>
        </w:rPr>
        <w:t>In the opinion of our tax counsel, Pillsbury Winthrop Shaw Pittman LLP, (i) we qualified as a REIT under Sections 856 through 859 of the Code with respect to our taxable years ended through December 31, 2005;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 should be aware that opinions of counsel are not binding on the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For a discussion of the tax treatment of us and our shareholders if we fail to qualify as a REIT, see “— Requirements for REIT Qualification — Failure to Qualify.”</w:t>
      </w:r>
    </w:p>
    <w:p>
      <w:pPr>
        <w:spacing w:after="0" w:line="125" w:lineRule="exact"/>
        <w:rPr>
          <w:sz w:val="20"/>
          <w:szCs w:val="20"/>
          <w:color w:val="auto"/>
        </w:rPr>
      </w:pPr>
    </w:p>
    <w:p>
      <w:pPr>
        <w:jc w:val="both"/>
        <w:ind w:right="360" w:firstLine="571"/>
        <w:spacing w:after="0" w:line="262" w:lineRule="auto"/>
        <w:rPr>
          <w:sz w:val="20"/>
          <w:szCs w:val="20"/>
          <w:color w:val="auto"/>
        </w:rPr>
      </w:pPr>
      <w:r>
        <w:rPr>
          <w:rFonts w:ascii="Times New Roman" w:cs="Times New Roman" w:eastAsia="Times New Roman" w:hAnsi="Times New Roman"/>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corporation. However, we will be subject to federal tax in the following circumstances:</w:t>
      </w:r>
    </w:p>
    <w:p>
      <w:pPr>
        <w:spacing w:after="0" w:line="38" w:lineRule="exact"/>
        <w:rPr>
          <w:sz w:val="20"/>
          <w:szCs w:val="20"/>
          <w:color w:val="auto"/>
        </w:rPr>
      </w:pPr>
    </w:p>
    <w:p>
      <w:pPr>
        <w:ind w:left="800" w:right="20" w:hanging="225"/>
        <w:spacing w:after="0" w:line="275" w:lineRule="auto"/>
        <w:tabs>
          <w:tab w:leader="none" w:pos="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hanging="225"/>
        <w:spacing w:after="0"/>
        <w:tabs>
          <w:tab w:leader="none" w:pos="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the “ alternative minimum tax” on any items of tax preference that we do not distribute or allocate to our shareholders;</w:t>
      </w:r>
    </w:p>
    <w:p>
      <w:pPr>
        <w:spacing w:after="0" w:line="103" w:lineRule="exact"/>
        <w:rPr>
          <w:rFonts w:ascii="Times New Roman" w:cs="Times New Roman" w:eastAsia="Times New Roman" w:hAnsi="Times New Roman"/>
          <w:sz w:val="18"/>
          <w:szCs w:val="18"/>
          <w:color w:val="auto"/>
        </w:rPr>
      </w:pPr>
    </w:p>
    <w:p>
      <w:pPr>
        <w:ind w:left="800" w:right="60" w:hanging="225"/>
        <w:spacing w:after="0" w:line="275" w:lineRule="auto"/>
        <w:tabs>
          <w:tab w:leader="none" w:pos="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income tax at the highest corporate rate on (i) net income from the sale or other disposition of property acquired through foreclosure that we hold primarily for sale to customers in the ordinary course of business and (ii) other non-qualifying income from foreclosure property;</w:t>
      </w:r>
    </w:p>
    <w:p>
      <w:pPr>
        <w:spacing w:after="0" w:line="25" w:lineRule="exact"/>
        <w:rPr>
          <w:rFonts w:ascii="Times New Roman" w:cs="Times New Roman" w:eastAsia="Times New Roman" w:hAnsi="Times New Roman"/>
          <w:sz w:val="18"/>
          <w:szCs w:val="18"/>
          <w:color w:val="auto"/>
        </w:rPr>
      </w:pPr>
    </w:p>
    <w:p>
      <w:pPr>
        <w:ind w:left="800" w:right="40" w:hanging="225"/>
        <w:spacing w:after="0" w:line="275" w:lineRule="auto"/>
        <w:tabs>
          <w:tab w:leader="none" w:pos="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the 75% gross income test or the 95% gross income test (as described below under “— Requirements for REIT Qualification</w:t>
      </w:r>
    </w:p>
    <w:p>
      <w:pPr>
        <w:spacing w:after="0" w:line="21" w:lineRule="exact"/>
        <w:rPr>
          <w:rFonts w:ascii="Times New Roman" w:cs="Times New Roman" w:eastAsia="Times New Roman" w:hAnsi="Times New Roman"/>
          <w:sz w:val="18"/>
          <w:szCs w:val="18"/>
          <w:color w:val="auto"/>
        </w:rPr>
      </w:pPr>
    </w:p>
    <w:p>
      <w:pPr>
        <w:ind w:left="8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43" w:lineRule="exact"/>
        <w:rPr>
          <w:rFonts w:ascii="Times New Roman" w:cs="Times New Roman" w:eastAsia="Times New Roman" w:hAnsi="Times New Roman"/>
          <w:sz w:val="18"/>
          <w:szCs w:val="18"/>
          <w:color w:val="auto"/>
        </w:rPr>
      </w:pPr>
    </w:p>
    <w:p>
      <w:pPr>
        <w:ind w:left="800" w:right="20" w:hanging="225"/>
        <w:spacing w:after="0" w:line="258" w:lineRule="auto"/>
        <w:tabs>
          <w:tab w:leader="none" w:pos="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41" w:lineRule="exact"/>
        <w:rPr>
          <w:rFonts w:ascii="Times New Roman" w:cs="Times New Roman" w:eastAsia="Times New Roman" w:hAnsi="Times New Roman"/>
          <w:sz w:val="18"/>
          <w:szCs w:val="18"/>
          <w:color w:val="auto"/>
        </w:rPr>
      </w:pPr>
    </w:p>
    <w:p>
      <w:pPr>
        <w:jc w:val="both"/>
        <w:ind w:left="800" w:right="60" w:hanging="225"/>
        <w:spacing w:after="0" w:line="262" w:lineRule="auto"/>
        <w:tabs>
          <w:tab w:leader="none" w:pos="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37" w:lineRule="exact"/>
        <w:rPr>
          <w:rFonts w:ascii="Times New Roman" w:cs="Times New Roman" w:eastAsia="Times New Roman" w:hAnsi="Times New Roman"/>
          <w:sz w:val="18"/>
          <w:szCs w:val="18"/>
          <w:color w:val="auto"/>
        </w:rPr>
      </w:pPr>
    </w:p>
    <w:p>
      <w:pPr>
        <w:ind w:left="800" w:right="20" w:hanging="225"/>
        <w:spacing w:after="0" w:line="262" w:lineRule="auto"/>
        <w:tabs>
          <w:tab w:leader="none" w:pos="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4% excise tax on the excess of such required distribution over the amount we actually distributed;</w:t>
      </w:r>
    </w:p>
    <w:p>
      <w:pPr>
        <w:spacing w:after="0" w:line="37"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retain and pay income tax on our net long-term capital gain; or</w:t>
      </w:r>
    </w:p>
    <w:p>
      <w:pPr>
        <w:spacing w:after="0" w:line="103" w:lineRule="exact"/>
        <w:rPr>
          <w:rFonts w:ascii="Times New Roman" w:cs="Times New Roman" w:eastAsia="Times New Roman" w:hAnsi="Times New Roman"/>
          <w:sz w:val="18"/>
          <w:szCs w:val="18"/>
          <w:color w:val="auto"/>
        </w:rPr>
      </w:pPr>
    </w:p>
    <w:p>
      <w:pPr>
        <w:ind w:left="800" w:right="40" w:hanging="225"/>
        <w:spacing w:after="0" w:line="256" w:lineRule="auto"/>
        <w:tabs>
          <w:tab w:leader="none" w:pos="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REIT Qualification</w:t>
      </w:r>
    </w:p>
    <w:p>
      <w:pPr>
        <w:spacing w:after="0" w:line="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To qualify as a REIT, we must meet the following requirements:</w:t>
      </w:r>
    </w:p>
    <w:p>
      <w:pPr>
        <w:spacing w:after="0" w:line="77" w:lineRule="exact"/>
        <w:rPr>
          <w:sz w:val="20"/>
          <w:szCs w:val="20"/>
          <w:color w:val="auto"/>
        </w:rPr>
      </w:pPr>
    </w:p>
    <w:p>
      <w:pPr>
        <w:ind w:left="580" w:hanging="572"/>
        <w:spacing w:after="0"/>
        <w:tabs>
          <w:tab w:leader="none" w:pos="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managed by one or more trustees or directors;</w:t>
      </w:r>
    </w:p>
    <w:p>
      <w:pPr>
        <w:spacing w:after="0" w:line="76"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beneficial ownership is evidenced by transferable shares, or by transferable certificates of beneficial interest;</w:t>
      </w:r>
    </w:p>
    <w:p>
      <w:pPr>
        <w:spacing w:after="0" w:line="76"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taxable as a domestic corporation, but for Sections 856 through 860 of the Code;</w:t>
      </w:r>
    </w:p>
    <w:p>
      <w:pPr>
        <w:spacing w:after="0" w:line="76"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neither a financial institution nor an insurance company subject to certain provisions of the Code;</w:t>
      </w:r>
    </w:p>
    <w:p>
      <w:pPr>
        <w:spacing w:after="0" w:line="76"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100 persons are beneficial owners of our shares or ownership certificates;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20"/>
          </w:cols>
          <w:pgMar w:left="240" w:top="455" w:right="3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580" w:right="20" w:hanging="572"/>
        <w:spacing w:after="0" w:line="275" w:lineRule="auto"/>
        <w:tabs>
          <w:tab w:leader="none" w:pos="5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25" w:lineRule="exact"/>
        <w:rPr>
          <w:rFonts w:ascii="Times New Roman" w:cs="Times New Roman" w:eastAsia="Times New Roman" w:hAnsi="Times New Roman"/>
          <w:sz w:val="18"/>
          <w:szCs w:val="18"/>
          <w:color w:val="auto"/>
        </w:rPr>
      </w:pPr>
    </w:p>
    <w:p>
      <w:pPr>
        <w:ind w:left="580" w:right="500" w:hanging="572"/>
        <w:spacing w:after="0" w:line="275" w:lineRule="auto"/>
        <w:tabs>
          <w:tab w:leader="none" w:pos="5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25" w:lineRule="exact"/>
        <w:rPr>
          <w:rFonts w:ascii="Times New Roman" w:cs="Times New Roman" w:eastAsia="Times New Roman" w:hAnsi="Times New Roman"/>
          <w:sz w:val="18"/>
          <w:szCs w:val="18"/>
          <w:color w:val="auto"/>
        </w:rPr>
      </w:pPr>
    </w:p>
    <w:p>
      <w:pPr>
        <w:ind w:left="580" w:right="180" w:hanging="572"/>
        <w:spacing w:after="0" w:line="275" w:lineRule="auto"/>
        <w:tabs>
          <w:tab w:leader="none" w:pos="5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 calendar year for federal income tax purposes and comply with the record keeping requirements of the Code and the related regulations of the U.S. Department of Treasury (“Treasury”); and</w:t>
      </w:r>
    </w:p>
    <w:p>
      <w:pPr>
        <w:spacing w:after="0" w:line="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meet certain other qualification tests, described below, regarding the nature of our income and assets.</w:t>
      </w:r>
    </w:p>
    <w:p>
      <w:pPr>
        <w:spacing w:after="0" w:line="158" w:lineRule="exact"/>
        <w:rPr>
          <w:sz w:val="20"/>
          <w:szCs w:val="20"/>
          <w:color w:val="auto"/>
        </w:rPr>
      </w:pPr>
    </w:p>
    <w:p>
      <w:pPr>
        <w:ind w:right="100" w:firstLine="571"/>
        <w:spacing w:after="0" w:line="254" w:lineRule="auto"/>
        <w:rPr>
          <w:sz w:val="20"/>
          <w:szCs w:val="20"/>
          <w:color w:val="auto"/>
        </w:rPr>
      </w:pPr>
      <w:r>
        <w:rPr>
          <w:rFonts w:ascii="Times New Roman" w:cs="Times New Roman" w:eastAsia="Times New Roman" w:hAnsi="Times New Roman"/>
          <w:sz w:val="18"/>
          <w:szCs w:val="18"/>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28"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We believe we have issued sufficient common shares with sufficient diversity of ownership to satisfy requirements 5 and 6 set forth above. In addition, our declaration of trust restricts the ownership and transfer of the common shares so that we should continue to satisfy requirements 5 and 6. The provisions of our declaration of trust restricting the ownership and transfer of the common shares are described in “Description of Shares of Beneficial Ownership–Restrictions on Ownership and Transfer.”</w:t>
      </w:r>
    </w:p>
    <w:p>
      <w:pPr>
        <w:spacing w:after="0" w:line="123" w:lineRule="exact"/>
        <w:rPr>
          <w:sz w:val="20"/>
          <w:szCs w:val="20"/>
          <w:color w:val="auto"/>
        </w:rPr>
      </w:pPr>
    </w:p>
    <w:p>
      <w:pPr>
        <w:ind w:right="60" w:firstLine="571"/>
        <w:spacing w:after="0" w:line="253" w:lineRule="auto"/>
        <w:rPr>
          <w:sz w:val="20"/>
          <w:szCs w:val="20"/>
          <w:color w:val="auto"/>
        </w:rPr>
      </w:pPr>
      <w:r>
        <w:rPr>
          <w:rFonts w:ascii="Times New Roman" w:cs="Times New Roman" w:eastAsia="Times New Roman" w:hAnsi="Times New Roman"/>
          <w:sz w:val="18"/>
          <w:szCs w:val="18"/>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which are taxable REIT subsidiaries. Accordingly, our qualified REIT subsidiaries are not subject to federal corporate income taxation, though they may be subject to state and local taxation.</w:t>
      </w:r>
    </w:p>
    <w:p>
      <w:pPr>
        <w:spacing w:after="0" w:line="130" w:lineRule="exact"/>
        <w:rPr>
          <w:sz w:val="20"/>
          <w:szCs w:val="20"/>
          <w:color w:val="auto"/>
        </w:rPr>
      </w:pPr>
    </w:p>
    <w:p>
      <w:pPr>
        <w:ind w:right="100" w:firstLine="571"/>
        <w:spacing w:after="0" w:line="258" w:lineRule="auto"/>
        <w:rPr>
          <w:sz w:val="20"/>
          <w:szCs w:val="20"/>
          <w:color w:val="auto"/>
        </w:rPr>
      </w:pPr>
      <w:r>
        <w:rPr>
          <w:rFonts w:ascii="Times New Roman" w:cs="Times New Roman" w:eastAsia="Times New Roman" w:hAnsi="Times New Roman"/>
          <w:sz w:val="18"/>
          <w:szCs w:val="18"/>
          <w:color w:val="auto"/>
        </w:rPr>
        <w:t>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liabilities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60"/>
          </w:cols>
          <w:pgMar w:left="240" w:top="455" w:right="29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580"/>
        <w:spacing w:after="0"/>
        <w:tabs>
          <w:tab w:leader="none" w:pos="1720" w:val="left"/>
        </w:tabs>
        <w:rPr>
          <w:sz w:val="20"/>
          <w:szCs w:val="20"/>
          <w:color w:val="auto"/>
        </w:rPr>
      </w:pPr>
      <w:r>
        <w:rPr>
          <w:rFonts w:ascii="Times New Roman" w:cs="Times New Roman" w:eastAsia="Times New Roman" w:hAnsi="Times New Roman"/>
          <w:sz w:val="18"/>
          <w:szCs w:val="18"/>
          <w:b w:val="1"/>
          <w:bCs w:val="1"/>
          <w:i w:val="1"/>
          <w:iCs w:val="1"/>
          <w:color w:val="auto"/>
        </w:rPr>
        <w:t>Income Tests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We must satisfy two gross income tests annually to maintain our qualification as a REIT:</w:t>
      </w:r>
    </w:p>
    <w:p>
      <w:pPr>
        <w:spacing w:after="0" w:line="81" w:lineRule="exact"/>
        <w:rPr>
          <w:sz w:val="20"/>
          <w:szCs w:val="20"/>
          <w:color w:val="auto"/>
        </w:rPr>
      </w:pPr>
    </w:p>
    <w:p>
      <w:pPr>
        <w:ind w:left="800" w:right="40" w:hanging="225"/>
        <w:spacing w:after="0" w:line="256" w:lineRule="auto"/>
        <w:tabs>
          <w:tab w:leader="none" w:pos="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(excluding gross income from prohibited transactions) for each taxable year must consist of defined types of income that we derive, directly or indirectly, from investments relating to real property or mortgages on real property or temporary investment income (the “75% gross income test”). Qualifying income for purposes of the 75% gross income test includes “rents from real property,” interest on debt secured by mortgages on real property or on interests in real property, and dividends or other distributions on and gain from the sale of shares in other REITs; and</w:t>
      </w:r>
    </w:p>
    <w:p>
      <w:pPr>
        <w:spacing w:after="0" w:line="44" w:lineRule="exact"/>
        <w:rPr>
          <w:rFonts w:ascii="Times New Roman" w:cs="Times New Roman" w:eastAsia="Times New Roman" w:hAnsi="Times New Roman"/>
          <w:sz w:val="18"/>
          <w:szCs w:val="18"/>
          <w:color w:val="auto"/>
        </w:rPr>
      </w:pPr>
    </w:p>
    <w:p>
      <w:pPr>
        <w:ind w:left="800" w:right="200" w:hanging="225"/>
        <w:spacing w:after="0" w:line="262" w:lineRule="auto"/>
        <w:tabs>
          <w:tab w:leader="none" w:pos="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95% of our gross income (excluding gross income from prohibited transactions and certain real estate liability hedges)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paragraphs discuss the specific application of these tests to us.</w:t>
      </w:r>
    </w:p>
    <w:p>
      <w:pPr>
        <w:spacing w:after="0" w:line="154" w:lineRule="exact"/>
        <w:rPr>
          <w:sz w:val="20"/>
          <w:szCs w:val="20"/>
          <w:color w:val="auto"/>
        </w:rPr>
      </w:pPr>
    </w:p>
    <w:p>
      <w:pPr>
        <w:ind w:right="20" w:firstLine="57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Rental Income</w:t>
      </w:r>
      <w:r>
        <w:rPr>
          <w:rFonts w:ascii="Times New Roman" w:cs="Times New Roman" w:eastAsia="Times New Roman" w:hAnsi="Times New Roman"/>
          <w:sz w:val="18"/>
          <w:szCs w:val="18"/>
          <w:color w:val="auto"/>
        </w:rPr>
        <w:t>. Our primary source of income derives from leasing properties. Rent that we receive from real property that we own and lease to tenants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qualify as “rents from real property” (which is qualifying income for purposes of the 75% and 95% gross income tests) only if several conditions are met under the REIT tax rules:</w:t>
      </w:r>
    </w:p>
    <w:p>
      <w:pPr>
        <w:spacing w:after="0" w:line="34" w:lineRule="exact"/>
        <w:rPr>
          <w:sz w:val="20"/>
          <w:szCs w:val="20"/>
          <w:color w:val="auto"/>
        </w:rPr>
      </w:pPr>
    </w:p>
    <w:p>
      <w:pPr>
        <w:ind w:left="800" w:right="60" w:hanging="225"/>
        <w:spacing w:after="0" w:line="262" w:lineRule="auto"/>
        <w:tabs>
          <w:tab w:leader="none" w:pos="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rent must not be based, in whole or in part, on the income or profits of any person although, generally, rent may be based on a fixed percentage or percentages of receipts or sales. We have not entered into any lease based in whole or part on the net income of any person and do not anticipate entering into such arrangements (except where we have determined that the rent received will not jeopardize our status as a REIT);</w:t>
      </w:r>
    </w:p>
    <w:p>
      <w:pPr>
        <w:spacing w:after="0" w:line="37" w:lineRule="exact"/>
        <w:rPr>
          <w:rFonts w:ascii="Times New Roman" w:cs="Times New Roman" w:eastAsia="Times New Roman" w:hAnsi="Times New Roman"/>
          <w:sz w:val="18"/>
          <w:szCs w:val="18"/>
          <w:color w:val="auto"/>
        </w:rPr>
      </w:pPr>
    </w:p>
    <w:p>
      <w:pPr>
        <w:ind w:left="800" w:hanging="225"/>
        <w:spacing w:after="0" w:line="253" w:lineRule="auto"/>
        <w:tabs>
          <w:tab w:leader="none" w:pos="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certain limited circumstances involving taxable REIT subsidiaries, neither we nor someone who owns 10% or more of our shares may own 10% or more of a tenant from whom we receive rent.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will use our best efforts not to rent any property to a related party tenant (taking into account the applicable constructive ownership rules), unless we determine in our discretion that the rent received from such related party tenant is not material and will not jeopardize our status as a REIT. We believe that we have not leased property to any related party tenant, except where we have determined that the rent received from such related party tenant is not material and will not jeopardize our status as a REIT;</w:t>
      </w:r>
    </w:p>
    <w:p>
      <w:pPr>
        <w:spacing w:after="0" w:line="46" w:lineRule="exact"/>
        <w:rPr>
          <w:rFonts w:ascii="Times New Roman" w:cs="Times New Roman" w:eastAsia="Times New Roman" w:hAnsi="Times New Roman"/>
          <w:sz w:val="18"/>
          <w:szCs w:val="18"/>
          <w:color w:val="auto"/>
        </w:rPr>
      </w:pPr>
    </w:p>
    <w:p>
      <w:pPr>
        <w:ind w:left="800" w:right="20" w:hanging="225"/>
        <w:spacing w:after="0" w:line="255" w:lineRule="auto"/>
        <w:tabs>
          <w:tab w:leader="none" w:pos="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certain rent from a taxable REIT subsidiary which would, but for this exception, be considered rent from a related party tenant, the space leased to the taxable REIT subsidiary must be part of a property at least 90 percent of which is rented to persons other than taxable REIT subsidiaries and related party tenants, and the amounts of rent paid to us by the taxable REIT subsidiary must be substantially comparable to the rents paid by such other persons for comparable space. All space currently leased to taxable REIT subsidiaries meets these conditions, and we intend to meet them in the future, unless we determine in our discretion that the rent received from a taxable REIT subsidiary is not material and will not jeopardize our status as a REIT;</w:t>
      </w:r>
    </w:p>
    <w:p>
      <w:pPr>
        <w:spacing w:after="0" w:line="44" w:lineRule="exact"/>
        <w:rPr>
          <w:rFonts w:ascii="Times New Roman" w:cs="Times New Roman" w:eastAsia="Times New Roman" w:hAnsi="Times New Roman"/>
          <w:sz w:val="18"/>
          <w:szCs w:val="18"/>
          <w:color w:val="auto"/>
        </w:rPr>
      </w:pPr>
    </w:p>
    <w:p>
      <w:pPr>
        <w:ind w:left="800" w:right="280" w:hanging="225"/>
        <w:spacing w:after="0" w:line="275" w:lineRule="auto"/>
        <w:tabs>
          <w:tab w:leader="none" w:pos="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rent attributable to any personal property leased in connection with a lease of property is no more than 15% of the total rent received under the lease. In general, we have not leased a significant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455" w:right="2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right="20"/>
        <w:spacing w:after="0" w:line="262" w:lineRule="auto"/>
        <w:rPr>
          <w:sz w:val="20"/>
          <w:szCs w:val="20"/>
          <w:color w:val="auto"/>
        </w:rPr>
      </w:pPr>
      <w:r>
        <w:rPr>
          <w:rFonts w:ascii="Times New Roman" w:cs="Times New Roman" w:eastAsia="Times New Roman" w:hAnsi="Times New Roman"/>
          <w:sz w:val="18"/>
          <w:szCs w:val="18"/>
          <w:color w:val="auto"/>
        </w:rPr>
        <w:t>amount of personal property under our current leases. If any incidental personal property has been leased, we believe that rent under each lease from the personal property would be less than 15% of total rent from that lease. If we lease personal property in connection with a future lease, we intend to satisfy the 15% test described above; and</w:t>
      </w:r>
    </w:p>
    <w:p>
      <w:pPr>
        <w:spacing w:after="0" w:line="51" w:lineRule="exact"/>
        <w:rPr>
          <w:sz w:val="20"/>
          <w:szCs w:val="20"/>
          <w:color w:val="auto"/>
        </w:rPr>
      </w:pPr>
    </w:p>
    <w:p>
      <w:pPr>
        <w:ind w:left="800" w:hanging="225"/>
        <w:spacing w:after="0" w:line="254" w:lineRule="auto"/>
        <w:tabs>
          <w:tab w:leader="none" w:pos="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must not operate or manage our property or furnish or render services to our tenants, other than through an “independent contractor” who is adequately compensated and from whom we do not derive revenue, or through a taxable REIT subsidiary. We may provide services directly, if the services are “usually or customarily rendered” in connection with the rental of space for occupancy only and are not otherwise considered “rendered to the occupant.” In addition, we may render directly a de minimis amount of “non-customary” services to the tenants of a property without disqualifying the income as “rents from real property,” as long as our income from the services does not exceed 1% of our income from the related property. We have not provided services to leased properties that have caused rents to be disqualified as rents from real property, and in the future, we intend that any services provided will not cause rents to be disqualified as rents from real property.</w:t>
      </w:r>
    </w:p>
    <w:p>
      <w:pPr>
        <w:spacing w:after="0" w:line="128" w:lineRule="exact"/>
        <w:rPr>
          <w:sz w:val="20"/>
          <w:szCs w:val="20"/>
          <w:color w:val="auto"/>
        </w:rPr>
      </w:pPr>
    </w:p>
    <w:p>
      <w:pPr>
        <w:ind w:right="220" w:firstLine="571"/>
        <w:spacing w:after="0" w:line="262" w:lineRule="auto"/>
        <w:rPr>
          <w:sz w:val="20"/>
          <w:szCs w:val="20"/>
          <w:color w:val="auto"/>
        </w:rPr>
      </w:pPr>
      <w:r>
        <w:rPr>
          <w:rFonts w:ascii="Times New Roman" w:cs="Times New Roman" w:eastAsia="Times New Roman" w:hAnsi="Times New Roman"/>
          <w:sz w:val="18"/>
          <w:szCs w:val="18"/>
          <w:color w:val="auto"/>
        </w:rPr>
        <w:t>Based on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On an ongoing basis, we will use our best efforts not to:</w:t>
      </w:r>
    </w:p>
    <w:p>
      <w:pPr>
        <w:spacing w:after="0" w:line="77" w:lineRule="exact"/>
        <w:rPr>
          <w:sz w:val="20"/>
          <w:szCs w:val="20"/>
          <w:color w:val="auto"/>
        </w:rPr>
      </w:pPr>
    </w:p>
    <w:p>
      <w:pPr>
        <w:ind w:left="800" w:right="160" w:hanging="225"/>
        <w:spacing w:after="0" w:line="275" w:lineRule="auto"/>
        <w:tabs>
          <w:tab w:leader="none" w:pos="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 rent for any property that is based in whole or in part on the income or profits of any person (except by reason of being based on a percentage of receipts or sales, as described above);</w:t>
      </w:r>
    </w:p>
    <w:p>
      <w:pPr>
        <w:spacing w:after="0" w:line="25" w:lineRule="exact"/>
        <w:rPr>
          <w:rFonts w:ascii="Times New Roman" w:cs="Times New Roman" w:eastAsia="Times New Roman" w:hAnsi="Times New Roman"/>
          <w:sz w:val="18"/>
          <w:szCs w:val="18"/>
          <w:color w:val="auto"/>
        </w:rPr>
      </w:pPr>
    </w:p>
    <w:p>
      <w:pPr>
        <w:ind w:left="800" w:right="340" w:hanging="225"/>
        <w:spacing w:after="0" w:line="262" w:lineRule="auto"/>
        <w:tabs>
          <w:tab w:leader="none" w:pos="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any property to a related party tenant (taking into account the applicable constructive ownership rules and the exception for taxable REIT subsidiaries), unless we determine in our discretion that the rent received from such related party tenant is not material and will not jeopardize our status as a REIT;</w:t>
      </w:r>
    </w:p>
    <w:p>
      <w:pPr>
        <w:spacing w:after="0" w:line="37" w:lineRule="exact"/>
        <w:rPr>
          <w:rFonts w:ascii="Times New Roman" w:cs="Times New Roman" w:eastAsia="Times New Roman" w:hAnsi="Times New Roman"/>
          <w:sz w:val="18"/>
          <w:szCs w:val="18"/>
          <w:color w:val="auto"/>
        </w:rPr>
      </w:pPr>
    </w:p>
    <w:p>
      <w:pPr>
        <w:ind w:left="800" w:right="100" w:hanging="225"/>
        <w:spacing w:after="0" w:line="275" w:lineRule="auto"/>
        <w:tabs>
          <w:tab w:leader="none" w:pos="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rental income attributable to personal property (other than personal property leased in connection with the lease of real property, the amount of which is less than 15% of the total rent received under the lease); and</w:t>
      </w:r>
    </w:p>
    <w:p>
      <w:pPr>
        <w:spacing w:after="0" w:line="25" w:lineRule="exact"/>
        <w:rPr>
          <w:rFonts w:ascii="Times New Roman" w:cs="Times New Roman" w:eastAsia="Times New Roman" w:hAnsi="Times New Roman"/>
          <w:sz w:val="18"/>
          <w:szCs w:val="18"/>
          <w:color w:val="auto"/>
        </w:rPr>
      </w:pPr>
    </w:p>
    <w:p>
      <w:pPr>
        <w:jc w:val="both"/>
        <w:ind w:left="800" w:right="20" w:hanging="225"/>
        <w:spacing w:after="0" w:line="262" w:lineRule="auto"/>
        <w:tabs>
          <w:tab w:leader="none" w:pos="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services considered to be rendered to the occupant of the property that generate rents exceeding 1% of all amounts received or accrued during the taxable year with respect to such property, other than through an independent contractor from whom we derive no revenue, through a taxable REIT subsidiary, or if the provision of such services will not jeopardize our status as a REIT.</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Because the Code provisions applicable to REITs are complex, however, we may fail to meet one or more of the foregoing.</w:t>
      </w:r>
    </w:p>
    <w:p>
      <w:pPr>
        <w:spacing w:after="0" w:line="154" w:lineRule="exact"/>
        <w:rPr>
          <w:sz w:val="20"/>
          <w:szCs w:val="20"/>
          <w:color w:val="auto"/>
        </w:rPr>
      </w:pPr>
    </w:p>
    <w:p>
      <w:pPr>
        <w:ind w:right="240" w:firstLine="571"/>
        <w:spacing w:after="0" w:line="312" w:lineRule="auto"/>
        <w:rPr>
          <w:sz w:val="20"/>
          <w:szCs w:val="20"/>
          <w:color w:val="auto"/>
        </w:rPr>
      </w:pPr>
      <w:r>
        <w:rPr>
          <w:rFonts w:ascii="Times New Roman" w:cs="Times New Roman" w:eastAsia="Times New Roman" w:hAnsi="Times New Roman"/>
          <w:sz w:val="16"/>
          <w:szCs w:val="16"/>
          <w:b w:val="1"/>
          <w:bCs w:val="1"/>
          <w:i w:val="1"/>
          <w:iCs w:val="1"/>
          <w:color w:val="auto"/>
        </w:rPr>
        <w:t>Tax on Income From Property Acquired in Foreclosure</w:t>
      </w:r>
      <w:r>
        <w:rPr>
          <w:rFonts w:ascii="Times New Roman" w:cs="Times New Roman" w:eastAsia="Times New Roman" w:hAnsi="Times New Roman"/>
          <w:sz w:val="16"/>
          <w:szCs w:val="16"/>
          <w:color w:val="auto"/>
        </w:rPr>
        <w:t>. We will be subject to tax at the maximum corporate rate on any income from foreclosure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property (other than income that would be qualifying income for purposes of the 75% gross income test), less expenses directly connected to the production of such income. “Foreclosure property” is any real property including interests in real property and any personal property incident to such real property:</w:t>
      </w:r>
    </w:p>
    <w:p>
      <w:pPr>
        <w:spacing w:after="0" w:line="2" w:lineRule="exact"/>
        <w:rPr>
          <w:sz w:val="20"/>
          <w:szCs w:val="20"/>
          <w:color w:val="auto"/>
        </w:rPr>
      </w:pPr>
    </w:p>
    <w:p>
      <w:pPr>
        <w:ind w:left="800" w:right="300" w:hanging="225"/>
        <w:spacing w:after="0" w:line="275" w:lineRule="auto"/>
        <w:tabs>
          <w:tab w:leader="none" w:pos="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acquired by a REIT at a foreclosure sale, or having otherwise become the owner or in possession of the property by agreement or process of law, after a default (or imminent default) on a lease of such property or on an debt owed to the REIT secured by the property;</w:t>
      </w:r>
    </w:p>
    <w:p>
      <w:pPr>
        <w:spacing w:after="0" w:line="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related loan was acquired by the REIT at a time when default was not imminent or anticipated; and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580"/>
        <w:spacing w:after="0"/>
        <w:tabs>
          <w:tab w:leader="none" w:pos="7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for which the REIT makes a proper election to treat the property as foreclosure property.</w:t>
      </w:r>
    </w:p>
    <w:p>
      <w:pPr>
        <w:spacing w:after="0" w:line="185" w:lineRule="exact"/>
        <w:rPr>
          <w:sz w:val="20"/>
          <w:szCs w:val="20"/>
          <w:color w:val="auto"/>
        </w:rPr>
      </w:pPr>
    </w:p>
    <w:p>
      <w:pPr>
        <w:ind w:right="240" w:firstLine="571"/>
        <w:spacing w:after="0" w:line="262" w:lineRule="auto"/>
        <w:rPr>
          <w:sz w:val="20"/>
          <w:szCs w:val="20"/>
          <w:color w:val="auto"/>
        </w:rPr>
      </w:pPr>
      <w:r>
        <w:rPr>
          <w:rFonts w:ascii="Times New Roman" w:cs="Times New Roman" w:eastAsia="Times New Roman" w:hAnsi="Times New Roman"/>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38" w:lineRule="exact"/>
        <w:rPr>
          <w:sz w:val="20"/>
          <w:szCs w:val="20"/>
          <w:color w:val="auto"/>
        </w:rPr>
      </w:pPr>
    </w:p>
    <w:p>
      <w:pPr>
        <w:ind w:left="800" w:right="280" w:hanging="225"/>
        <w:spacing w:after="0" w:line="275" w:lineRule="auto"/>
        <w:tabs>
          <w:tab w:leader="none" w:pos="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third taxable year following the taxable year in which the REIT acquired the property (or longer if an extension is granted by the Secretary of the Treasury);</w:t>
      </w:r>
    </w:p>
    <w:p>
      <w:pPr>
        <w:spacing w:after="0" w:line="25" w:lineRule="exact"/>
        <w:rPr>
          <w:rFonts w:ascii="Times New Roman" w:cs="Times New Roman" w:eastAsia="Times New Roman" w:hAnsi="Times New Roman"/>
          <w:sz w:val="18"/>
          <w:szCs w:val="18"/>
          <w:color w:val="auto"/>
        </w:rPr>
      </w:pPr>
    </w:p>
    <w:p>
      <w:pPr>
        <w:ind w:left="800" w:right="200" w:hanging="225"/>
        <w:spacing w:after="0" w:line="262" w:lineRule="auto"/>
        <w:tabs>
          <w:tab w:leader="none" w:pos="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37" w:lineRule="exact"/>
        <w:rPr>
          <w:rFonts w:ascii="Times New Roman" w:cs="Times New Roman" w:eastAsia="Times New Roman" w:hAnsi="Times New Roman"/>
          <w:sz w:val="18"/>
          <w:szCs w:val="18"/>
          <w:color w:val="auto"/>
        </w:rPr>
      </w:pPr>
    </w:p>
    <w:p>
      <w:pPr>
        <w:ind w:left="800" w:right="60" w:hanging="225"/>
        <w:spacing w:after="0" w:line="275" w:lineRule="auto"/>
        <w:tabs>
          <w:tab w:leader="none" w:pos="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25" w:lineRule="exact"/>
        <w:rPr>
          <w:rFonts w:ascii="Times New Roman" w:cs="Times New Roman" w:eastAsia="Times New Roman" w:hAnsi="Times New Roman"/>
          <w:sz w:val="18"/>
          <w:szCs w:val="18"/>
          <w:color w:val="auto"/>
        </w:rPr>
      </w:pPr>
    </w:p>
    <w:p>
      <w:pPr>
        <w:ind w:left="800" w:right="220" w:hanging="225"/>
        <w:spacing w:after="0" w:line="339" w:lineRule="auto"/>
        <w:tabs>
          <w:tab w:leader="none" w:pos="80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57" w:lineRule="exact"/>
        <w:rPr>
          <w:sz w:val="20"/>
          <w:szCs w:val="20"/>
          <w:color w:val="auto"/>
        </w:rPr>
      </w:pPr>
    </w:p>
    <w:p>
      <w:pPr>
        <w:ind w:firstLine="57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Tax on Prohibited Transactions</w:t>
      </w:r>
      <w:r>
        <w:rPr>
          <w:rFonts w:ascii="Times New Roman" w:cs="Times New Roman" w:eastAsia="Times New Roman" w:hAnsi="Times New Roman"/>
          <w:sz w:val="18"/>
          <w:szCs w:val="18"/>
          <w:color w:val="auto"/>
        </w:rPr>
        <w:t>. A REIT will incur a 100% tax on net income derived from any “prohibited transaction.” A “prohibited transaction”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generally is a sale or other disposition of property (other than foreclosure property) that the REIT holds primarily for sale to customers in the ordinary course of a trade or business. The prohibited transaction rules do not apply to property held by a taxable subsidiary of a REIT. Not taking into account properties held by our taxable REIT subsidiaries, we believe that none of the assets we are treated as holding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 Nevertheless, we will attempt to comply with the terms of safe-harbor provisions in the Code prescribing when an asset sale will not be characterized as a prohibited transaction. We may fail to comply with such safe-harbor provisions or may own property that could be characterized as property held “primarily for sale to customers in the ordinary course of a trade or business.”</w:t>
      </w:r>
    </w:p>
    <w:p>
      <w:pPr>
        <w:spacing w:after="0" w:line="122" w:lineRule="exact"/>
        <w:rPr>
          <w:sz w:val="20"/>
          <w:szCs w:val="20"/>
          <w:color w:val="auto"/>
        </w:rPr>
      </w:pPr>
    </w:p>
    <w:p>
      <w:pPr>
        <w:ind w:firstLine="57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and Deduction Limits on Certain Transactions with Taxable REIT Subsidiaries. </w:t>
      </w:r>
      <w:r>
        <w:rPr>
          <w:rFonts w:ascii="Times New Roman" w:cs="Times New Roman" w:eastAsia="Times New Roman" w:hAnsi="Times New Roman"/>
          <w:sz w:val="18"/>
          <w:szCs w:val="18"/>
          <w:color w:val="auto"/>
        </w:rPr>
        <w:t>A REIT will incur a 100% tax on certain transactions between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6" w:lineRule="exact"/>
        <w:rPr>
          <w:sz w:val="20"/>
          <w:szCs w:val="20"/>
          <w:color w:val="auto"/>
        </w:rPr>
      </w:pPr>
    </w:p>
    <w:p>
      <w:pPr>
        <w:ind w:firstLine="57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Consequences of Failing to Meet Income Tests. </w:t>
      </w:r>
      <w:r>
        <w:rPr>
          <w:rFonts w:ascii="Times New Roman" w:cs="Times New Roman" w:eastAsia="Times New Roman" w:hAnsi="Times New Roman"/>
          <w:sz w:val="18"/>
          <w:szCs w:val="18"/>
          <w:color w:val="auto"/>
        </w:rPr>
        <w:t>If we fail to satisfy one or both of the 75% and 95% gross income tests for any taxable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580"/>
        <w:spacing w:after="0"/>
        <w:tabs>
          <w:tab w:leader="none" w:pos="1560" w:val="left"/>
        </w:tabs>
        <w:rPr>
          <w:sz w:val="20"/>
          <w:szCs w:val="20"/>
          <w:color w:val="auto"/>
        </w:rPr>
      </w:pPr>
      <w:r>
        <w:rPr>
          <w:rFonts w:ascii="Times New Roman" w:cs="Times New Roman" w:eastAsia="Times New Roman" w:hAnsi="Times New Roman"/>
          <w:sz w:val="18"/>
          <w:szCs w:val="18"/>
          <w:b w:val="1"/>
          <w:bCs w:val="1"/>
          <w:i w:val="1"/>
          <w:iCs w:val="1"/>
          <w:color w:val="auto"/>
        </w:rPr>
        <w:t>Asset Tests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To maintain our qualification as a REIT, we also must satisfy the following asset tests at the close of each quarter of each taxable year:</w:t>
      </w:r>
    </w:p>
    <w:p>
      <w:pPr>
        <w:spacing w:after="0" w:line="81" w:lineRule="exact"/>
        <w:rPr>
          <w:sz w:val="20"/>
          <w:szCs w:val="20"/>
          <w:color w:val="auto"/>
        </w:rPr>
      </w:pPr>
    </w:p>
    <w:p>
      <w:pPr>
        <w:ind w:left="800" w:right="460" w:hanging="225"/>
        <w:spacing w:after="0" w:line="275" w:lineRule="auto"/>
        <w:tabs>
          <w:tab w:leader="none" w:pos="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the value of our total assets must consist of cash or cash items (including certain receivables), government securities, “real estate assets,” or qualifying temporary investments (the “75% asset test”).</w:t>
      </w:r>
    </w:p>
    <w:p>
      <w:pPr>
        <w:spacing w:after="0" w:line="25" w:lineRule="exact"/>
        <w:rPr>
          <w:rFonts w:ascii="Times New Roman" w:cs="Times New Roman" w:eastAsia="Times New Roman" w:hAnsi="Times New Roman"/>
          <w:sz w:val="18"/>
          <w:szCs w:val="18"/>
          <w:color w:val="auto"/>
        </w:rPr>
      </w:pPr>
    </w:p>
    <w:p>
      <w:pPr>
        <w:ind w:left="1260" w:right="480" w:hanging="455"/>
        <w:spacing w:after="0" w:line="275" w:lineRule="auto"/>
        <w:tabs>
          <w:tab w:leader="none" w:pos="12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assets” include interests in real property, interests in mortgages on real property and stock in other REITs. We believe that the properties qualify as real estate assets.</w:t>
      </w:r>
    </w:p>
    <w:p>
      <w:pPr>
        <w:spacing w:after="0" w:line="25" w:lineRule="exact"/>
        <w:rPr>
          <w:rFonts w:ascii="Times New Roman" w:cs="Times New Roman" w:eastAsia="Times New Roman" w:hAnsi="Times New Roman"/>
          <w:sz w:val="18"/>
          <w:szCs w:val="18"/>
          <w:color w:val="auto"/>
        </w:rPr>
      </w:pPr>
    </w:p>
    <w:p>
      <w:pPr>
        <w:ind w:left="1260" w:right="80" w:hanging="455"/>
        <w:spacing w:after="0" w:line="262" w:lineRule="auto"/>
        <w:tabs>
          <w:tab w:leader="none" w:pos="12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37" w:lineRule="exact"/>
        <w:rPr>
          <w:rFonts w:ascii="Times New Roman" w:cs="Times New Roman" w:eastAsia="Times New Roman" w:hAnsi="Times New Roman"/>
          <w:sz w:val="18"/>
          <w:szCs w:val="18"/>
          <w:color w:val="auto"/>
        </w:rPr>
      </w:pPr>
    </w:p>
    <w:p>
      <w:pPr>
        <w:ind w:left="1260" w:right="140" w:hanging="455"/>
        <w:spacing w:after="0" w:line="275" w:lineRule="auto"/>
        <w:tabs>
          <w:tab w:leader="none" w:pos="12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25" w:lineRule="exact"/>
        <w:rPr>
          <w:rFonts w:ascii="Times New Roman" w:cs="Times New Roman" w:eastAsia="Times New Roman" w:hAnsi="Times New Roman"/>
          <w:sz w:val="18"/>
          <w:szCs w:val="18"/>
          <w:color w:val="auto"/>
        </w:rPr>
      </w:pPr>
    </w:p>
    <w:p>
      <w:pPr>
        <w:ind w:left="800" w:right="20" w:hanging="225"/>
        <w:spacing w:after="0" w:line="253" w:lineRule="auto"/>
        <w:tabs>
          <w:tab w:leader="none" w:pos="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not included in the 75% asset test, (A) the value of our interest in any one issuer’s securities (which does not include our equity ownership of other REITs, any qualified REIT subsidiary, or any taxable REIT subsidiary) may not exceed 5% of the value of our total assets (the “5% asset test”), (B) we generally may not own more than 10% of the voting power or value of any one issuer’s outstanding securities, which does not include our equity ownership in other REITs, any qualified REIT subsidiary, or any taxable REIT subsidiary (the “10% asset test”), and (C) the value of our securities in one or more taxable REIT subsidiaries may not exceed 20% of the value of our total assets.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w:t>
      </w:r>
    </w:p>
    <w:p>
      <w:pPr>
        <w:spacing w:after="0" w:line="1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intend to select future investments so as to comply with the asset tests.</w:t>
      </w:r>
    </w:p>
    <w:p>
      <w:pPr>
        <w:spacing w:after="0" w:line="158" w:lineRule="exact"/>
        <w:rPr>
          <w:sz w:val="20"/>
          <w:szCs w:val="20"/>
          <w:color w:val="auto"/>
        </w:rPr>
      </w:pPr>
    </w:p>
    <w:p>
      <w:pPr>
        <w:ind w:right="80" w:firstLine="571"/>
        <w:spacing w:after="0" w:line="256" w:lineRule="auto"/>
        <w:rPr>
          <w:sz w:val="20"/>
          <w:szCs w:val="20"/>
          <w:color w:val="auto"/>
        </w:rPr>
      </w:pPr>
      <w:r>
        <w:rPr>
          <w:rFonts w:ascii="Times New Roman" w:cs="Times New Roman" w:eastAsia="Times New Roman" w:hAnsi="Times New Roman"/>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21" w:lineRule="exact"/>
        <w:rPr>
          <w:sz w:val="20"/>
          <w:szCs w:val="20"/>
          <w:color w:val="auto"/>
        </w:rPr>
      </w:pPr>
    </w:p>
    <w:p>
      <w:pPr>
        <w:ind w:right="60" w:firstLine="571"/>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Relief from Consequences of Failing to Meet Asset Tests. </w:t>
      </w:r>
      <w:r>
        <w:rPr>
          <w:rFonts w:ascii="Times New Roman" w:cs="Times New Roman" w:eastAsia="Times New Roman" w:hAnsi="Times New Roman"/>
          <w:sz w:val="16"/>
          <w:szCs w:val="16"/>
          <w:color w:val="auto"/>
        </w:rPr>
        <w:t>If we fail to satisfy one or more of the asset tests for any quarter of a taxable year, we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2" w:lineRule="exact"/>
        <w:rPr>
          <w:sz w:val="20"/>
          <w:szCs w:val="20"/>
          <w:color w:val="auto"/>
        </w:rPr>
      </w:pPr>
    </w:p>
    <w:p>
      <w:pPr>
        <w:ind w:firstLine="8"/>
        <w:spacing w:after="0" w:line="253" w:lineRule="auto"/>
        <w:tabs>
          <w:tab w:leader="none" w:pos="25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assest tests within 6 months following the quarter in which it was discovered, and (iv) we pay a tax</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15" w:lineRule="exact"/>
        <w:rPr>
          <w:sz w:val="20"/>
          <w:szCs w:val="20"/>
          <w:color w:val="auto"/>
        </w:rPr>
      </w:pPr>
    </w:p>
    <w:p>
      <w:pPr>
        <w:ind w:right="140" w:firstLine="57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Distribution Requirements. </w:t>
      </w:r>
      <w:r>
        <w:rPr>
          <w:rFonts w:ascii="Times New Roman" w:cs="Times New Roman" w:eastAsia="Times New Roman" w:hAnsi="Times New Roman"/>
          <w:sz w:val="18"/>
          <w:szCs w:val="18"/>
          <w:color w:val="auto"/>
        </w:rPr>
        <w:t>Each taxable year, we must distribute dividends (other than capital gain dividends and deemed distributions of retained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20"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following taxable year and pay the distribution on or before the first regular dividend payment date after such declaration.</w:t>
      </w:r>
    </w:p>
    <w:p>
      <w:pPr>
        <w:spacing w:after="0" w:line="123" w:lineRule="exact"/>
        <w:rPr>
          <w:sz w:val="20"/>
          <w:szCs w:val="20"/>
          <w:color w:val="auto"/>
        </w:rPr>
      </w:pPr>
    </w:p>
    <w:p>
      <w:pPr>
        <w:ind w:firstLine="571"/>
        <w:spacing w:after="0" w:line="291" w:lineRule="auto"/>
        <w:rPr>
          <w:sz w:val="20"/>
          <w:szCs w:val="20"/>
          <w:color w:val="auto"/>
        </w:rPr>
      </w:pPr>
      <w:r>
        <w:rPr>
          <w:rFonts w:ascii="Times New Roman" w:cs="Times New Roman" w:eastAsia="Times New Roman" w:hAnsi="Times New Roman"/>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00" w:lineRule="exact"/>
        <w:rPr>
          <w:sz w:val="20"/>
          <w:szCs w:val="20"/>
          <w:color w:val="auto"/>
        </w:rPr>
      </w:pPr>
    </w:p>
    <w:p>
      <w:pPr>
        <w:ind w:right="40" w:firstLine="571"/>
        <w:spacing w:after="0" w:line="255" w:lineRule="auto"/>
        <w:rPr>
          <w:sz w:val="20"/>
          <w:szCs w:val="20"/>
          <w:color w:val="auto"/>
        </w:rPr>
      </w:pPr>
      <w:r>
        <w:rPr>
          <w:rFonts w:ascii="Times New Roman" w:cs="Times New Roman" w:eastAsia="Times New Roman" w:hAnsi="Times New Roman"/>
          <w:sz w:val="18"/>
          <w:szCs w:val="18"/>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net capital gain attributable to the sale of depreciated property that exceeds our allocable share of cash attributable to that sale. As a result of the foregoing, we may have less cash than is necessary to distribute all of our taxable income and thereby avoid corporate income tax and the excise tax imposed on certain undistributed income. In such a situation, we may need to borrow funds or issue preferred shares or additional common shares.</w:t>
      </w:r>
    </w:p>
    <w:p>
      <w:pPr>
        <w:spacing w:after="0" w:line="126" w:lineRule="exact"/>
        <w:rPr>
          <w:sz w:val="20"/>
          <w:szCs w:val="20"/>
          <w:color w:val="auto"/>
        </w:rPr>
      </w:pPr>
    </w:p>
    <w:p>
      <w:pPr>
        <w:ind w:right="60" w:firstLine="571"/>
        <w:spacing w:after="0" w:line="258" w:lineRule="auto"/>
        <w:rPr>
          <w:sz w:val="20"/>
          <w:szCs w:val="20"/>
          <w:color w:val="auto"/>
        </w:rPr>
      </w:pPr>
      <w:r>
        <w:rPr>
          <w:rFonts w:ascii="Times New Roman" w:cs="Times New Roman" w:eastAsia="Times New Roman" w:hAnsi="Times New Roman"/>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19" w:lineRule="exact"/>
        <w:rPr>
          <w:sz w:val="20"/>
          <w:szCs w:val="20"/>
          <w:color w:val="auto"/>
        </w:rPr>
      </w:pPr>
    </w:p>
    <w:p>
      <w:pPr>
        <w:jc w:val="both"/>
        <w:ind w:right="40" w:firstLine="57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Record Keeping Requirements</w:t>
      </w:r>
      <w:r>
        <w:rPr>
          <w:rFonts w:ascii="Times New Roman" w:cs="Times New Roman" w:eastAsia="Times New Roman" w:hAnsi="Times New Roman"/>
          <w:sz w:val="18"/>
          <w:szCs w:val="18"/>
          <w:color w:val="auto"/>
        </w:rPr>
        <w:t>. We must maintain certain records to qualify as a REIT. In addition, to avoid a monetary penalty, we must request on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basis certain information from our shareholders designed to disclose the actual ownership of our outstanding shares. We have complied, and we intend to continue to comply, with such requirements.</w:t>
      </w:r>
    </w:p>
    <w:p>
      <w:pPr>
        <w:spacing w:after="0" w:line="111" w:lineRule="exact"/>
        <w:rPr>
          <w:sz w:val="20"/>
          <w:szCs w:val="20"/>
          <w:color w:val="auto"/>
        </w:rPr>
      </w:pPr>
    </w:p>
    <w:p>
      <w:pPr>
        <w:ind w:right="220" w:firstLine="57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Other Failures of the REIT Qualification Provisions. </w:t>
      </w:r>
      <w:r>
        <w:rPr>
          <w:rFonts w:ascii="Times New Roman" w:cs="Times New Roman" w:eastAsia="Times New Roman" w:hAnsi="Times New Roman"/>
          <w:sz w:val="18"/>
          <w:szCs w:val="18"/>
          <w:color w:val="auto"/>
        </w:rPr>
        <w:t>If we fail to satisfy one or more of the requirements for REIT qualification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the income tests or the asset tests), we nevertheless may</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02" w:lineRule="exact"/>
        <w:rPr>
          <w:sz w:val="20"/>
          <w:szCs w:val="20"/>
          <w:color w:val="auto"/>
        </w:rPr>
      </w:pPr>
    </w:p>
    <w:p>
      <w:pPr>
        <w:ind w:right="40" w:firstLine="57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Failure to Qualify. </w:t>
      </w:r>
      <w:r>
        <w:rPr>
          <w:rFonts w:ascii="Times New Roman" w:cs="Times New Roman" w:eastAsia="Times New Roman" w:hAnsi="Times New Roman"/>
          <w:sz w:val="18"/>
          <w:szCs w:val="18"/>
          <w:color w:val="auto"/>
        </w:rPr>
        <w:t>If we fail to qualify as a REIT in any taxable year, and no relief provision applied, we would be subject to federal income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any applicable alternative minimum tax) on our taxable income at regular corporate rates. In calculating our taxable income in a year in which we fail to qualify as a REIT, we would not be able to deduct amounts paid out to shareholders. In fact, we would not be required to distribute any amounts to shareholders in such year. In such event, to the extent of our earnings and profits, all distributions to shareholders would be taxable as ordinary income. Such distributions would, however, be “qualified dividend income,” which is taxable at long-term capital gain rates for individual shareholders.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Taxable U.S. Shareholders</w:t>
      </w:r>
    </w:p>
    <w:p>
      <w:pPr>
        <w:spacing w:after="0" w:line="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As used herein, the term “taxable U.S. shareholder” means a taxable holder of common or preferred shares that for U.S. federal income tax purposes is</w:t>
      </w:r>
    </w:p>
    <w:p>
      <w:pPr>
        <w:spacing w:after="0" w:line="100" w:lineRule="exact"/>
        <w:rPr>
          <w:sz w:val="20"/>
          <w:szCs w:val="20"/>
          <w:color w:val="auto"/>
        </w:rPr>
      </w:pPr>
    </w:p>
    <w:p>
      <w:pPr>
        <w:ind w:left="800" w:hanging="225"/>
        <w:spacing w:after="0"/>
        <w:tabs>
          <w:tab w:leader="none" w:pos="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partnership, or other entity created or organized in or under the laws of the United States, any of its states or the District of Columbia;</w:t>
      </w:r>
    </w:p>
    <w:p>
      <w:pPr>
        <w:spacing w:after="0" w:line="126" w:lineRule="exact"/>
        <w:rPr>
          <w:rFonts w:ascii="Times New Roman" w:cs="Times New Roman" w:eastAsia="Times New Roman" w:hAnsi="Times New Roman"/>
          <w:sz w:val="16"/>
          <w:szCs w:val="16"/>
          <w:color w:val="auto"/>
        </w:rPr>
      </w:pPr>
    </w:p>
    <w:p>
      <w:pPr>
        <w:ind w:left="800" w:hanging="225"/>
        <w:spacing w:after="0"/>
        <w:tabs>
          <w:tab w:leader="none" w:pos="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103" w:lineRule="exact"/>
        <w:rPr>
          <w:rFonts w:ascii="Times New Roman" w:cs="Times New Roman" w:eastAsia="Times New Roman" w:hAnsi="Times New Roman"/>
          <w:sz w:val="18"/>
          <w:szCs w:val="18"/>
          <w:color w:val="auto"/>
        </w:rPr>
      </w:pPr>
    </w:p>
    <w:p>
      <w:pPr>
        <w:ind w:left="800" w:right="140" w:hanging="225"/>
        <w:spacing w:after="0" w:line="258" w:lineRule="auto"/>
        <w:tabs>
          <w:tab w:leader="none" w:pos="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with respect to which (A) a U.S. court is able to exercise primary supervision over the administration of such trust and (B) one or more U.S. persons have the authority to control all substantial decisions of the trust. Notwithstanding the preceding sentence, to the extent provided in the Treasury regulations, some trusts in existence on August 20, 1996, and treated as United States persons prior to this date that elect to continue to be treated as United States persons, shall be considered taxable U.S. shareholders.</w:t>
      </w:r>
    </w:p>
    <w:p>
      <w:pPr>
        <w:spacing w:after="0" w:line="123" w:lineRule="exact"/>
        <w:rPr>
          <w:sz w:val="20"/>
          <w:szCs w:val="20"/>
          <w:color w:val="auto"/>
        </w:rPr>
      </w:pPr>
    </w:p>
    <w:p>
      <w:pPr>
        <w:ind w:right="100" w:firstLine="571"/>
        <w:spacing w:after="0" w:line="275" w:lineRule="auto"/>
        <w:rPr>
          <w:sz w:val="20"/>
          <w:szCs w:val="20"/>
          <w:color w:val="auto"/>
        </w:rPr>
      </w:pPr>
      <w:r>
        <w:rPr>
          <w:rFonts w:ascii="Times New Roman" w:cs="Times New Roman" w:eastAsia="Times New Roman" w:hAnsi="Times New Roman"/>
          <w:sz w:val="18"/>
          <w:szCs w:val="18"/>
          <w:color w:val="auto"/>
        </w:rPr>
        <w:t>If a partnership, including an entity that is treated as a partnership for U.S. federal income tax purposes, is a beneficial owner of our shares, the treatment of a partner in the partnership will generally depend on the status of the partner and the activities of the partnership.</w:t>
      </w:r>
    </w:p>
    <w:p>
      <w:pPr>
        <w:spacing w:after="0" w:line="106" w:lineRule="exact"/>
        <w:rPr>
          <w:sz w:val="20"/>
          <w:szCs w:val="20"/>
          <w:color w:val="auto"/>
        </w:rPr>
      </w:pPr>
    </w:p>
    <w:p>
      <w:pPr>
        <w:ind w:firstLine="571"/>
        <w:spacing w:after="0" w:line="339" w:lineRule="auto"/>
        <w:rPr>
          <w:sz w:val="20"/>
          <w:szCs w:val="20"/>
          <w:color w:val="auto"/>
        </w:rPr>
      </w:pPr>
      <w:r>
        <w:rPr>
          <w:rFonts w:ascii="Times New Roman" w:cs="Times New Roman" w:eastAsia="Times New Roman" w:hAnsi="Times New Roman"/>
          <w:sz w:val="16"/>
          <w:szCs w:val="16"/>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our depositary receipts.</w:t>
      </w:r>
    </w:p>
    <w:p>
      <w:pPr>
        <w:spacing w:after="0" w:line="57" w:lineRule="exact"/>
        <w:rPr>
          <w:sz w:val="20"/>
          <w:szCs w:val="20"/>
          <w:color w:val="auto"/>
        </w:rPr>
      </w:pPr>
    </w:p>
    <w:p>
      <w:pPr>
        <w:ind w:firstLine="571"/>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 xml:space="preserve">Dividends and Other Taxable U.S. Shareholder Distributions. </w:t>
      </w:r>
      <w:r>
        <w:rPr>
          <w:rFonts w:ascii="Times New Roman" w:cs="Times New Roman" w:eastAsia="Times New Roman" w:hAnsi="Times New Roman"/>
          <w:sz w:val="16"/>
          <w:szCs w:val="16"/>
          <w:color w:val="auto"/>
        </w:rPr>
        <w:t>As long as we qualify as a REIT, a taxable U.S. shareholder must take into account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distributions on our common and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w:t>
      </w:r>
    </w:p>
    <w:p>
      <w:pPr>
        <w:spacing w:after="0" w:line="81" w:lineRule="exact"/>
        <w:rPr>
          <w:sz w:val="20"/>
          <w:szCs w:val="20"/>
          <w:color w:val="auto"/>
        </w:rPr>
      </w:pPr>
    </w:p>
    <w:p>
      <w:pPr>
        <w:ind w:right="120" w:firstLine="571"/>
        <w:spacing w:after="0" w:line="262" w:lineRule="auto"/>
        <w:rPr>
          <w:sz w:val="20"/>
          <w:szCs w:val="20"/>
          <w:color w:val="auto"/>
        </w:rPr>
      </w:pPr>
      <w:r>
        <w:rPr>
          <w:rFonts w:ascii="Times New Roman" w:cs="Times New Roman" w:eastAsia="Times New Roman" w:hAnsi="Times New Roman"/>
          <w:sz w:val="18"/>
          <w:szCs w:val="18"/>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23" w:lineRule="exact"/>
        <w:rPr>
          <w:sz w:val="20"/>
          <w:szCs w:val="20"/>
          <w:color w:val="auto"/>
        </w:rPr>
      </w:pPr>
    </w:p>
    <w:p>
      <w:pPr>
        <w:ind w:right="200" w:firstLine="571"/>
        <w:spacing w:after="0" w:line="301" w:lineRule="auto"/>
        <w:rPr>
          <w:sz w:val="20"/>
          <w:szCs w:val="20"/>
          <w:color w:val="auto"/>
        </w:rPr>
      </w:pPr>
      <w:r>
        <w:rPr>
          <w:rFonts w:ascii="Times New Roman" w:cs="Times New Roman" w:eastAsia="Times New Roman" w:hAnsi="Times New Roman"/>
          <w:sz w:val="16"/>
          <w:szCs w:val="16"/>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90" w:lineRule="exact"/>
        <w:rPr>
          <w:sz w:val="20"/>
          <w:szCs w:val="20"/>
          <w:color w:val="auto"/>
        </w:rPr>
      </w:pPr>
    </w:p>
    <w:p>
      <w:pPr>
        <w:ind w:right="380" w:firstLine="571"/>
        <w:spacing w:after="0" w:line="258" w:lineRule="auto"/>
        <w:rPr>
          <w:sz w:val="20"/>
          <w:szCs w:val="20"/>
          <w:color w:val="auto"/>
        </w:rPr>
      </w:pPr>
      <w:r>
        <w:rPr>
          <w:rFonts w:ascii="Times New Roman" w:cs="Times New Roman" w:eastAsia="Times New Roman" w:hAnsi="Times New Roman"/>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23" w:lineRule="exact"/>
        <w:rPr>
          <w:sz w:val="20"/>
          <w:szCs w:val="20"/>
          <w:color w:val="auto"/>
        </w:rPr>
      </w:pPr>
    </w:p>
    <w:p>
      <w:pPr>
        <w:ind w:right="40" w:firstLine="571"/>
        <w:spacing w:after="0" w:line="253" w:lineRule="auto"/>
        <w:rPr>
          <w:sz w:val="20"/>
          <w:szCs w:val="20"/>
          <w:color w:val="auto"/>
        </w:rPr>
      </w:pPr>
      <w:r>
        <w:rPr>
          <w:rFonts w:ascii="Times New Roman" w:cs="Times New Roman" w:eastAsia="Times New Roman" w:hAnsi="Times New Roman"/>
          <w:sz w:val="18"/>
          <w:szCs w:val="18"/>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ordinary income or capital gain dividends.</w:t>
      </w:r>
    </w:p>
    <w:p>
      <w:pPr>
        <w:spacing w:after="0" w:line="126"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Taxation of Taxable U.S. Shareholders on the Disposition of Our Shares. </w:t>
      </w:r>
      <w:r>
        <w:rPr>
          <w:rFonts w:ascii="Times New Roman" w:cs="Times New Roman" w:eastAsia="Times New Roman" w:hAnsi="Times New Roman"/>
          <w:sz w:val="18"/>
          <w:szCs w:val="18"/>
          <w:color w:val="auto"/>
        </w:rPr>
        <w:t>In general, a taxable U.S. shareholder who is not a dealer in securities must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 any gain or loss realized upon a taxable disposition of the common or preferred shares as long-term capital gain or loss if the taxable U.S. shareholder has held its shares for more than one year and otherwise as short-term capital gain or loss.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or preferred shares may be disallowed if the taxable U.S. shareholder purchases substantially identical shares within the 61-day period beginning 30 days before and ending 30 days after the disposition.</w:t>
      </w:r>
    </w:p>
    <w:p>
      <w:pPr>
        <w:spacing w:after="0" w:line="122" w:lineRule="exact"/>
        <w:rPr>
          <w:sz w:val="20"/>
          <w:szCs w:val="20"/>
          <w:color w:val="auto"/>
        </w:rPr>
      </w:pPr>
    </w:p>
    <w:p>
      <w:pPr>
        <w:ind w:right="20" w:firstLine="57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Gains and Losses. </w:t>
      </w:r>
      <w:r>
        <w:rPr>
          <w:rFonts w:ascii="Times New Roman" w:cs="Times New Roman" w:eastAsia="Times New Roman" w:hAnsi="Times New Roman"/>
          <w:sz w:val="18"/>
          <w:szCs w:val="18"/>
          <w:color w:val="auto"/>
        </w:rPr>
        <w:t>A taxpayer generally must hold a capital asset for more than one year for gain or loss derived from its sale or exchange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treated as long-term capital gain or loss. The highest marginal individual income tax rate on ordinary income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55" w:right="2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The tax rate differential between capital gain and ordinary income for non-corporate taxpayers is significant.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generally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21" w:lineRule="exact"/>
        <w:rPr>
          <w:sz w:val="20"/>
          <w:szCs w:val="20"/>
          <w:color w:val="auto"/>
        </w:rPr>
      </w:pPr>
    </w:p>
    <w:p>
      <w:pPr>
        <w:ind w:right="20" w:firstLine="57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Preferred Shares for Cash. </w:t>
      </w:r>
      <w:r>
        <w:rPr>
          <w:rFonts w:ascii="Times New Roman" w:cs="Times New Roman" w:eastAsia="Times New Roman" w:hAnsi="Times New Roman"/>
          <w:sz w:val="18"/>
          <w:szCs w:val="18"/>
          <w:color w:val="auto"/>
        </w:rPr>
        <w:t>The treatment accorded to any redemption by us for cash (as distinguished from a sale, exchange or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29" w:lineRule="exact"/>
        <w:rPr>
          <w:sz w:val="20"/>
          <w:szCs w:val="20"/>
          <w:color w:val="auto"/>
        </w:rPr>
      </w:pPr>
    </w:p>
    <w:p>
      <w:pPr>
        <w:ind w:right="40" w:firstLine="571"/>
        <w:spacing w:after="0" w:line="290" w:lineRule="auto"/>
        <w:rPr>
          <w:sz w:val="20"/>
          <w:szCs w:val="20"/>
          <w:color w:val="auto"/>
        </w:rPr>
      </w:pPr>
      <w:r>
        <w:rPr>
          <w:rFonts w:ascii="Times New Roman" w:cs="Times New Roman" w:eastAsia="Times New Roman" w:hAnsi="Times New Roman"/>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99" w:lineRule="exact"/>
        <w:rPr>
          <w:sz w:val="20"/>
          <w:szCs w:val="20"/>
          <w:color w:val="auto"/>
        </w:rPr>
      </w:pPr>
    </w:p>
    <w:p>
      <w:pPr>
        <w:ind w:right="180" w:firstLine="571"/>
        <w:spacing w:after="0" w:line="258" w:lineRule="auto"/>
        <w:rPr>
          <w:sz w:val="20"/>
          <w:szCs w:val="20"/>
          <w:color w:val="auto"/>
        </w:rPr>
      </w:pPr>
      <w:r>
        <w:rPr>
          <w:rFonts w:ascii="Times New Roman" w:cs="Times New Roman" w:eastAsia="Times New Roman" w:hAnsi="Times New Roman"/>
          <w:sz w:val="18"/>
          <w:szCs w:val="18"/>
          <w:color w:val="auto"/>
        </w:rPr>
        <w:t>Proposed Treasury Regulations would, if adopted, alter the method for recovering a taxable U.S. shareholder’s adjusted tax basis in any of our shares redeemed in a dividend equivalent redemption. Under the Proposed Treasury Regulations, a holder would be treated as realizing a capital loss on the date of the dividend equivalent redemption equal to the adjusted tax basis of the shares redeemed, subject to adjustments. The recognition of such loss would generally be deferred until the occurrence of specified events,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such as, for example, the holder’s ceasing to actually or constructively own any shares. There can be no assurance that the Proposed Treasury Regulations will be adopted, or that they will be adopted in their current form.</w:t>
      </w:r>
    </w:p>
    <w:p>
      <w:pPr>
        <w:spacing w:after="0" w:line="102" w:lineRule="exact"/>
        <w:rPr>
          <w:sz w:val="20"/>
          <w:szCs w:val="20"/>
          <w:color w:val="auto"/>
        </w:rPr>
      </w:pPr>
    </w:p>
    <w:p>
      <w:pPr>
        <w:ind w:right="20" w:firstLine="57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or Conversion of Preferred Shares to Common Shares. </w:t>
      </w:r>
      <w:r>
        <w:rPr>
          <w:rFonts w:ascii="Times New Roman" w:cs="Times New Roman" w:eastAsia="Times New Roman" w:hAnsi="Times New Roman"/>
          <w:sz w:val="18"/>
          <w:szCs w:val="18"/>
          <w:color w:val="auto"/>
        </w:rPr>
        <w:t>Assuming that preferred shares will not be redeemed or converted at a time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are distributions in arrears, in general, no gain or loss will be recognized for federal income tax purposes upon the redemption or conversion of our preferred shares at the option of the holder solely into common shares. The basis that a taxable U.S. shareholder will have for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26" w:lineRule="exact"/>
        <w:rPr>
          <w:sz w:val="20"/>
          <w:szCs w:val="20"/>
          <w:color w:val="auto"/>
        </w:rPr>
      </w:pPr>
    </w:p>
    <w:p>
      <w:pPr>
        <w:ind w:right="160" w:firstLine="571"/>
        <w:spacing w:after="0" w:line="339" w:lineRule="auto"/>
        <w:rPr>
          <w:sz w:val="20"/>
          <w:szCs w:val="20"/>
          <w:color w:val="auto"/>
        </w:rPr>
      </w:pPr>
      <w:r>
        <w:rPr>
          <w:rFonts w:ascii="Times New Roman" w:cs="Times New Roman" w:eastAsia="Times New Roman" w:hAnsi="Times New Roman"/>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57" w:lineRule="exact"/>
        <w:rPr>
          <w:sz w:val="20"/>
          <w:szCs w:val="20"/>
          <w:color w:val="auto"/>
        </w:rPr>
      </w:pPr>
    </w:p>
    <w:p>
      <w:pPr>
        <w:ind w:firstLine="57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Adjustments to Conversion Price. </w:t>
      </w:r>
      <w:r>
        <w:rPr>
          <w:rFonts w:ascii="Times New Roman" w:cs="Times New Roman" w:eastAsia="Times New Roman" w:hAnsi="Times New Roman"/>
          <w:sz w:val="18"/>
          <w:szCs w:val="18"/>
          <w:color w:val="auto"/>
        </w:rPr>
        <w:t>Under Section 305 of the Code, holders of preferred shares may be deemed to have received a constructive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reasonable adjustment formula that has the effect of preventing dilution of the interest of the holders, however, will generally not be considered to result in a constructive distribution of shares. Certain of the possible adjustments provided in the preferred shares may not qualify as being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reasonable adjustment formula. If a nonqualifying adjustment were made, the holders of preferred shares might be deemed to have received a taxable stock dividend.</w:t>
      </w:r>
    </w:p>
    <w:p>
      <w:pPr>
        <w:spacing w:after="0" w:line="120" w:lineRule="exact"/>
        <w:rPr>
          <w:sz w:val="20"/>
          <w:szCs w:val="20"/>
          <w:color w:val="auto"/>
        </w:rPr>
      </w:pPr>
    </w:p>
    <w:p>
      <w:pPr>
        <w:ind w:right="20" w:firstLine="57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Current Tax Rates. </w:t>
      </w:r>
      <w:r>
        <w:rPr>
          <w:rFonts w:ascii="Times New Roman" w:cs="Times New Roman" w:eastAsia="Times New Roman" w:hAnsi="Times New Roman"/>
          <w:sz w:val="18"/>
          <w:szCs w:val="18"/>
          <w:color w:val="auto"/>
        </w:rPr>
        <w:t>The maximum tax rate on the long-term capital gains of domestic non-corporate taxpayers is 15% for taxable years beginning 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before December 31, 2010.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the 15% rate does generally apply to:</w:t>
      </w:r>
    </w:p>
    <w:p>
      <w:pPr>
        <w:spacing w:after="0" w:line="44" w:lineRule="exact"/>
        <w:rPr>
          <w:sz w:val="20"/>
          <w:szCs w:val="20"/>
          <w:color w:val="auto"/>
        </w:rPr>
      </w:pPr>
    </w:p>
    <w:p>
      <w:pPr>
        <w:ind w:left="800" w:hanging="225"/>
        <w:spacing w:after="0"/>
        <w:tabs>
          <w:tab w:leader="none" w:pos="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shareholder’s long-term capital gain, if any, recognized on the disposition of our shares;</w:t>
      </w:r>
    </w:p>
    <w:p>
      <w:pPr>
        <w:spacing w:after="0" w:line="103" w:lineRule="exact"/>
        <w:rPr>
          <w:rFonts w:ascii="Times New Roman" w:cs="Times New Roman" w:eastAsia="Times New Roman" w:hAnsi="Times New Roman"/>
          <w:sz w:val="18"/>
          <w:szCs w:val="18"/>
          <w:color w:val="auto"/>
        </w:rPr>
      </w:pPr>
    </w:p>
    <w:p>
      <w:pPr>
        <w:ind w:left="800" w:right="200" w:hanging="225"/>
        <w:spacing w:after="0" w:line="275" w:lineRule="auto"/>
        <w:tabs>
          <w:tab w:leader="none" w:pos="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we designate as long-term capital gain dividends (except to the extent attributable to real estate depreciation, in which case the 25% tax rate applies);</w:t>
      </w:r>
    </w:p>
    <w:p>
      <w:pPr>
        <w:spacing w:after="0" w:line="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attributable to dividends we receive from non-REIT corporations (including our taxable REIT subsidiaries); and</w:t>
      </w:r>
    </w:p>
    <w:p>
      <w:pPr>
        <w:spacing w:after="0" w:line="103" w:lineRule="exact"/>
        <w:rPr>
          <w:rFonts w:ascii="Times New Roman" w:cs="Times New Roman" w:eastAsia="Times New Roman" w:hAnsi="Times New Roman"/>
          <w:sz w:val="18"/>
          <w:szCs w:val="18"/>
          <w:color w:val="auto"/>
        </w:rPr>
      </w:pPr>
    </w:p>
    <w:p>
      <w:pPr>
        <w:ind w:left="800" w:right="60" w:hanging="225"/>
        <w:spacing w:after="0" w:line="275" w:lineRule="auto"/>
        <w:tabs>
          <w:tab w:leader="none" w:pos="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the extent attributable to income upon which we have paid corporate tax (for example, the tax we would pay if we distributed less than all of our taxable REIT income).</w:t>
      </w:r>
    </w:p>
    <w:p>
      <w:pPr>
        <w:spacing w:after="0" w:line="106" w:lineRule="exact"/>
        <w:rPr>
          <w:sz w:val="20"/>
          <w:szCs w:val="20"/>
          <w:color w:val="auto"/>
        </w:rPr>
      </w:pPr>
    </w:p>
    <w:p>
      <w:pPr>
        <w:ind w:right="40" w:firstLine="571"/>
        <w:spacing w:after="0" w:line="275" w:lineRule="auto"/>
        <w:rPr>
          <w:sz w:val="20"/>
          <w:szCs w:val="20"/>
          <w:color w:val="auto"/>
        </w:rPr>
      </w:pPr>
      <w:r>
        <w:rPr>
          <w:rFonts w:ascii="Times New Roman" w:cs="Times New Roman" w:eastAsia="Times New Roman" w:hAnsi="Times New Roman"/>
          <w:sz w:val="18"/>
          <w:szCs w:val="18"/>
          <w:color w:val="auto"/>
        </w:rPr>
        <w:t>Without legislation, the maximum tax rate on long-term capital gains will increase to 20% in 2011, and qualified dividend income will no longer be taxed at a preferential rate compared to ordinary income.</w:t>
      </w:r>
    </w:p>
    <w:p>
      <w:pPr>
        <w:spacing w:after="0" w:line="102" w:lineRule="exact"/>
        <w:rPr>
          <w:sz w:val="20"/>
          <w:szCs w:val="20"/>
          <w:color w:val="auto"/>
        </w:rPr>
      </w:pPr>
    </w:p>
    <w:p>
      <w:pPr>
        <w:ind w:right="200" w:firstLine="57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Information Reporting and Backup Withholding. </w:t>
      </w:r>
      <w:r>
        <w:rPr>
          <w:rFonts w:ascii="Times New Roman" w:cs="Times New Roman" w:eastAsia="Times New Roman" w:hAnsi="Times New Roman"/>
          <w:sz w:val="18"/>
          <w:szCs w:val="18"/>
          <w:color w:val="auto"/>
        </w:rPr>
        <w:t>We will report to our shareholders and to the IRS the amount of dividends we pay during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calendar year, and the amount of tax we withhold, if any. Under the backup withholding rules, a shareholder may be subject to backup withholding (currently at the rate of</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Any amount paid as backup withholding will be creditable against the U.S. shareholder’s income tax liability. In addition, we may be required to withhold a portion of capital gain distributions to any shareholders who fail to certify their non-foreign status to us.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Tax-Exempt U.S. Shareholders</w:t>
      </w:r>
    </w:p>
    <w:p>
      <w:pPr>
        <w:spacing w:after="0" w:line="79" w:lineRule="exact"/>
        <w:rPr>
          <w:sz w:val="20"/>
          <w:szCs w:val="20"/>
          <w:color w:val="auto"/>
        </w:rPr>
      </w:pPr>
    </w:p>
    <w:p>
      <w:pPr>
        <w:ind w:right="20" w:firstLine="571"/>
        <w:spacing w:after="0" w:line="252" w:lineRule="auto"/>
        <w:rPr>
          <w:sz w:val="20"/>
          <w:szCs w:val="20"/>
          <w:color w:val="auto"/>
        </w:rPr>
      </w:pPr>
      <w:r>
        <w:rPr>
          <w:rFonts w:ascii="Times New Roman" w:cs="Times New Roman" w:eastAsia="Times New Roman" w:hAnsi="Times New Roman"/>
          <w:sz w:val="18"/>
          <w:szCs w:val="18"/>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50" w:lineRule="exact"/>
        <w:rPr>
          <w:sz w:val="20"/>
          <w:szCs w:val="20"/>
          <w:color w:val="auto"/>
        </w:rPr>
      </w:pPr>
    </w:p>
    <w:p>
      <w:pPr>
        <w:ind w:left="800" w:hanging="225"/>
        <w:spacing w:after="0"/>
        <w:tabs>
          <w:tab w:leader="none" w:pos="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UBTI Percentage is at least 5%;</w:t>
      </w:r>
    </w:p>
    <w:p>
      <w:pPr>
        <w:spacing w:after="0" w:line="103" w:lineRule="exact"/>
        <w:rPr>
          <w:rFonts w:ascii="Times New Roman" w:cs="Times New Roman" w:eastAsia="Times New Roman" w:hAnsi="Times New Roman"/>
          <w:sz w:val="18"/>
          <w:szCs w:val="18"/>
          <w:color w:val="auto"/>
        </w:rPr>
      </w:pPr>
    </w:p>
    <w:p>
      <w:pPr>
        <w:ind w:left="800" w:hanging="225"/>
        <w:spacing w:after="0" w:line="275" w:lineRule="auto"/>
        <w:tabs>
          <w:tab w:leader="none" w:pos="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25" w:lineRule="exact"/>
        <w:rPr>
          <w:rFonts w:ascii="Times New Roman" w:cs="Times New Roman" w:eastAsia="Times New Roman" w:hAnsi="Times New Roman"/>
          <w:sz w:val="18"/>
          <w:szCs w:val="18"/>
          <w:color w:val="auto"/>
        </w:rPr>
      </w:pPr>
    </w:p>
    <w:p>
      <w:pPr>
        <w:ind w:left="800" w:right="640" w:hanging="225"/>
        <w:spacing w:after="0" w:line="275" w:lineRule="auto"/>
        <w:tabs>
          <w:tab w:leader="none" w:pos="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06" w:lineRule="exact"/>
        <w:rPr>
          <w:sz w:val="20"/>
          <w:szCs w:val="20"/>
          <w:color w:val="auto"/>
        </w:rPr>
      </w:pPr>
    </w:p>
    <w:p>
      <w:pPr>
        <w:ind w:right="140" w:firstLine="571"/>
        <w:spacing w:after="0" w:line="262" w:lineRule="auto"/>
        <w:rPr>
          <w:sz w:val="20"/>
          <w:szCs w:val="20"/>
          <w:color w:val="auto"/>
        </w:rPr>
      </w:pPr>
      <w:r>
        <w:rPr>
          <w:rFonts w:ascii="Times New Roman" w:cs="Times New Roman" w:eastAsia="Times New Roman" w:hAnsi="Times New Roman"/>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Non-U.S. Shareholders</w:t>
      </w:r>
    </w:p>
    <w:p>
      <w:pPr>
        <w:spacing w:after="0" w:line="79" w:lineRule="exact"/>
        <w:rPr>
          <w:sz w:val="20"/>
          <w:szCs w:val="20"/>
          <w:color w:val="auto"/>
        </w:rPr>
      </w:pPr>
    </w:p>
    <w:p>
      <w:pPr>
        <w:ind w:right="40" w:firstLine="571"/>
        <w:spacing w:after="0" w:line="258" w:lineRule="auto"/>
        <w:rPr>
          <w:sz w:val="20"/>
          <w:szCs w:val="20"/>
          <w:color w:val="auto"/>
        </w:rPr>
      </w:pPr>
      <w:r>
        <w:rPr>
          <w:rFonts w:ascii="Times New Roman" w:cs="Times New Roman" w:eastAsia="Times New Roman" w:hAnsi="Times New Roman"/>
          <w:sz w:val="18"/>
          <w:szCs w:val="18"/>
          <w:color w:val="auto"/>
        </w:rPr>
        <w:t>The rules governing U.S. federal income taxation of non-U.S. shareholders are complex. This section is only a summary of such rules. We urge non-U.S. shareholders to consult their own tax advisors to determine the impact of federal, state, and local income tax laws on ownership of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571"/>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Ordinary Dividends</w:t>
      </w:r>
      <w:r>
        <w:rPr>
          <w:rFonts w:ascii="Times New Roman" w:cs="Times New Roman" w:eastAsia="Times New Roman" w:hAnsi="Times New Roman"/>
          <w:sz w:val="16"/>
          <w:szCs w:val="16"/>
          <w:color w:val="auto"/>
        </w:rPr>
        <w:t>. A non-U.S. shareholder that receives a distribution that is not attributable to gain from our sale or exchange of U.S. real property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However, if a distribution is treated as effectively connected with the non-U.S. shareholder’s conduct of a U.S. trade or business,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We plan to withhold U.S. income tax at the rate of 30% on the gross amount of any such distribution paid to a non-U.S. shareholder unless (i) a lower treaty rate applies and the non-U.S. shareholder (or beneficial owner in the case of shares owned through a pass-through entity that is not acting as a withholding foreign partnership or trust) provides IRS Form W-8BEN to us evidencing eligibility for that reduced rate, (ii) the non-U.S. shareholder files an IRS Form W-8ECI with us claiming that the distribution is effectively connected income, or (iii) the non-U.S. shareholder holds shares through a “qualified intermediary” that has elected to perform any necessary withholding itself.</w:t>
      </w:r>
    </w:p>
    <w:p>
      <w:pPr>
        <w:spacing w:after="0" w:line="318" w:lineRule="exact"/>
        <w:rPr>
          <w:sz w:val="20"/>
          <w:szCs w:val="20"/>
          <w:color w:val="auto"/>
        </w:rPr>
      </w:pPr>
    </w:p>
    <w:p>
      <w:pPr>
        <w:ind w:firstLine="57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Return of Capital</w:t>
      </w:r>
      <w:r>
        <w:rPr>
          <w:rFonts w:ascii="Times New Roman" w:cs="Times New Roman" w:eastAsia="Times New Roman" w:hAnsi="Times New Roman"/>
          <w:sz w:val="18"/>
          <w:szCs w:val="18"/>
          <w:color w:val="auto"/>
        </w:rPr>
        <w:t>. A non-U.S. shareholder will not incur tax on a distribution to the extent it exceeds our current and accumulated earnings and profits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25" w:lineRule="exact"/>
        <w:rPr>
          <w:sz w:val="20"/>
          <w:szCs w:val="20"/>
          <w:color w:val="auto"/>
        </w:rPr>
      </w:pPr>
    </w:p>
    <w:p>
      <w:pPr>
        <w:ind w:right="40" w:firstLine="57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Capital Gain Dividends</w:t>
      </w:r>
      <w:r>
        <w:rPr>
          <w:rFonts w:ascii="Times New Roman" w:cs="Times New Roman" w:eastAsia="Times New Roman" w:hAnsi="Times New Roman"/>
          <w:sz w:val="18"/>
          <w:szCs w:val="18"/>
          <w:color w:val="auto"/>
        </w:rPr>
        <w:t>. Provided that a particular class of our shares is “regularly traded” on an established securities market in the United States,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an ordinary dividend taxable as described above under “— Ordinary Dividends.”</w:t>
      </w:r>
    </w:p>
    <w:p>
      <w:pPr>
        <w:spacing w:after="0" w:line="120" w:lineRule="exact"/>
        <w:rPr>
          <w:sz w:val="20"/>
          <w:szCs w:val="20"/>
          <w:color w:val="auto"/>
        </w:rPr>
      </w:pPr>
    </w:p>
    <w:p>
      <w:pPr>
        <w:ind w:right="40" w:firstLine="571"/>
        <w:spacing w:after="0" w:line="288" w:lineRule="auto"/>
        <w:rPr>
          <w:sz w:val="20"/>
          <w:szCs w:val="20"/>
          <w:color w:val="auto"/>
        </w:rPr>
      </w:pPr>
      <w:r>
        <w:rPr>
          <w:rFonts w:ascii="Times New Roman" w:cs="Times New Roman" w:eastAsia="Times New Roman" w:hAnsi="Times New Roman"/>
          <w:sz w:val="16"/>
          <w:szCs w:val="16"/>
          <w:color w:val="auto"/>
        </w:rPr>
        <w:t>If the foregoing exceptions do not apply, for example because the non-U.S. shareholder owns more than 5% of our shares, the non-U.S. shareholder incurs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amount of the distribution designated as a capital gain dividend. A non-U.S. shareholder may receive a credit against its FIRPTA tax liability for the amount we withhold.</w:t>
      </w:r>
    </w:p>
    <w:p>
      <w:pPr>
        <w:spacing w:after="0" w:line="106" w:lineRule="exact"/>
        <w:rPr>
          <w:sz w:val="20"/>
          <w:szCs w:val="20"/>
          <w:color w:val="auto"/>
        </w:rPr>
      </w:pPr>
    </w:p>
    <w:p>
      <w:pPr>
        <w:jc w:val="both"/>
        <w:ind w:right="220" w:firstLine="571"/>
        <w:spacing w:after="0" w:line="262" w:lineRule="auto"/>
        <w:rPr>
          <w:sz w:val="20"/>
          <w:szCs w:val="20"/>
          <w:color w:val="auto"/>
        </w:rPr>
      </w:pPr>
      <w:r>
        <w:rPr>
          <w:rFonts w:ascii="Times New Roman" w:cs="Times New Roman" w:eastAsia="Times New Roman" w:hAnsi="Times New Roman"/>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15" w:lineRule="exact"/>
        <w:rPr>
          <w:sz w:val="20"/>
          <w:szCs w:val="20"/>
          <w:color w:val="auto"/>
        </w:rPr>
      </w:pPr>
    </w:p>
    <w:p>
      <w:pPr>
        <w:ind w:right="20" w:firstLine="571"/>
        <w:spacing w:after="0" w:line="290" w:lineRule="auto"/>
        <w:rPr>
          <w:sz w:val="20"/>
          <w:szCs w:val="20"/>
          <w:color w:val="auto"/>
        </w:rPr>
      </w:pPr>
      <w:r>
        <w:rPr>
          <w:rFonts w:ascii="Times New Roman" w:cs="Times New Roman" w:eastAsia="Times New Roman" w:hAnsi="Times New Roman"/>
          <w:sz w:val="16"/>
          <w:szCs w:val="16"/>
          <w:b w:val="1"/>
          <w:bCs w:val="1"/>
          <w:i w:val="1"/>
          <w:iCs w:val="1"/>
          <w:color w:val="auto"/>
        </w:rPr>
        <w:t>Sale of Shares</w:t>
      </w:r>
      <w:r>
        <w:rPr>
          <w:rFonts w:ascii="Times New Roman" w:cs="Times New Roman" w:eastAsia="Times New Roman" w:hAnsi="Times New Roman"/>
          <w:sz w:val="16"/>
          <w:szCs w:val="16"/>
          <w:color w:val="auto"/>
        </w:rPr>
        <w:t>. A non-U.S. shareholder generally will not incur tax under FIRPTA on gain from the sale of its common or preferred shares as long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the gain on the sale of the common or preferred shares would be taxed under FIRPTA, in which case a non-U.S. shareholder would be taxed in the same manner as taxable U.S. shareholders with respect to such gain (subject to applicable alternative minimum tax and a special alternative minimum tax in the case of nonresident alien individuals), and the purchaser of the shares would be required to withhold and remit to the IRS 10% of the purchase price.</w:t>
      </w:r>
    </w:p>
    <w:p>
      <w:pPr>
        <w:spacing w:after="0" w:line="103" w:lineRule="exact"/>
        <w:rPr>
          <w:sz w:val="20"/>
          <w:szCs w:val="20"/>
          <w:color w:val="auto"/>
        </w:rPr>
      </w:pPr>
    </w:p>
    <w:p>
      <w:pPr>
        <w:ind w:right="80" w:firstLine="571"/>
        <w:spacing w:after="0" w:line="258" w:lineRule="auto"/>
        <w:rPr>
          <w:sz w:val="20"/>
          <w:szCs w:val="20"/>
          <w:color w:val="auto"/>
        </w:rPr>
      </w:pPr>
      <w:r>
        <w:rPr>
          <w:rFonts w:ascii="Times New Roman" w:cs="Times New Roman" w:eastAsia="Times New Roman" w:hAnsi="Times New Roman"/>
          <w:sz w:val="18"/>
          <w:szCs w:val="18"/>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w:t>
      </w:r>
    </w:p>
    <w:p>
      <w:pPr>
        <w:spacing w:after="0" w:line="119" w:lineRule="exact"/>
        <w:rPr>
          <w:sz w:val="20"/>
          <w:szCs w:val="20"/>
          <w:color w:val="auto"/>
        </w:rPr>
      </w:pPr>
    </w:p>
    <w:p>
      <w:pPr>
        <w:ind w:right="120" w:firstLine="57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r>
        <w:rPr>
          <w:rFonts w:ascii="Times New Roman" w:cs="Times New Roman" w:eastAsia="Times New Roman" w:hAnsi="Times New Roman"/>
          <w:sz w:val="18"/>
          <w:szCs w:val="18"/>
          <w:color w:val="auto"/>
        </w:rPr>
        <w:t>. We must report annually to the IRS and to each non-U.S. shareholder the amount of distributions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20" w:lineRule="exact"/>
        <w:rPr>
          <w:sz w:val="20"/>
          <w:szCs w:val="20"/>
          <w:color w:val="auto"/>
        </w:rPr>
      </w:pPr>
    </w:p>
    <w:p>
      <w:pPr>
        <w:ind w:right="20" w:firstLine="571"/>
        <w:spacing w:after="0" w:line="256" w:lineRule="auto"/>
        <w:rPr>
          <w:sz w:val="20"/>
          <w:szCs w:val="20"/>
          <w:color w:val="auto"/>
        </w:rPr>
      </w:pPr>
      <w:r>
        <w:rPr>
          <w:rFonts w:ascii="Times New Roman" w:cs="Times New Roman" w:eastAsia="Times New Roman" w:hAnsi="Times New Roman"/>
          <w:sz w:val="18"/>
          <w:szCs w:val="18"/>
          <w:color w:val="auto"/>
        </w:rPr>
        <w:t>Backup withholding and additional information reporting will generally not apply to distributions to a non-U.S. shareholder provided that the non-U.S. shareholder certifies under penalty of perjury that the shareholder is a non-U.S. shareholder, or otherwise establishes an exemption.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44" w:lineRule="exact"/>
        <w:rPr>
          <w:sz w:val="20"/>
          <w:szCs w:val="20"/>
          <w:color w:val="auto"/>
        </w:rPr>
      </w:pPr>
    </w:p>
    <w:p>
      <w:pPr>
        <w:ind w:left="800" w:hanging="225"/>
        <w:spacing w:after="0"/>
        <w:tabs>
          <w:tab w:leader="none" w:pos="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U.S. person;</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derives 50% or more of its gross income for a specified three-year period from the conduct of a trade or business in the U.S.;</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“controlled foreign corporation” (a foreign corporation controlled by certain U.S. shareholders) for U.S. tax purposes; or</w:t>
      </w:r>
    </w:p>
    <w:p>
      <w:pPr>
        <w:spacing w:after="0" w:line="103" w:lineRule="exact"/>
        <w:rPr>
          <w:rFonts w:ascii="Times New Roman" w:cs="Times New Roman" w:eastAsia="Times New Roman" w:hAnsi="Times New Roman"/>
          <w:sz w:val="18"/>
          <w:szCs w:val="18"/>
          <w:color w:val="auto"/>
        </w:rPr>
      </w:pPr>
    </w:p>
    <w:p>
      <w:pPr>
        <w:ind w:left="800" w:right="620" w:hanging="225"/>
        <w:spacing w:after="0" w:line="275" w:lineRule="auto"/>
        <w:tabs>
          <w:tab w:leader="none" w:pos="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foreign partnership, if at any time during its tax year more than 50% of its income or capital interest are held by U.S. persons or if it is engaged in the conduct of a trade or business in the U.S.,</w:t>
      </w:r>
    </w:p>
    <w:p>
      <w:pPr>
        <w:spacing w:after="0" w:line="10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unless the broker has documentary evidence in its records that the holder or beneficial owner is a non-U.S. shareholder and certain other conditions are met, or the shareholder otherwise establishes an exemption.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 non-U.S. shareholder may obtain a refund of excess amounts withheld under the backup withholding rules by filing the appropriate claim for refund with the IRS.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Tax Consequences</w:t>
      </w:r>
    </w:p>
    <w:p>
      <w:pPr>
        <w:spacing w:after="0" w:line="75" w:lineRule="exact"/>
        <w:rPr>
          <w:sz w:val="20"/>
          <w:szCs w:val="20"/>
          <w:color w:val="auto"/>
        </w:rPr>
      </w:pPr>
    </w:p>
    <w:p>
      <w:pPr>
        <w:ind w:firstLine="571"/>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State and Local Taxes</w:t>
      </w:r>
      <w:r>
        <w:rPr>
          <w:rFonts w:ascii="Times New Roman" w:cs="Times New Roman" w:eastAsia="Times New Roman" w:hAnsi="Times New Roman"/>
          <w:sz w:val="16"/>
          <w:szCs w:val="16"/>
          <w:color w:val="auto"/>
        </w:rPr>
        <w:t>. We and/or you may be subject to state and local tax in various states and localities, including those states and localities in which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0" w:lineRule="exact"/>
        <w:rPr>
          <w:sz w:val="20"/>
          <w:szCs w:val="20"/>
          <w:color w:val="auto"/>
        </w:rPr>
      </w:pPr>
    </w:p>
    <w:p>
      <w:pPr>
        <w:ind w:firstLine="571"/>
        <w:spacing w:after="0" w:line="254" w:lineRule="auto"/>
        <w:rPr>
          <w:sz w:val="20"/>
          <w:szCs w:val="20"/>
          <w:color w:val="auto"/>
        </w:rPr>
      </w:pPr>
      <w:r>
        <w:rPr>
          <w:rFonts w:ascii="Times New Roman" w:cs="Times New Roman" w:eastAsia="Times New Roman" w:hAnsi="Times New Roman"/>
          <w:sz w:val="18"/>
          <w:szCs w:val="18"/>
          <w:color w:val="auto"/>
        </w:rPr>
        <w:t>We may sell securities from time to time in one or more transactions on a negotiated or competitive bid basis to or through one or more underwriters or dealers on a firm commitment or best efforts basis, in the over-the-counter market, on any national securities exchange or automated quotation system on which the securities may be listed or traded, in privately negotiated transactions, to or through a market maker, or through any other legally available means. In addition, the sales will be made at market prices prevailing at the time of sale, at prices related to such prevailing market prices, or at negotiated prices. We may also sell securities directly to institutional investors or other purchasers or through agents.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methods by which we may distribute securities include:</w:t>
      </w:r>
    </w:p>
    <w:p>
      <w:pPr>
        <w:spacing w:after="0" w:line="77" w:lineRule="exact"/>
        <w:rPr>
          <w:sz w:val="20"/>
          <w:szCs w:val="20"/>
          <w:color w:val="auto"/>
        </w:rPr>
      </w:pPr>
    </w:p>
    <w:p>
      <w:pPr>
        <w:ind w:left="800" w:right="400" w:hanging="225"/>
        <w:spacing w:after="0" w:line="275" w:lineRule="auto"/>
        <w:tabs>
          <w:tab w:leader="none" w:pos="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25"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dealer as principal and resale by such dealer for its account pursuant to this prospectus or any prospectus supplement;</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 transactions and transactions in which the broker solicits purchasers; or</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legally available means.</w:t>
      </w:r>
    </w:p>
    <w:p>
      <w:pPr>
        <w:spacing w:after="0" w:line="185"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19" w:lineRule="exact"/>
        <w:rPr>
          <w:sz w:val="20"/>
          <w:szCs w:val="20"/>
          <w:color w:val="auto"/>
        </w:rPr>
      </w:pPr>
    </w:p>
    <w:p>
      <w:pPr>
        <w:ind w:right="140" w:firstLine="571"/>
        <w:spacing w:after="0" w:line="256" w:lineRule="auto"/>
        <w:rPr>
          <w:sz w:val="20"/>
          <w:szCs w:val="20"/>
          <w:color w:val="auto"/>
        </w:rPr>
      </w:pPr>
      <w:r>
        <w:rPr>
          <w:rFonts w:ascii="Times New Roman" w:cs="Times New Roman" w:eastAsia="Times New Roman" w:hAnsi="Times New Roman"/>
          <w:sz w:val="18"/>
          <w:szCs w:val="18"/>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80"/>
          </w:cols>
          <w:pgMar w:left="240" w:top="455" w:right="27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06" w:lineRule="exact"/>
        <w:rPr>
          <w:sz w:val="20"/>
          <w:szCs w:val="20"/>
          <w:color w:val="auto"/>
        </w:rPr>
      </w:pPr>
    </w:p>
    <w:p>
      <w:pPr>
        <w:ind w:right="240" w:firstLine="571"/>
        <w:spacing w:after="0" w:line="275" w:lineRule="auto"/>
        <w:rPr>
          <w:sz w:val="20"/>
          <w:szCs w:val="20"/>
          <w:color w:val="auto"/>
        </w:rPr>
      </w:pPr>
      <w:r>
        <w:rPr>
          <w:rFonts w:ascii="Times New Roman" w:cs="Times New Roman" w:eastAsia="Times New Roman" w:hAnsi="Times New Roman"/>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06" w:lineRule="exact"/>
        <w:rPr>
          <w:sz w:val="20"/>
          <w:szCs w:val="20"/>
          <w:color w:val="auto"/>
        </w:rPr>
      </w:pPr>
    </w:p>
    <w:p>
      <w:pPr>
        <w:ind w:firstLine="571"/>
        <w:spacing w:after="0" w:line="254" w:lineRule="auto"/>
        <w:rPr>
          <w:sz w:val="20"/>
          <w:szCs w:val="20"/>
          <w:color w:val="auto"/>
        </w:rPr>
      </w:pPr>
      <w:r>
        <w:rPr>
          <w:rFonts w:ascii="Times New Roman" w:cs="Times New Roman" w:eastAsia="Times New Roman" w:hAnsi="Times New Roman"/>
          <w:sz w:val="18"/>
          <w:szCs w:val="18"/>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25" w:lineRule="exact"/>
        <w:rPr>
          <w:sz w:val="20"/>
          <w:szCs w:val="20"/>
          <w:color w:val="auto"/>
        </w:rPr>
      </w:pPr>
    </w:p>
    <w:p>
      <w:pPr>
        <w:ind w:right="80" w:firstLine="571"/>
        <w:spacing w:after="0" w:line="262" w:lineRule="auto"/>
        <w:rPr>
          <w:sz w:val="20"/>
          <w:szCs w:val="20"/>
          <w:color w:val="auto"/>
        </w:rPr>
      </w:pPr>
      <w:r>
        <w:rPr>
          <w:rFonts w:ascii="Times New Roman" w:cs="Times New Roman" w:eastAsia="Times New Roman" w:hAnsi="Times New Roman"/>
          <w:sz w:val="18"/>
          <w:szCs w:val="18"/>
          <w:color w:val="auto"/>
        </w:rPr>
        <w:t>The securities may or may not be listed on a national securities exchange or traded in the over-the-counter market (other than the common shares and the Series B preferred shares, each of which are quoted on The New York Stock Exchange). No assurance can be given as to the liquidity of the trading market for any such securities.</w:t>
      </w:r>
    </w:p>
    <w:p>
      <w:pPr>
        <w:spacing w:after="0" w:line="119" w:lineRule="exact"/>
        <w:rPr>
          <w:sz w:val="20"/>
          <w:szCs w:val="20"/>
          <w:color w:val="auto"/>
        </w:rPr>
      </w:pPr>
    </w:p>
    <w:p>
      <w:pPr>
        <w:ind w:firstLine="571"/>
        <w:spacing w:after="0" w:line="252" w:lineRule="auto"/>
        <w:rPr>
          <w:sz w:val="20"/>
          <w:szCs w:val="20"/>
          <w:color w:val="auto"/>
        </w:rPr>
      </w:pPr>
      <w:r>
        <w:rPr>
          <w:rFonts w:ascii="Times New Roman" w:cs="Times New Roman" w:eastAsia="Times New Roman" w:hAnsi="Times New Roman"/>
          <w:sz w:val="18"/>
          <w:szCs w:val="18"/>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31" w:lineRule="exact"/>
        <w:rPr>
          <w:sz w:val="20"/>
          <w:szCs w:val="20"/>
          <w:color w:val="auto"/>
        </w:rPr>
      </w:pPr>
    </w:p>
    <w:p>
      <w:pPr>
        <w:ind w:right="460" w:firstLine="571"/>
        <w:spacing w:after="0" w:line="275" w:lineRule="auto"/>
        <w:rPr>
          <w:sz w:val="20"/>
          <w:szCs w:val="20"/>
          <w:color w:val="auto"/>
        </w:rPr>
      </w:pPr>
      <w:r>
        <w:rPr>
          <w:rFonts w:ascii="Times New Roman" w:cs="Times New Roman" w:eastAsia="Times New Roman" w:hAnsi="Times New Roman"/>
          <w:sz w:val="18"/>
          <w:szCs w:val="18"/>
          <w:color w:val="auto"/>
        </w:rPr>
        <w:t>Certain of the underwriters or agents and their affiliates may engage in transactions with and perform services for us or our affiliates in the ordinary course of their respective businesses.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455" w:right="2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0" w:lineRule="exact"/>
        <w:rPr>
          <w:sz w:val="20"/>
          <w:szCs w:val="20"/>
          <w:color w:val="auto"/>
        </w:rPr>
      </w:pPr>
    </w:p>
    <w:p>
      <w:pPr>
        <w:ind w:right="460" w:firstLine="571"/>
        <w:spacing w:after="0" w:line="258" w:lineRule="auto"/>
        <w:rPr>
          <w:sz w:val="20"/>
          <w:szCs w:val="20"/>
          <w:color w:val="auto"/>
        </w:rPr>
      </w:pPr>
      <w:r>
        <w:rPr>
          <w:rFonts w:ascii="Times New Roman" w:cs="Times New Roman" w:eastAsia="Times New Roman" w:hAnsi="Times New Roman"/>
          <w:sz w:val="18"/>
          <w:szCs w:val="18"/>
          <w:color w:val="auto"/>
        </w:rPr>
        <w:t>The validity of the offered securities and the accuracy of the discussion under “Federal Income Tax Considerations”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0" w:lineRule="exact"/>
        <w:rPr>
          <w:sz w:val="20"/>
          <w:szCs w:val="20"/>
          <w:color w:val="auto"/>
        </w:rPr>
      </w:pPr>
    </w:p>
    <w:p>
      <w:pPr>
        <w:ind w:right="20" w:firstLine="571"/>
        <w:spacing w:after="0" w:line="254" w:lineRule="auto"/>
        <w:rPr>
          <w:sz w:val="20"/>
          <w:szCs w:val="20"/>
          <w:color w:val="auto"/>
        </w:rPr>
      </w:pPr>
      <w:r>
        <w:rPr>
          <w:rFonts w:ascii="Times New Roman" w:cs="Times New Roman" w:eastAsia="Times New Roman" w:hAnsi="Times New Roman"/>
          <w:sz w:val="18"/>
          <w:szCs w:val="18"/>
          <w:color w:val="auto"/>
        </w:rPr>
        <w:t>Pursuant to the Securities Act of 1933 and the rules promulgated thereunder, we are required to, and have incorporated into this registration statement our Annual Report on Form 10-K for the year ended December 31, 2005. Grant Thornton LLP, independent registered public accounting firm, have audited our consolidated financial statements and schedules and management’s assessment of the effectiveness of internal control over financial reporting included in our Annual Report on Form 10-K for the year ended December 31, 2005, as set forth in their reports, which are incorporated by reference in this prospectus and elsewhere in the registration statement. Our financial statements and schedules and management’s assessment of the effectiveness of internal control over financial reporting contained in the 2005 Form 10-K are incorporated by reference in reliance on Grant Thornton LLP’s report, given on their authority as experts in accounting and auditing.</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0" w:lineRule="exact"/>
        <w:rPr>
          <w:sz w:val="20"/>
          <w:szCs w:val="20"/>
          <w:color w:val="auto"/>
        </w:rPr>
      </w:pPr>
    </w:p>
    <w:p>
      <w:pPr>
        <w:ind w:right="160" w:firstLine="571"/>
        <w:spacing w:after="0" w:line="262" w:lineRule="auto"/>
        <w:rPr>
          <w:sz w:val="20"/>
          <w:szCs w:val="20"/>
          <w:color w:val="auto"/>
        </w:rPr>
      </w:pPr>
      <w:r>
        <w:rPr>
          <w:rFonts w:ascii="Times New Roman" w:cs="Times New Roman" w:eastAsia="Times New Roman" w:hAnsi="Times New Roman"/>
          <w:sz w:val="18"/>
          <w:szCs w:val="18"/>
          <w:color w:val="auto"/>
        </w:rPr>
        <w:t xml:space="preserve">We file annual, quarterly and special reports, proxy statements and other information with the SEC. Our SEC filings are available to the public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may also read and copy any document we file at the SEC’s Public Reference Room at 100 F Street, N.E., Washington, D.C. 20549.</w:t>
      </w:r>
    </w:p>
    <w:p>
      <w:pPr>
        <w:spacing w:after="0" w:line="119" w:lineRule="exact"/>
        <w:rPr>
          <w:sz w:val="20"/>
          <w:szCs w:val="20"/>
          <w:color w:val="auto"/>
        </w:rPr>
      </w:pPr>
    </w:p>
    <w:p>
      <w:pPr>
        <w:ind w:right="240" w:firstLine="571"/>
        <w:spacing w:after="0" w:line="262" w:lineRule="auto"/>
        <w:rPr>
          <w:sz w:val="20"/>
          <w:szCs w:val="20"/>
          <w:color w:val="auto"/>
        </w:rPr>
      </w:pPr>
      <w:r>
        <w:rPr>
          <w:rFonts w:ascii="Times New Roman" w:cs="Times New Roman" w:eastAsia="Times New Roman" w:hAnsi="Times New Roman"/>
          <w:sz w:val="18"/>
          <w:szCs w:val="18"/>
          <w:color w:val="auto"/>
        </w:rPr>
        <w:t>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19" w:lineRule="exact"/>
        <w:rPr>
          <w:sz w:val="20"/>
          <w:szCs w:val="20"/>
          <w:color w:val="auto"/>
        </w:rPr>
      </w:pPr>
    </w:p>
    <w:p>
      <w:pPr>
        <w:ind w:firstLine="571"/>
        <w:spacing w:after="0" w:line="290" w:lineRule="auto"/>
        <w:rPr>
          <w:sz w:val="20"/>
          <w:szCs w:val="20"/>
          <w:color w:val="auto"/>
        </w:rPr>
      </w:pPr>
      <w:r>
        <w:rPr>
          <w:rFonts w:ascii="Times New Roman" w:cs="Times New Roman" w:eastAsia="Times New Roman" w:hAnsi="Times New Roman"/>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our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filings made with the SEC under Sections 13(a), 13(c), 14, or 15(d) of the Securities Exchange Act (Exchange Act File No. 1-07533) made from the date of this prospectus until we sell all of the securities under this prospectus as supplemented.</w:t>
      </w:r>
    </w:p>
    <w:p>
      <w:pPr>
        <w:spacing w:after="0" w:line="99" w:lineRule="exact"/>
        <w:rPr>
          <w:sz w:val="20"/>
          <w:szCs w:val="20"/>
          <w:color w:val="auto"/>
        </w:rPr>
      </w:pPr>
    </w:p>
    <w:p>
      <w:pPr>
        <w:ind w:left="800" w:hanging="225"/>
        <w:spacing w:after="0"/>
        <w:tabs>
          <w:tab w:leader="none" w:pos="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December 31, 2005;</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fiscal quarter ended March 31, 2006;</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 on Form 8-K filed with the SEC on February 23, 2006;</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455" w:right="2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hanging="225"/>
        <w:spacing w:after="0"/>
        <w:tabs>
          <w:tab w:leader="none" w:pos="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 on Form 8-K filed with the SEC on February 28, 2006;</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 on Form 8-K filed with the SEC on March 10, 2006;</w:t>
      </w:r>
    </w:p>
    <w:p>
      <w:pPr>
        <w:spacing w:after="0" w:line="103"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our common shares contained in the Registration Statement on Form 8-A/A, filed June 6, 2002; and</w:t>
      </w:r>
    </w:p>
    <w:p>
      <w:pPr>
        <w:spacing w:after="0" w:line="103" w:lineRule="exact"/>
        <w:rPr>
          <w:rFonts w:ascii="Times New Roman" w:cs="Times New Roman" w:eastAsia="Times New Roman" w:hAnsi="Times New Roman"/>
          <w:sz w:val="18"/>
          <w:szCs w:val="18"/>
          <w:color w:val="auto"/>
        </w:rPr>
      </w:pPr>
    </w:p>
    <w:p>
      <w:pPr>
        <w:ind w:left="800" w:right="120" w:hanging="225"/>
        <w:spacing w:after="0" w:line="262" w:lineRule="auto"/>
        <w:tabs>
          <w:tab w:leader="none" w:pos="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our Common Share Purchase Rights included in the Registration Statement on Form 8-A/A, filed March 11, 1999, and in the First Amendment to Amended and Restated Rights Agreement, dated as of November 2003 and filed as an exhibit to the Annual Report on Form 10-K for the year ended December 31, 2003, between us and American Stock Transfer &amp; Trust Company.</w:t>
      </w:r>
    </w:p>
    <w:p>
      <w:pPr>
        <w:spacing w:after="0" w:line="117" w:lineRule="exact"/>
        <w:rPr>
          <w:sz w:val="20"/>
          <w:szCs w:val="20"/>
          <w:color w:val="auto"/>
        </w:rPr>
      </w:pPr>
    </w:p>
    <w:p>
      <w:pPr>
        <w:ind w:firstLine="571"/>
        <w:spacing w:after="0" w:line="259" w:lineRule="auto"/>
        <w:rPr>
          <w:sz w:val="20"/>
          <w:szCs w:val="20"/>
          <w:color w:val="auto"/>
        </w:rPr>
      </w:pPr>
      <w:r>
        <w:rPr>
          <w:rFonts w:ascii="Times New Roman" w:cs="Times New Roman" w:eastAsia="Times New Roman" w:hAnsi="Times New Roman"/>
          <w:sz w:val="18"/>
          <w:szCs w:val="18"/>
          <w:color w:val="auto"/>
        </w:rPr>
        <w:t xml:space="preserve">Copies of these filings are available at no cost at our website, </w:t>
      </w:r>
      <w:r>
        <w:rPr>
          <w:rFonts w:ascii="Times New Roman" w:cs="Times New Roman" w:eastAsia="Times New Roman" w:hAnsi="Times New Roman"/>
          <w:sz w:val="18"/>
          <w:szCs w:val="18"/>
          <w:i w:val="1"/>
          <w:iCs w:val="1"/>
          <w:color w:val="auto"/>
        </w:rPr>
        <w:t>www.federalrealty.com</w:t>
      </w:r>
      <w:r>
        <w:rPr>
          <w:rFonts w:ascii="Times New Roman" w:cs="Times New Roman" w:eastAsia="Times New Roman" w:hAnsi="Times New Roman"/>
          <w:sz w:val="18"/>
          <w:szCs w:val="18"/>
          <w:color w:val="auto"/>
        </w:rPr>
        <w:t>. Amendments to these filings will be posted to our website as soon as reasonably practical after filing with the SEC. In addition, you may request a copy of these filings and any amendments thereto at no cost, by writing or telephoning us. Those copies will not include exhibits to those documents unless the exhibits are specifically incorporated by reference in the documents or unless you specifically request them. You may also request copies of any exhibits to the registration statement.</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Please direct your request to:</w:t>
      </w:r>
    </w:p>
    <w:p>
      <w:pPr>
        <w:spacing w:after="0" w:line="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Andrew P. Blocher</w:t>
      </w:r>
    </w:p>
    <w:p>
      <w:pPr>
        <w:spacing w:after="0" w:line="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Vice President, Capital Markets and Investor Relations</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1626 E. Jefferson Street</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Rockville, Maryland 20852</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(301) 998-8100 or (301) 658-8980</w:t>
      </w:r>
    </w:p>
    <w:p>
      <w:pPr>
        <w:spacing w:after="0" w:line="145" w:lineRule="exact"/>
        <w:rPr>
          <w:sz w:val="20"/>
          <w:szCs w:val="20"/>
          <w:color w:val="auto"/>
        </w:rPr>
      </w:pPr>
    </w:p>
    <w:p>
      <w:pPr>
        <w:ind w:firstLine="571"/>
        <w:spacing w:after="0" w:line="256" w:lineRule="auto"/>
        <w:rPr>
          <w:sz w:val="20"/>
          <w:szCs w:val="20"/>
          <w:color w:val="auto"/>
        </w:rPr>
      </w:pPr>
      <w:r>
        <w:rPr>
          <w:rFonts w:ascii="Times New Roman" w:cs="Times New Roman" w:eastAsia="Times New Roman" w:hAnsi="Times New Roman"/>
          <w:sz w:val="18"/>
          <w:szCs w:val="18"/>
          <w:color w:val="auto"/>
        </w:rPr>
        <w:t>Our prospectus does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our prospectus and any accompanying prospectus supplement about the provisions or contents of any contract, agreement or any other document referred to are not necessarily complete. Please refer to the actual exhibit for a more complete description of the matters involved. You may get copies of the exhibits by contacting the person named above.</w:t>
      </w:r>
    </w:p>
    <w:p>
      <w:pPr>
        <w:spacing w:after="0" w:line="125"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455" w:right="2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32406B"/>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27940</wp:posOffset>
            </wp:positionV>
            <wp:extent cx="2143760" cy="814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437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4"/>
          <w:szCs w:val="24"/>
          <w:b w:val="1"/>
          <w:bCs w:val="1"/>
          <w:color w:val="32406B"/>
        </w:rPr>
        <w:t>% Notes due 2012</w:t>
      </w:r>
    </w:p>
    <w:p>
      <w:pPr>
        <w:spacing w:after="0" w:line="4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4"/>
          <w:szCs w:val="24"/>
          <w:b w:val="1"/>
          <w:bCs w:val="1"/>
          <w:color w:val="32406B"/>
        </w:rPr>
        <w:t>% Notes due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168275</wp:posOffset>
            </wp:positionV>
            <wp:extent cx="19812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32406B"/>
        </w:rPr>
        <w:t>PROSPECTUS SUPPLEMENT</w:t>
      </w:r>
    </w:p>
    <w:p>
      <w:pPr>
        <w:spacing w:after="0" w:line="77" w:lineRule="exact"/>
        <w:rPr>
          <w:sz w:val="20"/>
          <w:szCs w:val="20"/>
          <w:color w:val="auto"/>
        </w:rPr>
      </w:pPr>
    </w:p>
    <w:p>
      <w:pPr>
        <w:jc w:val="center"/>
        <w:ind w:left="920"/>
        <w:spacing w:after="0"/>
        <w:tabs>
          <w:tab w:leader="none" w:pos="200" w:val="left"/>
        </w:tabs>
        <w:rPr>
          <w:sz w:val="20"/>
          <w:szCs w:val="20"/>
          <w:color w:val="auto"/>
        </w:rPr>
      </w:pPr>
      <w:r>
        <w:rPr>
          <w:rFonts w:ascii="Times New Roman" w:cs="Times New Roman" w:eastAsia="Times New Roman" w:hAnsi="Times New Roman"/>
          <w:sz w:val="18"/>
          <w:szCs w:val="18"/>
          <w:b w:val="1"/>
          <w:bCs w:val="1"/>
          <w:color w:val="32406B"/>
        </w:rPr>
        <w:t>July</w:t>
        <w:tab/>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127635</wp:posOffset>
            </wp:positionV>
            <wp:extent cx="19812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32"/>
          <w:szCs w:val="32"/>
          <w:b w:val="1"/>
          <w:bCs w:val="1"/>
          <w:color w:val="32406B"/>
        </w:rPr>
        <w:t>Wachovia Securities</w:t>
      </w:r>
    </w:p>
    <w:p>
      <w:pPr>
        <w:spacing w:after="0" w:line="145"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32"/>
          <w:szCs w:val="32"/>
          <w:b w:val="1"/>
          <w:bCs w:val="1"/>
          <w:color w:val="32406B"/>
        </w:rPr>
        <w:t>Citigroup</w:t>
      </w:r>
    </w:p>
    <w:sectPr>
      <w:pgSz w:w="11900" w:h="16838" w:orient="portrait"/>
      <w:cols w:equalWidth="0" w:num="1">
        <w:col w:w="10219"/>
      </w:cols>
      <w:pgMar w:left="24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1)"/>
      <w:numFmt w:val="decimal"/>
      <w:start w:val="2"/>
    </w:lvl>
  </w:abstractNum>
  <w:abstractNum w:abstractNumId="1">
    <w:nsid w:val="2A487CB0"/>
    <w:multiLevelType w:val="hybridMultilevel"/>
    <w:lvl w:ilvl="0">
      <w:lvlJc w:val="left"/>
      <w:lvlText w:val="•"/>
      <w:numFmt w:val="bullet"/>
      <w:start w:val="1"/>
    </w:lvl>
    <w:lvl w:ilvl="1">
      <w:lvlJc w:val="left"/>
      <w:lvlText w:val="Ø"/>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1)"/>
      <w:numFmt w:val="decimal"/>
      <w:start w:val="30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lvl w:ilvl="1">
      <w:lvlJc w:val="left"/>
      <w:lvlText w:val="•"/>
      <w:numFmt w:val="bullet"/>
      <w:start w:val="1"/>
    </w:lvl>
  </w:abstractNum>
  <w:abstractNum w:abstractNumId="23">
    <w:nsid w:val="374A3FE6"/>
    <w:multiLevelType w:val="hybridMultilevel"/>
    <w:lvl w:ilvl="0">
      <w:lvlJc w:val="left"/>
      <w:lvlText w:val="•"/>
      <w:numFmt w:val="bullet"/>
      <w:start w:val="1"/>
    </w:lvl>
    <w:lvl w:ilvl="1">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1."/>
      <w:numFmt w:val="decimal"/>
      <w:start w:val="1"/>
    </w:lvl>
    <w:lvl w:ilvl="1">
      <w:lvlJc w:val="left"/>
      <w:lvlText w:val="(%2)"/>
      <w:numFmt w:val="lowerLetter"/>
      <w:start w:val="1"/>
    </w:lvl>
  </w:abstractNum>
  <w:abstractNum w:abstractNumId="30">
    <w:nsid w:val="180115BE"/>
    <w:multiLevelType w:val="hybridMultilevel"/>
    <w:lvl w:ilvl="0">
      <w:lvlJc w:val="left"/>
      <w:lvlText w:val="%1."/>
      <w:numFmt w:val="decimal"/>
      <w:start w:val="7"/>
    </w:lvl>
    <w:lvl w:ilvl="1">
      <w:lvlJc w:val="left"/>
      <w:lvlText w:val="(%2)"/>
      <w:numFmt w:val="lowerLetter"/>
      <w:start w:val="1"/>
    </w:lvl>
  </w:abstractNum>
  <w:abstractNum w:abstractNumId="31">
    <w:nsid w:val="235BA861"/>
    <w:multiLevelType w:val="hybridMultilevel"/>
    <w:lvl w:ilvl="0">
      <w:lvlJc w:val="left"/>
      <w:lvlText w:val="%1"/>
      <w:numFmt w:val="decimal"/>
      <w:start w:val="1"/>
    </w:lvl>
    <w:lvl w:ilvl="1">
      <w:lvlJc w:val="left"/>
      <w:lvlText w:val="(%2)"/>
      <w:numFmt w:val="lowerLetter"/>
      <w:start w:val="4"/>
    </w:lvl>
  </w:abstractNum>
  <w:abstractNum w:abstractNumId="32">
    <w:nsid w:val="47398C89"/>
    <w:multiLevelType w:val="hybridMultilevel"/>
    <w:lvl w:ilvl="0">
      <w:lvlJc w:val="left"/>
      <w:lvlText w:val="%1."/>
      <w:numFmt w:val="decimal"/>
      <w:start w:val="8"/>
    </w:lvl>
    <w:lvl w:ilvl="1">
      <w:lvlJc w:val="left"/>
      <w:lvlText w:val="%2"/>
      <w:numFmt w:val="lowerLetter"/>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lvl w:ilvl="1">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a"/>
      <w:numFmt w:val="bullet"/>
      <w:start w:val="1"/>
    </w:lvl>
    <w:lvl w:ilvl="1">
      <w:lvlJc w:val="left"/>
      <w:lvlText w:val="•"/>
      <w:numFmt w:val="bullet"/>
      <w:start w:val="1"/>
    </w:lvl>
  </w:abstractNum>
  <w:abstractNum w:abstractNumId="37">
    <w:nsid w:val="10233C99"/>
    <w:multiLevelType w:val="hybridMultilevel"/>
    <w:lvl w:ilvl="0">
      <w:lvlJc w:val="left"/>
      <w:lvlText w:val="•"/>
      <w:numFmt w:val="bullet"/>
      <w:start w:val="1"/>
    </w:lvl>
    <w:lvl w:ilvl="1">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
      <w:numFmt w:val="bullet"/>
      <w:start w:val="1"/>
    </w:lvl>
  </w:abstractNum>
  <w:abstractNum w:abstractNumId="52">
    <w:nsid w:val="100F8FCA"/>
    <w:multiLevelType w:val="hybridMultilevel"/>
    <w:lvl w:ilvl="0">
      <w:lvlJc w:val="left"/>
      <w:lvlText w:val="•"/>
      <w:numFmt w:val="bullet"/>
      <w:start w:val="1"/>
    </w:lvl>
  </w:abstractNum>
  <w:abstractNum w:abstractNumId="53">
    <w:nsid w:val="6590700B"/>
    <w:multiLevelType w:val="hybridMultilevel"/>
    <w:lvl w:ilvl="0">
      <w:lvlJc w:val="left"/>
      <w:lvlText w:val="•"/>
      <w:numFmt w:val="bullet"/>
      <w:start w:val="1"/>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
      <w:numFmt w:val="bullet"/>
      <w:start w:val="1"/>
    </w:lvl>
    <w:lvl w:ilvl="1">
      <w:lvlJc w:val="left"/>
      <w:lvlText w:val="•"/>
      <w:numFmt w:val="bullet"/>
      <w:start w:val="1"/>
    </w:lvl>
  </w:abstractNum>
  <w:abstractNum w:abstractNumId="56">
    <w:nsid w:val="98A3148"/>
    <w:multiLevelType w:val="hybridMultilevel"/>
    <w:lvl w:ilvl="0">
      <w:lvlJc w:val="left"/>
      <w:lvlText w:val="•"/>
      <w:numFmt w:val="bullet"/>
      <w:start w:val="1"/>
    </w:lvl>
  </w:abstractNum>
  <w:abstractNum w:abstractNumId="57">
    <w:nsid w:val="799D0247"/>
    <w:multiLevelType w:val="hybridMultilevel"/>
    <w:lvl w:ilvl="0">
      <w:lvlJc w:val="left"/>
      <w:lvlText w:val="•"/>
      <w:numFmt w:val="bullet"/>
      <w:start w:val="1"/>
    </w:lvl>
  </w:abstractNum>
  <w:abstractNum w:abstractNumId="58">
    <w:nsid w:val="6B94764"/>
    <w:multiLevelType w:val="hybridMultilevel"/>
    <w:lvl w:ilvl="0">
      <w:lvlJc w:val="left"/>
      <w:lvlText w:val="•"/>
      <w:numFmt w:val="bullet"/>
      <w:start w:val="1"/>
    </w:lvl>
  </w:abstractNum>
  <w:abstractNum w:abstractNumId="59">
    <w:nsid w:val="42C296BD"/>
    <w:multiLevelType w:val="hybridMultilevel"/>
    <w:lvl w:ilvl="0">
      <w:lvlJc w:val="left"/>
      <w:lvlText w:val="•"/>
      <w:numFmt w:val="bullet"/>
      <w:start w:val="1"/>
    </w:lvl>
  </w:abstractNum>
  <w:abstractNum w:abstractNumId="60">
    <w:nsid w:val="168E121F"/>
    <w:multiLevelType w:val="hybridMultilevel"/>
    <w:lvl w:ilvl="0">
      <w:lvlJc w:val="left"/>
      <w:lvlText w:val="•"/>
      <w:numFmt w:val="bullet"/>
      <w:start w:val="1"/>
    </w:lvl>
  </w:abstractNum>
  <w:abstractNum w:abstractNumId="61">
    <w:nsid w:val="1EBA5D23"/>
    <w:multiLevelType w:val="hybridMultilevel"/>
    <w:lvl w:ilvl="0">
      <w:lvlJc w:val="left"/>
      <w:lvlText w:val="•"/>
      <w:numFmt w:val="bullet"/>
      <w:start w:val="1"/>
    </w:lvl>
  </w:abstractNum>
  <w:abstractNum w:abstractNumId="62">
    <w:nsid w:val="661E3F1E"/>
    <w:multiLevelType w:val="hybridMultilevel"/>
    <w:lvl w:ilvl="0">
      <w:lvlJc w:val="left"/>
      <w:lvlText w:val="•"/>
      <w:numFmt w:val="bullet"/>
      <w:start w:val="1"/>
    </w:lvl>
  </w:abstractNum>
  <w:abstractNum w:abstractNumId="63">
    <w:nsid w:val="5DC79EA8"/>
    <w:multiLevelType w:val="hybridMultilevel"/>
    <w:lvl w:ilvl="0">
      <w:lvlJc w:val="left"/>
      <w:lvlText w:val="•"/>
      <w:numFmt w:val="bullet"/>
      <w:start w:val="1"/>
    </w:lvl>
  </w:abstractNum>
  <w:abstractNum w:abstractNumId="64">
    <w:nsid w:val="540A471C"/>
    <w:multiLevelType w:val="hybridMultilevel"/>
    <w:lvl w:ilvl="0">
      <w:lvlJc w:val="left"/>
      <w:lvlText w:val="•"/>
      <w:numFmt w:val="bullet"/>
      <w:start w:val="1"/>
    </w:lvl>
  </w:abstractNum>
  <w:abstractNum w:abstractNumId="65">
    <w:nsid w:val="7BD3EE7B"/>
    <w:multiLevelType w:val="hybridMultilevel"/>
    <w:lvl w:ilvl="0">
      <w:lvlJc w:val="left"/>
      <w:lvlText w:val="•"/>
      <w:numFmt w:val="bullet"/>
      <w:start w:val="1"/>
    </w:lvl>
  </w:abstractNum>
  <w:abstractNum w:abstractNumId="66">
    <w:nsid w:val="51D9C564"/>
    <w:multiLevelType w:val="hybridMultilevel"/>
    <w:lvl w:ilvl="0">
      <w:lvlJc w:val="left"/>
      <w:lvlText w:val="•"/>
      <w:numFmt w:val="bullet"/>
      <w:start w:val="1"/>
    </w:lvl>
  </w:abstractNum>
  <w:abstractNum w:abstractNumId="67">
    <w:nsid w:val="613EFDC5"/>
    <w:multiLevelType w:val="hybridMultilevel"/>
    <w:lvl w:ilvl="0">
      <w:lvlJc w:val="left"/>
      <w:lvlText w:val="%1."/>
      <w:numFmt w:val="decimal"/>
      <w:start w:val="1"/>
    </w:lvl>
  </w:abstractNum>
  <w:abstractNum w:abstractNumId="68">
    <w:nsid w:val="BF72B14"/>
    <w:multiLevelType w:val="hybridMultilevel"/>
    <w:lvl w:ilvl="0">
      <w:lvlJc w:val="left"/>
      <w:lvlText w:val="%1."/>
      <w:numFmt w:val="decimal"/>
      <w:start w:val="6"/>
    </w:lvl>
  </w:abstractNum>
  <w:abstractNum w:abstractNumId="69">
    <w:nsid w:val="11447B73"/>
    <w:multiLevelType w:val="hybridMultilevel"/>
    <w:lvl w:ilvl="0">
      <w:lvlJc w:val="left"/>
      <w:lvlText w:val="•"/>
      <w:numFmt w:val="bullet"/>
      <w:start w:val="1"/>
    </w:lvl>
  </w:abstractNum>
  <w:abstractNum w:abstractNumId="70">
    <w:nsid w:val="42963E5A"/>
    <w:multiLevelType w:val="hybridMultilevel"/>
    <w:lvl w:ilvl="0">
      <w:lvlJc w:val="left"/>
      <w:lvlText w:val="•"/>
      <w:numFmt w:val="bullet"/>
      <w:start w:val="1"/>
    </w:lvl>
  </w:abstractNum>
  <w:abstractNum w:abstractNumId="71">
    <w:nsid w:val="A0382C5"/>
    <w:multiLevelType w:val="hybridMultilevel"/>
    <w:lvl w:ilvl="0">
      <w:lvlJc w:val="left"/>
      <w:lvlText w:val="•"/>
      <w:numFmt w:val="bullet"/>
      <w:start w:val="1"/>
    </w:lvl>
  </w:abstractNum>
  <w:abstractNum w:abstractNumId="72">
    <w:nsid w:val="8F2B15E"/>
    <w:multiLevelType w:val="hybridMultilevel"/>
    <w:lvl w:ilvl="0">
      <w:lvlJc w:val="left"/>
      <w:lvlText w:val="•"/>
      <w:numFmt w:val="bullet"/>
      <w:start w:val="1"/>
    </w:lvl>
  </w:abstractNum>
  <w:abstractNum w:abstractNumId="73">
    <w:nsid w:val="1A32234B"/>
    <w:multiLevelType w:val="hybridMultilevel"/>
    <w:lvl w:ilvl="0">
      <w:lvlJc w:val="left"/>
      <w:lvlText w:val="•"/>
      <w:numFmt w:val="bullet"/>
      <w:start w:val="1"/>
    </w:lvl>
  </w:abstractNum>
  <w:abstractNum w:abstractNumId="74">
    <w:nsid w:val="3B0FD379"/>
    <w:multiLevelType w:val="hybridMultilevel"/>
    <w:lvl w:ilvl="0">
      <w:lvlJc w:val="left"/>
      <w:lvlText w:val="•"/>
      <w:numFmt w:val="bullet"/>
      <w:start w:val="1"/>
    </w:lvl>
  </w:abstractNum>
  <w:abstractNum w:abstractNumId="75">
    <w:nsid w:val="68EB2F63"/>
    <w:multiLevelType w:val="hybridMultilevel"/>
    <w:lvl w:ilvl="0">
      <w:lvlJc w:val="left"/>
      <w:lvlText w:val="•"/>
      <w:numFmt w:val="bullet"/>
      <w:start w:val="1"/>
    </w:lvl>
    <w:lvl w:ilvl="1">
      <w:lvlJc w:val="left"/>
      <w:lvlText w:val="•"/>
      <w:numFmt w:val="bullet"/>
      <w:start w:val="1"/>
    </w:lvl>
  </w:abstractNum>
  <w:abstractNum w:abstractNumId="76">
    <w:nsid w:val="4962813B"/>
    <w:multiLevelType w:val="hybridMultilevel"/>
    <w:lvl w:ilvl="0">
      <w:lvlJc w:val="left"/>
      <w:lvlText w:val="(%1)"/>
      <w:numFmt w:val="lowerRoman"/>
      <w:start w:val="2"/>
    </w:lvl>
  </w:abstractNum>
  <w:abstractNum w:abstractNumId="77">
    <w:nsid w:val="60B6DF70"/>
    <w:multiLevelType w:val="hybridMultilevel"/>
    <w:lvl w:ilvl="0">
      <w:lvlJc w:val="left"/>
      <w:lvlText w:val="•"/>
      <w:numFmt w:val="bullet"/>
      <w:start w:val="1"/>
    </w:lvl>
  </w:abstractNum>
  <w:abstractNum w:abstractNumId="78">
    <w:nsid w:val="6A5EE64"/>
    <w:multiLevelType w:val="hybridMultilevel"/>
    <w:lvl w:ilvl="0">
      <w:lvlJc w:val="left"/>
      <w:lvlText w:val="•"/>
      <w:numFmt w:val="bullet"/>
      <w:start w:val="1"/>
    </w:lvl>
  </w:abstractNum>
  <w:abstractNum w:abstractNumId="79">
    <w:nsid w:val="14330624"/>
    <w:multiLevelType w:val="hybridMultilevel"/>
    <w:lvl w:ilvl="0">
      <w:lvlJc w:val="left"/>
      <w:lvlText w:val="•"/>
      <w:numFmt w:val="bullet"/>
      <w:start w:val="1"/>
    </w:lvl>
  </w:abstractNum>
  <w:abstractNum w:abstractNumId="80">
    <w:nsid w:val="7FFFCA11"/>
    <w:multiLevelType w:val="hybridMultilevel"/>
    <w:lvl w:ilvl="0">
      <w:lvlJc w:val="left"/>
      <w:lvlText w:val="•"/>
      <w:numFmt w:val="bullet"/>
      <w:start w:val="1"/>
    </w:lvl>
  </w:abstractNum>
  <w:abstractNum w:abstractNumId="81">
    <w:nsid w:val="1A27709E"/>
    <w:multiLevelType w:val="hybridMultilevel"/>
    <w:lvl w:ilvl="0">
      <w:lvlJc w:val="left"/>
      <w:lvlText w:val="•"/>
      <w:numFmt w:val="bullet"/>
      <w:start w:val="1"/>
    </w:lvl>
  </w:abstractNum>
  <w:abstractNum w:abstractNumId="82">
    <w:nsid w:val="71EA1109"/>
    <w:multiLevelType w:val="hybridMultilevel"/>
    <w:lvl w:ilvl="0">
      <w:lvlJc w:val="left"/>
      <w:lvlText w:val="•"/>
      <w:numFmt w:val="bullet"/>
      <w:start w:val="1"/>
    </w:lvl>
  </w:abstractNum>
  <w:abstractNum w:abstractNumId="83">
    <w:nsid w:val="100F59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2019-12-13T00:54:16Z</dcterms:created>
  <dcterms:modified xsi:type="dcterms:W3CDTF">2019-12-13T00:54:16Z</dcterms:modified>
</cp:coreProperties>
</file>