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October 30, 2019</w:t>
      </w:r>
    </w:p>
    <w:p>
      <w:pPr>
        <w:spacing w:after="0" w:line="200" w:lineRule="exact"/>
        <w:rPr>
          <w:sz w:val="24"/>
          <w:szCs w:val="24"/>
          <w:color w:val="auto"/>
        </w:rPr>
      </w:pP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4000" w:type="dxa"/>
            <w:vAlign w:val="bottom"/>
            <w:gridSpan w:val="3"/>
          </w:tcPr>
          <w:p>
            <w:pPr>
              <w:jc w:val="center"/>
              <w:ind w:right="643"/>
              <w:spacing w:after="0"/>
              <w:rPr>
                <w:sz w:val="20"/>
                <w:szCs w:val="20"/>
                <w:color w:val="auto"/>
              </w:rPr>
            </w:pPr>
            <w:r>
              <w:rPr>
                <w:rFonts w:ascii="Arial" w:cs="Arial" w:eastAsia="Arial" w:hAnsi="Arial"/>
                <w:sz w:val="18"/>
                <w:szCs w:val="18"/>
                <w:b w:val="1"/>
                <w:bCs w:val="1"/>
                <w:color w:val="auto"/>
                <w:w w:val="96"/>
              </w:rPr>
              <w:t>Maryland</w:t>
            </w:r>
          </w:p>
        </w:tc>
        <w:tc>
          <w:tcPr>
            <w:tcW w:w="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600" w:type="dxa"/>
            <w:vAlign w:val="bottom"/>
          </w:tcPr>
          <w:p>
            <w:pPr>
              <w:spacing w:after="0"/>
              <w:rPr>
                <w:sz w:val="20"/>
                <w:szCs w:val="20"/>
                <w:color w:val="auto"/>
              </w:rPr>
            </w:pPr>
          </w:p>
        </w:tc>
        <w:tc>
          <w:tcPr>
            <w:tcW w:w="3820" w:type="dxa"/>
            <w:vAlign w:val="bottom"/>
            <w:gridSpan w:val="2"/>
          </w:tcPr>
          <w:p>
            <w:pPr>
              <w:jc w:val="center"/>
              <w:ind w:left="1413"/>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4000" w:type="dxa"/>
            <w:vAlign w:val="bottom"/>
            <w:gridSpan w:val="3"/>
          </w:tcPr>
          <w:p>
            <w:pPr>
              <w:jc w:val="center"/>
              <w:ind w:right="643"/>
              <w:spacing w:after="0"/>
              <w:rPr>
                <w:sz w:val="20"/>
                <w:szCs w:val="20"/>
                <w:color w:val="auto"/>
              </w:rPr>
            </w:pPr>
            <w:r>
              <w:rPr>
                <w:rFonts w:ascii="Arial" w:cs="Arial" w:eastAsia="Arial" w:hAnsi="Arial"/>
                <w:sz w:val="13"/>
                <w:szCs w:val="13"/>
                <w:b w:val="1"/>
                <w:bCs w:val="1"/>
                <w:color w:val="auto"/>
                <w:w w:val="88"/>
              </w:rPr>
              <w:t>(State or other jurisdiction</w:t>
            </w:r>
          </w:p>
        </w:tc>
        <w:tc>
          <w:tcPr>
            <w:tcW w:w="960" w:type="dxa"/>
            <w:vAlign w:val="bottom"/>
          </w:tcPr>
          <w:p>
            <w:pPr>
              <w:spacing w:after="0"/>
              <w:rPr>
                <w:sz w:val="14"/>
                <w:szCs w:val="14"/>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84"/>
              </w:rPr>
              <w:t>(Commission</w:t>
            </w:r>
          </w:p>
        </w:tc>
        <w:tc>
          <w:tcPr>
            <w:tcW w:w="600" w:type="dxa"/>
            <w:vAlign w:val="bottom"/>
          </w:tcPr>
          <w:p>
            <w:pPr>
              <w:spacing w:after="0"/>
              <w:rPr>
                <w:sz w:val="14"/>
                <w:szCs w:val="14"/>
                <w:color w:val="auto"/>
              </w:rPr>
            </w:pPr>
          </w:p>
        </w:tc>
        <w:tc>
          <w:tcPr>
            <w:tcW w:w="3220" w:type="dxa"/>
            <w:vAlign w:val="bottom"/>
          </w:tcPr>
          <w:p>
            <w:pPr>
              <w:jc w:val="center"/>
              <w:ind w:left="85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643"/>
              <w:spacing w:after="0"/>
              <w:rPr>
                <w:sz w:val="20"/>
                <w:szCs w:val="20"/>
                <w:color w:val="auto"/>
              </w:rPr>
            </w:pPr>
            <w:r>
              <w:rPr>
                <w:rFonts w:ascii="Arial" w:cs="Arial" w:eastAsia="Arial" w:hAnsi="Arial"/>
                <w:sz w:val="13"/>
                <w:szCs w:val="13"/>
                <w:b w:val="1"/>
                <w:bCs w:val="1"/>
                <w:color w:val="auto"/>
                <w:w w:val="88"/>
              </w:rPr>
              <w:t>of incorporation)</w:t>
            </w:r>
          </w:p>
        </w:tc>
        <w:tc>
          <w:tcPr>
            <w:tcW w:w="960" w:type="dxa"/>
            <w:vAlign w:val="bottom"/>
          </w:tcPr>
          <w:p>
            <w:pPr>
              <w:spacing w:after="0"/>
              <w:rPr>
                <w:sz w:val="14"/>
                <w:szCs w:val="1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0"/>
              </w:rPr>
              <w:t>File Number)</w:t>
            </w:r>
          </w:p>
        </w:tc>
        <w:tc>
          <w:tcPr>
            <w:tcW w:w="600" w:type="dxa"/>
            <w:vAlign w:val="bottom"/>
          </w:tcPr>
          <w:p>
            <w:pPr>
              <w:spacing w:after="0"/>
              <w:rPr>
                <w:sz w:val="14"/>
                <w:szCs w:val="14"/>
                <w:color w:val="auto"/>
              </w:rPr>
            </w:pPr>
          </w:p>
        </w:tc>
        <w:tc>
          <w:tcPr>
            <w:tcW w:w="3220" w:type="dxa"/>
            <w:vAlign w:val="bottom"/>
          </w:tcPr>
          <w:p>
            <w:pPr>
              <w:jc w:val="center"/>
              <w:ind w:left="830"/>
              <w:spacing w:after="0"/>
              <w:rPr>
                <w:sz w:val="20"/>
                <w:szCs w:val="20"/>
                <w:color w:val="auto"/>
              </w:rPr>
            </w:pPr>
            <w:r>
              <w:rPr>
                <w:rFonts w:ascii="Arial" w:cs="Arial" w:eastAsia="Arial" w:hAnsi="Arial"/>
                <w:sz w:val="13"/>
                <w:szCs w:val="13"/>
                <w:b w:val="1"/>
                <w:bCs w:val="1"/>
                <w:color w:val="auto"/>
                <w:w w:val="91"/>
              </w:rPr>
              <w:t>Identification No.)</w:t>
            </w:r>
          </w:p>
        </w:tc>
      </w:tr>
      <w:tr>
        <w:trPr>
          <w:trHeight w:val="597"/>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Rockville,</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Maryland</w:t>
            </w:r>
          </w:p>
        </w:tc>
        <w:tc>
          <w:tcPr>
            <w:tcW w:w="382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20" w:type="dxa"/>
            <w:vAlign w:val="bottom"/>
          </w:tcPr>
          <w:p>
            <w:pPr>
              <w:jc w:val="center"/>
              <w:ind w:right="1870"/>
              <w:spacing w:after="0"/>
              <w:rPr>
                <w:sz w:val="20"/>
                <w:szCs w:val="20"/>
                <w:color w:val="auto"/>
              </w:rPr>
            </w:pPr>
            <w:r>
              <w:rPr>
                <w:rFonts w:ascii="Arial" w:cs="Arial" w:eastAsia="Arial" w:hAnsi="Arial"/>
                <w:sz w:val="13"/>
                <w:szCs w:val="13"/>
                <w:b w:val="1"/>
                <w:bCs w:val="1"/>
                <w:color w:val="auto"/>
                <w:w w:val="93"/>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00" w:type="dxa"/>
            <w:vAlign w:val="bottom"/>
            <w:gridSpan w:val="6"/>
          </w:tcPr>
          <w:p>
            <w:pPr>
              <w:jc w:val="center"/>
              <w:ind w:right="2210"/>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23"/>
              <w:spacing w:after="0"/>
              <w:rPr>
                <w:sz w:val="20"/>
                <w:szCs w:val="20"/>
                <w:color w:val="auto"/>
              </w:rPr>
            </w:pPr>
            <w:r>
              <w:rPr>
                <w:rFonts w:ascii="Arial" w:cs="Arial" w:eastAsia="Arial" w:hAnsi="Arial"/>
                <w:sz w:val="16"/>
                <w:szCs w:val="16"/>
                <w:b w:val="1"/>
                <w:bCs w:val="1"/>
                <w:color w:val="auto"/>
                <w:w w:val="91"/>
              </w:rPr>
              <w:t>Title of Each Class</w:t>
            </w:r>
          </w:p>
        </w:tc>
        <w:tc>
          <w:tcPr>
            <w:tcW w:w="96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Trading Symbol</w:t>
            </w:r>
          </w:p>
        </w:tc>
        <w:tc>
          <w:tcPr>
            <w:tcW w:w="3820" w:type="dxa"/>
            <w:vAlign w:val="bottom"/>
            <w:gridSpan w:val="2"/>
          </w:tcPr>
          <w:p>
            <w:pPr>
              <w:jc w:val="center"/>
              <w:ind w:left="513"/>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1"/>
        </w:trPr>
        <w:tc>
          <w:tcPr>
            <w:tcW w:w="4000" w:type="dxa"/>
            <w:vAlign w:val="bottom"/>
            <w:gridSpan w:val="3"/>
          </w:tcPr>
          <w:p>
            <w:pPr>
              <w:jc w:val="center"/>
              <w:ind w:left="223"/>
              <w:spacing w:after="0"/>
              <w:rPr>
                <w:sz w:val="20"/>
                <w:szCs w:val="20"/>
                <w:color w:val="auto"/>
              </w:rPr>
            </w:pPr>
            <w:r>
              <w:rPr>
                <w:rFonts w:ascii="Arial" w:cs="Arial" w:eastAsia="Arial" w:hAnsi="Arial"/>
                <w:sz w:val="16"/>
                <w:szCs w:val="16"/>
                <w:color w:val="auto"/>
                <w:w w:val="92"/>
              </w:rPr>
              <w:t>Common Shares of Beneficial Interest</w:t>
            </w:r>
          </w:p>
        </w:tc>
        <w:tc>
          <w:tcPr>
            <w:tcW w:w="96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FRT</w:t>
            </w:r>
          </w:p>
        </w:tc>
        <w:tc>
          <w:tcPr>
            <w:tcW w:w="6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60" w:type="dxa"/>
            <w:vAlign w:val="bottom"/>
            <w:gridSpan w:val="4"/>
          </w:tcPr>
          <w:p>
            <w:pPr>
              <w:jc w:val="center"/>
              <w:ind w:right="57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23"/>
              <w:spacing w:after="0"/>
              <w:rPr>
                <w:sz w:val="20"/>
                <w:szCs w:val="20"/>
                <w:color w:val="auto"/>
              </w:rPr>
            </w:pPr>
            <w:r>
              <w:rPr>
                <w:rFonts w:ascii="Arial" w:cs="Arial" w:eastAsia="Arial" w:hAnsi="Arial"/>
                <w:sz w:val="16"/>
                <w:szCs w:val="16"/>
                <w:color w:val="auto"/>
                <w:w w:val="92"/>
              </w:rPr>
              <w:t>Rights</w:t>
            </w: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23"/>
              <w:spacing w:after="0"/>
              <w:rPr>
                <w:sz w:val="20"/>
                <w:szCs w:val="20"/>
                <w:color w:val="auto"/>
              </w:rPr>
            </w:pPr>
            <w:r>
              <w:rPr>
                <w:rFonts w:ascii="Arial" w:cs="Arial" w:eastAsia="Arial" w:hAnsi="Arial"/>
                <w:sz w:val="16"/>
                <w:szCs w:val="16"/>
                <w:color w:val="auto"/>
                <w:w w:val="90"/>
              </w:rPr>
              <w:t>Depositary Shares, each representing 1/1000 of a share</w:t>
            </w:r>
          </w:p>
        </w:tc>
        <w:tc>
          <w:tcPr>
            <w:tcW w:w="96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FRT-C</w:t>
            </w:r>
          </w:p>
        </w:tc>
        <w:tc>
          <w:tcPr>
            <w:tcW w:w="6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6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68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right="4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4"/>
          <w:szCs w:val="24"/>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4"/>
          <w:szCs w:val="24"/>
          <w:color w:val="auto"/>
        </w:rPr>
      </w:pPr>
    </w:p>
    <w:p>
      <w:pPr>
        <w:ind w:right="200" w:firstLine="648"/>
        <w:spacing w:after="0" w:line="253" w:lineRule="auto"/>
        <w:rPr>
          <w:sz w:val="20"/>
          <w:szCs w:val="20"/>
          <w:color w:val="auto"/>
        </w:rPr>
      </w:pPr>
      <w:r>
        <w:rPr>
          <w:rFonts w:ascii="Arial" w:cs="Arial" w:eastAsia="Arial" w:hAnsi="Arial"/>
          <w:sz w:val="22"/>
          <w:szCs w:val="22"/>
          <w:color w:val="auto"/>
        </w:rPr>
        <w:t>On October 30, 2019, Federal Realty Investment Trust issued supplemental data pertaining to its operations, as well as a press release, to report its financial results for the quarter ended September 30, 2019. The supplemental data and press release are furnished as Exhibit 99.1 hereto.</w:t>
      </w:r>
    </w:p>
    <w:p>
      <w:pPr>
        <w:spacing w:after="0" w:line="180" w:lineRule="exact"/>
        <w:rPr>
          <w:sz w:val="24"/>
          <w:szCs w:val="24"/>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ectPr>
          <w:pgSz w:w="11900" w:h="16838" w:orient="portrait"/>
          <w:cols w:equalWidth="0" w:num="1">
            <w:col w:w="11380"/>
          </w:cols>
          <w:pgMar w:left="240" w:top="679" w:right="279" w:bottom="0" w:gutter="0" w:footer="0" w:header="0"/>
        </w:sectPr>
      </w:pPr>
    </w:p>
    <w:bookmarkStart w:id="1" w:name="page2"/>
    <w:bookmarkEnd w:id="1"/>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2019 (including press release dated October 30, 2019)</w:t>
      </w:r>
    </w:p>
    <w:p>
      <w:pPr>
        <w:spacing w:after="0" w:line="274" w:lineRule="exact"/>
        <w:rPr>
          <w:sz w:val="20"/>
          <w:szCs w:val="20"/>
          <w:color w:val="auto"/>
        </w:rPr>
      </w:pPr>
    </w:p>
    <w:p>
      <w:pPr>
        <w:ind w:left="1300" w:right="60" w:firstLine="653"/>
        <w:spacing w:after="0" w:line="263" w:lineRule="auto"/>
        <w:tabs>
          <w:tab w:leader="none" w:pos="2488" w:val="left"/>
        </w:tabs>
        <w:numPr>
          <w:ilvl w:val="0"/>
          <w:numId w:val="2"/>
        </w:numPr>
        <w:rPr>
          <w:rFonts w:ascii="Arial" w:cs="Arial" w:eastAsia="Arial" w:hAnsi="Arial"/>
          <w:sz w:val="22"/>
          <w:szCs w:val="22"/>
          <w:color w:val="auto"/>
        </w:rPr>
      </w:pPr>
      <w:r>
        <w:rPr>
          <w:rFonts w:ascii="Arial" w:cs="Arial" w:eastAsia="Arial" w:hAnsi="Arial"/>
          <w:sz w:val="22"/>
          <w:szCs w:val="22"/>
          <w:color w:val="auto"/>
        </w:rPr>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October 30, 2019</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280"/>
          </w:cols>
          <w:pgMar w:left="240" w:top="348"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tcPr>
          <w:p>
            <w:pPr>
              <w:ind w:left="2960"/>
              <w:spacing w:after="0"/>
              <w:rPr>
                <w:sz w:val="20"/>
                <w:szCs w:val="20"/>
                <w:color w:val="auto"/>
              </w:rPr>
            </w:pPr>
            <w:r>
              <w:rPr>
                <w:rFonts w:ascii="Arial" w:cs="Arial" w:eastAsia="Arial" w:hAnsi="Arial"/>
                <w:sz w:val="22"/>
                <w:szCs w:val="22"/>
                <w:color w:val="auto"/>
              </w:rPr>
              <w:t>EXHIBIT INDEX</w:t>
            </w:r>
          </w:p>
        </w:tc>
      </w:tr>
      <w:tr>
        <w:trPr>
          <w:trHeight w:val="800"/>
        </w:trPr>
        <w:tc>
          <w:tcPr>
            <w:tcW w:w="40" w:type="dxa"/>
            <w:vAlign w:val="bottom"/>
          </w:tcPr>
          <w:p>
            <w:pPr>
              <w:spacing w:after="0"/>
              <w:rPr>
                <w:sz w:val="24"/>
                <w:szCs w:val="24"/>
                <w:color w:val="auto"/>
              </w:rPr>
            </w:pPr>
          </w:p>
        </w:tc>
        <w:tc>
          <w:tcPr>
            <w:tcW w:w="192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 Number</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1840" w:type="dxa"/>
            <w:vAlign w:val="bottom"/>
            <w:gridSpan w:val="3"/>
          </w:tcPr>
          <w:p>
            <w:pPr>
              <w:ind w:lef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2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Arial" w:cs="Arial" w:eastAsia="Arial" w:hAnsi="Arial"/>
                <w:sz w:val="18"/>
                <w:szCs w:val="18"/>
                <w:color w:val="auto"/>
              </w:rPr>
              <w:t>Supplemental Information at September 30, 2019</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412"/>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104</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Cover Page Interactive Data File (the Cover Page Interactive Data File is embedded within the Inline XBRL Document</w:t>
            </w:r>
          </w:p>
        </w:tc>
      </w:tr>
    </w:tbl>
    <w:p>
      <w:pPr>
        <w:sectPr>
          <w:pgSz w:w="11900" w:h="16838" w:orient="portrait"/>
          <w:cols w:equalWidth="0" w:num="1">
            <w:col w:w="11420"/>
          </w:cols>
          <w:pgMar w:left="240" w:top="5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2019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76" w:lineRule="exact"/>
        <w:rPr>
          <w:sz w:val="20"/>
          <w:szCs w:val="20"/>
          <w:color w:val="auto"/>
        </w:rPr>
      </w:pPr>
    </w:p>
    <w:p>
      <w:pPr>
        <w:ind w:left="900" w:hanging="87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Finance Lease Liabilities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2019 Significant Property Acquisitions, Dispositions, and Other Transactions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620395</wp:posOffset>
            </wp:positionV>
            <wp:extent cx="2195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460" w:type="dxa"/>
            <w:vAlign w:val="bottom"/>
          </w:tcPr>
          <w:p>
            <w:pPr>
              <w:spacing w:after="0"/>
              <w:rPr>
                <w:sz w:val="24"/>
                <w:szCs w:val="24"/>
                <w:color w:val="auto"/>
              </w:rPr>
            </w:pPr>
          </w:p>
        </w:tc>
      </w:tr>
      <w:tr>
        <w:trPr>
          <w:trHeight w:val="486"/>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46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46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Investor Relations Senior Manager</w:t>
            </w:r>
          </w:p>
        </w:tc>
        <w:tc>
          <w:tcPr>
            <w:tcW w:w="546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46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460" w:type="dxa"/>
            <w:vAlign w:val="bottom"/>
          </w:tcPr>
          <w:p>
            <w:pPr>
              <w:jc w:val="right"/>
              <w:spacing w:after="0"/>
              <w:rPr>
                <w:sz w:val="20"/>
                <w:szCs w:val="20"/>
                <w:color w:val="auto"/>
              </w:rPr>
            </w:pPr>
            <w:r>
              <w:rPr>
                <w:rFonts w:ascii="Arial" w:cs="Arial" w:eastAsia="Arial" w:hAnsi="Arial"/>
                <w:sz w:val="18"/>
                <w:szCs w:val="18"/>
                <w:i w:val="1"/>
                <w:iCs w:val="1"/>
                <w:color w:val="auto"/>
              </w:rPr>
              <w:t>bpomar@federalrealty.com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2019 Operating Results</w:t>
      </w:r>
    </w:p>
    <w:p>
      <w:pPr>
        <w:spacing w:after="0" w:line="30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 xml:space="preserve">ROCKVILLE, Md. (October 30, 2019)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third quarter ended September 30, 2019. For the three months ended September 30, 2019 and 2018, net income available for common shareholders was $0.84 per diluted share and $0.82 per diluted share,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quarter include:</w:t>
      </w:r>
    </w:p>
    <w:p>
      <w:pPr>
        <w:spacing w:after="0" w:line="239" w:lineRule="exact"/>
        <w:rPr>
          <w:sz w:val="20"/>
          <w:szCs w:val="20"/>
          <w:color w:val="auto"/>
        </w:rPr>
      </w:pPr>
    </w:p>
    <w:p>
      <w:pPr>
        <w:ind w:left="660" w:hanging="328"/>
        <w:spacing w:after="0" w:line="3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$1.43 for the quarter ($1.59 excluding the charge related to the buyout of the Kmart lease at Assembly) compared to $1.58 in the third quarter 2018.</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2.1% for the third quarter.</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Signed leases for 468,643 sf of comparable space in the third quarter at an average rent of $38.93 psf and achieved cash basis rollover growth on those comparable spaces of 7%.</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Opportunistically issued $100 million aggregate principal of Notes due 2029 at an effective yield of 2.744%.</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364" w:lineRule="auto"/>
        <w:rPr>
          <w:sz w:val="20"/>
          <w:szCs w:val="20"/>
          <w:color w:val="auto"/>
        </w:rPr>
      </w:pPr>
      <w:r>
        <w:rPr>
          <w:rFonts w:ascii="Arial" w:cs="Arial" w:eastAsia="Arial" w:hAnsi="Arial"/>
          <w:sz w:val="18"/>
          <w:szCs w:val="18"/>
          <w:color w:val="auto"/>
        </w:rPr>
        <w:t>“An overall solid operating quarter for the Company made even better by numerous strategic initiatives that will benefit the future,” said Donald C. Wood, President and Chief Executive Officer. “Opportunities that availed themselves to us in the third quarter like the targeted acquisition of the Kmart parcel at Assembly and important lease recaptures elsewhere enable future development that pave the way for a clear path to further value enhancement.”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0"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Net income available for common shareholders was $63.5 million and earnings per diluted share was $0.84 for third quarter 2019 versus $60.5 million and $0.82, respectively, for third quarter 2018.</w:t>
      </w:r>
    </w:p>
    <w:p>
      <w:pPr>
        <w:spacing w:after="0" w:line="11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the third quarter 2019, Federal Realty generated FFO of $108.0 million, or $1.43 per diluted share ($1.59 excluding the $11.9 million charge related to the buyout of the Kmart lease at Assembly). This compares to FFO of $117.3 million, or $1.58 per diluted share, in the third quarter 2018.</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ind w:right="800"/>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overall portfolio was 94.2% leased as of September 30, 2019, and the comparable portfolio was 94.9% leased. In the third quarter 2019, comparable property POI increased 2.1%.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Additionally, the charge related to the buyout of the Kmart lease at Assembly is excluded.</w:t>
      </w:r>
    </w:p>
    <w:p>
      <w:pPr>
        <w:spacing w:after="0" w:line="123" w:lineRule="exact"/>
        <w:rPr>
          <w:sz w:val="20"/>
          <w:szCs w:val="20"/>
          <w:color w:val="auto"/>
        </w:rPr>
      </w:pPr>
    </w:p>
    <w:p>
      <w:pPr>
        <w:ind w:right="380"/>
        <w:spacing w:after="0" w:line="364" w:lineRule="auto"/>
        <w:rPr>
          <w:sz w:val="20"/>
          <w:szCs w:val="20"/>
          <w:color w:val="auto"/>
        </w:rPr>
      </w:pPr>
      <w:r>
        <w:rPr>
          <w:rFonts w:ascii="Arial" w:cs="Arial" w:eastAsia="Arial" w:hAnsi="Arial"/>
          <w:sz w:val="18"/>
          <w:szCs w:val="18"/>
          <w:color w:val="auto"/>
        </w:rPr>
        <w:t>During the third quarter 2019, Federal Realty signed 103 leases for 491,414 square feet of retail space. On a comparable space basis (i.e., spaces for which there was a former tenant), Federal Realty leased 468,643 square feet at an average rent of $38.93 per square foot compared to the average contractual rent of $36.31 per square foot for the last year of the prior leases, representing a cash basis rollover growth on those comparable spaces of 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6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declared a regular quarterly cash dividend of $1.05 per common share, resulting in an indicated annual rate of $4.20 per common share. The regular common dividend will be payable on January 15, 2020, to common shareholders of record as of January 2,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w:t>
      </w:r>
    </w:p>
    <w:p>
      <w:pPr>
        <w:spacing w:after="0" w:line="104"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5.000% Series C Cumulative Preferred Share of Beneficial Interest, of $0.3125 per depositary share. All dividends on the depositary shares will be payable on January 15, 2020 to shareholders of record as of January 2,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August 12, 2019 - Federal Realty acquired the Kmart lease at Assembly for $14.5 million, unlocking significant value creation potential on a 6 acre parcel of land at its highly successful Assembly Row project.</w:t>
      </w:r>
    </w:p>
    <w:p>
      <w:pPr>
        <w:spacing w:after="0" w:line="11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August 21, 2019 - Federal Realty issued $100 million aggregate principal amount of Notes due 2029 at an effective yield of 2.744%. The notes have the same terms and are of the same series as the notes that Federal Realty issued on June 7, 2019. Federal Realty used the net proceeds from the offering to reduce amounts outstanding under its revolving credit facility and for general corporate purposes.</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October 11, 2019 - Federal Realty closed on the sale of Plaza Pacoima for $51.3 million. Plaza Pacoima is a 204,000 square foot Costco and Best Buy anchored power center located in Pacoima, California. The property was part of the Primestor Joint Venture formed in 2017 and was planned for sale as part of that acquisition. Year-to-date, Federal Realty has completed $149 million of dispositions.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30" w:right="239" w:bottom="1440" w:gutter="0" w:footer="0" w:header="0"/>
        </w:sectPr>
      </w:pPr>
    </w:p>
    <w:bookmarkStart w:id="7" w:name="page8"/>
    <w:bookmarkEnd w:id="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revised its 2019 guidance for FFO per diluted share to a range of $6.16 to $6.22 ($6.32 to $6.38 excluding the charge related to the buyout of the Kmart lease at Assembly) and 2019 earnings per diluted share guidance to $3.48 to $3.54.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2019 earnings conference call, which is scheduled for Thursday October 31, 2019 at 10:00AM ET. To participate, please call 877.407.9208 five to ten minutes prior to the call start time and use the passcode 13694901 (required). A replay of the webcast will be available on Federal Realty’s website at www.federalrealty.com. A telephonic replay of the conference call will also be available through November 14, 2019 by dialing 844.512.2921; Passcode: 13694901.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24 million square feet, and over 2,600 residential units.</w:t>
      </w:r>
    </w:p>
    <w:p>
      <w:pPr>
        <w:spacing w:after="0" w:line="124"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52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6"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ind w:left="660"/>
        <w:spacing w:after="0" w:line="34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of space, insurance and other operations may increase, that environmental issues may develop at our properties and result in unanticipated costs, and, because real estate is illiquid, that we may not be able to sell properties when appropriate;</w:t>
      </w:r>
    </w:p>
    <w:p>
      <w:pPr>
        <w:spacing w:after="0" w:line="1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2019.</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0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694,435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677,776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233,947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696,639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680,060</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126,587</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81,883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85,841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60,778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178,327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177,269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432,439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413,677</w:t>
            </w: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 net of tax</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294,690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276,796</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from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211,576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192,644</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187,400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63,455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60,548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200,480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181,369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74,832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73,400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74,584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73,100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73,136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6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$1,536,443 and $1,701,804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7,302,912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7,307,622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$97,922 and $51,313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691,989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495,274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8,044,736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$289,739 and $292,374 of consolidated variable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(2,190,486)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5,854,250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5,760,329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162,543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142,237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94,271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239,477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265,703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6,607,565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$389,523 and $444,388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466,600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474,379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279,027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2,806,422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2,404,279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221,781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177,922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78,207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165,542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182,898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3,912,162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3,686,106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122,282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136,208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75,494,931 and 74,249,633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3,167,460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3,004,442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(818,877)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2,469,928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2,345,891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103,193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121,439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2,573,121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2,467,330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6,607,565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44"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0"/>
              </w:rPr>
              <w:t>Funds from Operations available for common shareholders (FFO) (1) (2)</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67,106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64,180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211,576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w w:val="98"/>
              </w:rPr>
              <w:t>192,644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(5,244)</w:t>
            </w: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Gain on sale of real estate, net</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(10,413)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160,253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157,494</w:t>
            </w: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14,534</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109,491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350,439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349,015</w:t>
            </w: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(5,625)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2,299</w:t>
            </w: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(1,139)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FFO (3)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107,960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117,334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345,858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344,550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584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75,554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74,254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75,342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73,992</w:t>
            </w:r>
          </w:p>
        </w:tc>
      </w:tr>
      <w:tr>
        <w:trPr>
          <w:trHeight w:val="251"/>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FFO per diluted share (3)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4.66</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336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272,049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208,965</w:t>
            </w:r>
          </w:p>
        </w:tc>
      </w:tr>
      <w:tr>
        <w:trPr>
          <w:trHeight w:val="243"/>
        </w:trPr>
        <w:tc>
          <w:tcPr>
            <w:tcW w:w="20" w:type="dxa"/>
            <w:vAlign w:val="bottom"/>
          </w:tcPr>
          <w:p>
            <w:pPr>
              <w:spacing w:after="0"/>
              <w:rPr>
                <w:sz w:val="21"/>
                <w:szCs w:val="21"/>
                <w:color w:val="auto"/>
              </w:rPr>
            </w:pPr>
          </w:p>
        </w:tc>
        <w:tc>
          <w:tcPr>
            <w:tcW w:w="5820" w:type="dxa"/>
            <w:vAlign w:val="bottom"/>
            <w:gridSpan w:val="5"/>
          </w:tcPr>
          <w:p>
            <w:pPr>
              <w:ind w:left="36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14,746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40,221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34,709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312,270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243,674</w:t>
            </w:r>
          </w:p>
        </w:tc>
      </w:tr>
      <w:tr>
        <w:trPr>
          <w:trHeight w:val="243"/>
        </w:trPr>
        <w:tc>
          <w:tcPr>
            <w:tcW w:w="20" w:type="dxa"/>
            <w:vAlign w:val="bottom"/>
          </w:tcPr>
          <w:p>
            <w:pPr>
              <w:spacing w:after="0"/>
              <w:rPr>
                <w:sz w:val="21"/>
                <w:szCs w:val="21"/>
                <w:color w:val="auto"/>
              </w:rPr>
            </w:pPr>
          </w:p>
        </w:tc>
        <w:tc>
          <w:tcPr>
            <w:tcW w:w="5820" w:type="dxa"/>
            <w:vAlign w:val="bottom"/>
            <w:gridSpan w:val="5"/>
          </w:tcPr>
          <w:p>
            <w:pPr>
              <w:ind w:left="36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10,751</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146,766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83,345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323,371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254,425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3720" w:type="dxa"/>
            <w:vAlign w:val="bottom"/>
            <w:tcBorders>
              <w:bottom w:val="single" w:sz="8" w:color="CCEEFF"/>
            </w:tcBorders>
            <w:gridSpan w:val="4"/>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79,102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75,224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231,657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w w:val="98"/>
              </w:rPr>
              <w:t>221,623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Dividend payout ratio as a percentage of FFO (3)</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8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2"/>
              </w:rPr>
              <w:t>Noncontrolling Interests Supplemental Information (4)</w:t>
            </w:r>
          </w:p>
        </w:tc>
        <w:tc>
          <w:tcPr>
            <w:tcW w:w="18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Property operating income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9,191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9,651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(4,902)</w:t>
            </w:r>
          </w:p>
        </w:tc>
      </w:tr>
      <w:tr>
        <w:trPr>
          <w:trHeight w:val="243"/>
        </w:trPr>
        <w:tc>
          <w:tcPr>
            <w:tcW w:w="5840" w:type="dxa"/>
            <w:vAlign w:val="bottom"/>
            <w:gridSpan w:val="6"/>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(1,804)</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2,945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 w:lineRule="exact"/>
        <w:rPr>
          <w:rFonts w:ascii="Arial" w:cs="Arial" w:eastAsia="Arial" w:hAnsi="Arial"/>
          <w:sz w:val="16"/>
          <w:szCs w:val="16"/>
          <w:color w:val="auto"/>
        </w:rPr>
      </w:pPr>
    </w:p>
    <w:p>
      <w:pPr>
        <w:ind w:left="660" w:right="60" w:hanging="652"/>
        <w:spacing w:after="0" w:line="26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connection with the adoption of the new lease accounting standard, effective January 1, 2019, certain internal and external legal leasing costs no longer qualify for capitalization. As a result, capitalized leasing costs excluding external commissions decreased to $0.7 million and $1.7 million for the three and nine months ended September 30, 2019, respectively, from $1.7 million and $5.3 million for the three and nine months ended September 30, 2018, respectively.</w:t>
      </w:r>
    </w:p>
    <w:p>
      <w:pPr>
        <w:ind w:left="660" w:right="120" w:hanging="652"/>
        <w:spacing w:after="0" w:line="25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Funds from operations available for common shareholders includes an $11.9 million charge related to the buyout of the Kmart lease at Assembly Row Marketplace. If this charge was excluded, our FFO, FFO per diluted share, and dividend payout ratio as a percentage of FFO would have been: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6"/>
                <w:szCs w:val="16"/>
                <w:color w:val="auto"/>
              </w:rPr>
            </w:pPr>
          </w:p>
        </w:tc>
        <w:tc>
          <w:tcPr>
            <w:tcW w:w="158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Nine Months Ended</w:t>
            </w:r>
          </w:p>
        </w:tc>
      </w:tr>
      <w:tr>
        <w:trPr>
          <w:trHeight w:val="276"/>
        </w:trPr>
        <w:tc>
          <w:tcPr>
            <w:tcW w:w="7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7"/>
              </w:rPr>
              <w:t>September 30, 2019</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September 30, 2019</w:t>
            </w:r>
          </w:p>
        </w:tc>
      </w:tr>
      <w:tr>
        <w:trPr>
          <w:trHeight w:val="250"/>
        </w:trPr>
        <w:tc>
          <w:tcPr>
            <w:tcW w:w="7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8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119,837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357,735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FFO per diluted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9"/>
              <w:spacing w:after="0"/>
              <w:rPr>
                <w:sz w:val="20"/>
                <w:szCs w:val="20"/>
                <w:color w:val="auto"/>
              </w:rPr>
            </w:pPr>
            <w:r>
              <w:rPr>
                <w:rFonts w:ascii="Arial" w:cs="Arial" w:eastAsia="Arial" w:hAnsi="Arial"/>
                <w:sz w:val="18"/>
                <w:szCs w:val="18"/>
                <w:color w:val="auto"/>
              </w:rPr>
              <w:t>1.59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7"/>
              <w:spacing w:after="0"/>
              <w:rPr>
                <w:sz w:val="20"/>
                <w:szCs w:val="20"/>
                <w:color w:val="auto"/>
              </w:rPr>
            </w:pPr>
            <w:r>
              <w:rPr>
                <w:rFonts w:ascii="Arial" w:cs="Arial" w:eastAsia="Arial" w:hAnsi="Arial"/>
                <w:sz w:val="18"/>
                <w:szCs w:val="18"/>
                <w:color w:val="auto"/>
              </w:rPr>
              <w:t>4.75</w:t>
            </w: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4)Amounts reflect the components of "net income attributable to noncontrolling interests," but excludes "income attributable to operating partnership units."</w:t>
      </w:r>
    </w:p>
    <w:p>
      <w:pPr>
        <w:sectPr>
          <w:pgSz w:w="11900" w:h="16838" w:orient="portrait"/>
          <w:cols w:equalWidth="0" w:num="1">
            <w:col w:w="11420"/>
          </w:cols>
          <w:pgMar w:left="240" w:top="742" w:right="239" w:bottom="1002"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002"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76,122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74,599</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126.47</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10,363,249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9,434,536</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10,523,249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9,594,536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(3)</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3,276,911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3,185,105</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97"/>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13,800,160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12,779,641</w:t>
            </w:r>
          </w:p>
        </w:tc>
      </w:tr>
      <w:tr>
        <w:trPr>
          <w:trHeight w:val="271"/>
        </w:trPr>
        <w:tc>
          <w:tcPr>
            <w:tcW w:w="8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626,619 and 739,287 operating partnership units outstanding at September 30, 2019 and 2018,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jc w:val="both"/>
        <w:ind w:left="660" w:right="80" w:hanging="652"/>
        <w:spacing w:after="0" w:line="31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debt includes mortgages payable, notes payable, senior notes and debentures, net of premiums/discounts and debt issuance costs from our consolidated balance sheet. The previously reported 2018 balance has been adjusted to exclude capital lease obligations, as finance lease liabilities are no longer included in debt upon the adoption of the new lease accounting standard. See Note 2 of our September 30, 2019 Form 10-Q for additional information regarding the adoption.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363" w:lineRule="exact"/>
        <w:rPr>
          <w:sz w:val="20"/>
          <w:szCs w:val="20"/>
          <w:color w:val="auto"/>
        </w:rPr>
      </w:pPr>
    </w:p>
    <w:p>
      <w:pPr>
        <w:ind w:left="40" w:right="260"/>
        <w:spacing w:after="0" w:line="274" w:lineRule="auto"/>
        <w:rPr>
          <w:sz w:val="20"/>
          <w:szCs w:val="20"/>
          <w:color w:val="auto"/>
        </w:rPr>
      </w:pPr>
      <w:r>
        <w:rPr>
          <w:rFonts w:ascii="Arial" w:cs="Arial" w:eastAsia="Arial" w:hAnsi="Arial"/>
          <w:sz w:val="17"/>
          <w:szCs w:val="17"/>
          <w:color w:val="auto"/>
        </w:rPr>
        <w:t>Effective January 1, 2019, we adopted the accounting guidance in ASU 2016-2, Leases (Topic 842), which resulted in several presentation changes with respect to our 2019 Consolidated Income Statements.</w:t>
      </w:r>
    </w:p>
    <w:p>
      <w:pPr>
        <w:spacing w:after="0" w:line="13" w:lineRule="exact"/>
        <w:rPr>
          <w:sz w:val="20"/>
          <w:szCs w:val="20"/>
          <w:color w:val="auto"/>
        </w:rPr>
      </w:pPr>
    </w:p>
    <w:p>
      <w:pPr>
        <w:ind w:left="420" w:right="160" w:hanging="86"/>
        <w:spacing w:after="0" w:line="261" w:lineRule="auto"/>
        <w:tabs>
          <w:tab w:leader="none" w:pos="420" w:val="left"/>
        </w:tabs>
        <w:numPr>
          <w:ilvl w:val="0"/>
          <w:numId w:val="10"/>
        </w:numPr>
        <w:rPr>
          <w:rFonts w:ascii="Arial" w:cs="Arial" w:eastAsia="Arial" w:hAnsi="Arial"/>
          <w:sz w:val="9"/>
          <w:szCs w:val="9"/>
          <w:color w:val="auto"/>
        </w:rPr>
      </w:pPr>
      <w:r>
        <w:rPr>
          <w:rFonts w:ascii="Arial" w:cs="Arial" w:eastAsia="Arial" w:hAnsi="Arial"/>
          <w:sz w:val="17"/>
          <w:szCs w:val="17"/>
          <w:color w:val="auto"/>
        </w:rPr>
        <w:t>All income from tenant leases are reported as a single line item called “Rental Income.” We have provided below supplemental information with a breakout of the contractual components of the rental income line, however, these breakouts are provided for informational purposes only and should be considered a non-GAAP presentation.</w:t>
      </w:r>
    </w:p>
    <w:p>
      <w:pPr>
        <w:spacing w:after="0" w:line="24" w:lineRule="exact"/>
        <w:rPr>
          <w:rFonts w:ascii="Arial" w:cs="Arial" w:eastAsia="Arial" w:hAnsi="Arial"/>
          <w:sz w:val="9"/>
          <w:szCs w:val="9"/>
          <w:color w:val="auto"/>
        </w:rPr>
      </w:pPr>
    </w:p>
    <w:p>
      <w:pPr>
        <w:jc w:val="both"/>
        <w:ind w:left="420" w:right="120" w:hanging="86"/>
        <w:spacing w:after="0" w:line="261" w:lineRule="auto"/>
        <w:tabs>
          <w:tab w:leader="none" w:pos="420" w:val="left"/>
        </w:tabs>
        <w:numPr>
          <w:ilvl w:val="0"/>
          <w:numId w:val="10"/>
        </w:numPr>
        <w:rPr>
          <w:rFonts w:ascii="Arial" w:cs="Arial" w:eastAsia="Arial" w:hAnsi="Arial"/>
          <w:sz w:val="9"/>
          <w:szCs w:val="9"/>
          <w:color w:val="auto"/>
        </w:rPr>
      </w:pPr>
      <w:r>
        <w:rPr>
          <w:rFonts w:ascii="Arial" w:cs="Arial" w:eastAsia="Arial" w:hAnsi="Arial"/>
          <w:sz w:val="17"/>
          <w:szCs w:val="17"/>
          <w:color w:val="auto"/>
        </w:rPr>
        <w:t>Real estate taxes paid directly to the taxing authority by our tenants are no longer presented gross as “real estate tax expense” and “rental income” (this amount was approximately $1 million and $4 million for the three and nine months ended September 30, 2018, respectively). This change is only reflected in the 2019 results.</w:t>
      </w:r>
    </w:p>
    <w:p>
      <w:pPr>
        <w:spacing w:after="0" w:line="24" w:lineRule="exact"/>
        <w:rPr>
          <w:rFonts w:ascii="Arial" w:cs="Arial" w:eastAsia="Arial" w:hAnsi="Arial"/>
          <w:sz w:val="9"/>
          <w:szCs w:val="9"/>
          <w:color w:val="auto"/>
        </w:rPr>
      </w:pPr>
    </w:p>
    <w:p>
      <w:pPr>
        <w:jc w:val="both"/>
        <w:ind w:left="420" w:right="340" w:hanging="86"/>
        <w:spacing w:after="0" w:line="342" w:lineRule="auto"/>
        <w:tabs>
          <w:tab w:leader="none" w:pos="420" w:val="left"/>
        </w:tabs>
        <w:numPr>
          <w:ilvl w:val="0"/>
          <w:numId w:val="10"/>
        </w:numPr>
        <w:rPr>
          <w:rFonts w:ascii="Arial" w:cs="Arial" w:eastAsia="Arial" w:hAnsi="Arial"/>
          <w:sz w:val="8"/>
          <w:szCs w:val="8"/>
          <w:color w:val="auto"/>
        </w:rPr>
      </w:pPr>
      <w:r>
        <w:rPr>
          <w:rFonts w:ascii="Arial" w:cs="Arial" w:eastAsia="Arial" w:hAnsi="Arial"/>
          <w:sz w:val="15"/>
          <w:szCs w:val="15"/>
          <w:color w:val="auto"/>
        </w:rPr>
        <w:t>Bad debt expense is no longer reflected in “rental expenses” but instead is a direct reduction of “rental income.” This change is reflected in the 2019 results only, and is a reduction of rental income of approximately $1 million and $3 million, respectively, for the three and nine months ended September 30, 2019.</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157,562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153,923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470,962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459,496</w:t>
            </w:r>
          </w:p>
        </w:tc>
      </w:tr>
      <w:tr>
        <w:trPr>
          <w:trHeight w:val="27"/>
        </w:trPr>
        <w:tc>
          <w:tcPr>
            <w:tcW w:w="5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58,601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51,866</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44,026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44,044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128,585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131,779</w:t>
            </w:r>
          </w:p>
        </w:tc>
      </w:tr>
      <w:tr>
        <w:trPr>
          <w:trHeight w:val="27"/>
        </w:trPr>
        <w:tc>
          <w:tcPr>
            <w:tcW w:w="5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29,606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26,762</w:t>
            </w:r>
          </w:p>
        </w:tc>
      </w:tr>
      <w:tr>
        <w:trPr>
          <w:trHeight w:val="27"/>
        </w:trPr>
        <w:tc>
          <w:tcPr>
            <w:tcW w:w="5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233,212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228,960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694,435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677,776</w:t>
            </w: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61" w:lineRule="exact"/>
        <w:rPr>
          <w:sz w:val="20"/>
          <w:szCs w:val="20"/>
          <w:color w:val="auto"/>
        </w:rPr>
      </w:pPr>
    </w:p>
    <w:p>
      <w:pPr>
        <w:ind w:left="660" w:right="100" w:hanging="652"/>
        <w:spacing w:after="0" w:line="27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Minimum rents include $1.7 million and $1.4 million for the three months ended September 30, 2019 and 2018, respectively, and $6.0 million and $4.7 million for the nine months ended September 30, 2019 and 2018, respectively, to recognize minimum rents on a straight-line basis. In addition, minimum rents include $1.9 million and $2.0 million for the three months ended September 30, 2019 and 2018, respectively, and $5.1 million and $3.8 million for the nine months ended September 30, 2019 and 2018, respectively, to recognize income from the amortization of in-place leases.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280" w:lineRule="exact"/>
        <w:rPr>
          <w:sz w:val="20"/>
          <w:szCs w:val="20"/>
          <w:color w:val="auto"/>
        </w:rPr>
      </w:pPr>
    </w:p>
    <w:p>
      <w:pPr>
        <w:ind w:left="40" w:right="40"/>
        <w:spacing w:after="0" w:line="292" w:lineRule="auto"/>
        <w:rPr>
          <w:sz w:val="20"/>
          <w:szCs w:val="20"/>
          <w:color w:val="auto"/>
        </w:rPr>
      </w:pPr>
      <w:r>
        <w:rPr>
          <w:rFonts w:ascii="Arial" w:cs="Arial" w:eastAsia="Arial" w:hAnsi="Arial"/>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Assembly Row - Phase 2, CocoWalk, Olivo at Mission Hills, Pike &amp; Rose, The Shops at Sunset Place, Towson Residential, 700 Santana Row, Jordan Downs Plaza, a portion of Graham Park Plaza, and all properties acquired or disposed of from Q3 2018 to Q3 2019. Additionally, in Q3 2019, the $11.9 million charge related to the buyout of the Kmart lease at Assembly Row Marketplace is excluded from Comparable Property property operating income ("Comparable Property POI"). Comparable Property POI is a non-GAAP measure used by management in evaluating the operating performance of our properties period over period.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6"/>
                <w:szCs w:val="16"/>
                <w:color w:val="auto"/>
              </w:rPr>
            </w:pPr>
          </w:p>
        </w:tc>
      </w:tr>
      <w:tr>
        <w:trPr>
          <w:trHeight w:val="276"/>
        </w:trPr>
        <w:tc>
          <w:tcPr>
            <w:tcW w:w="7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94,018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93,467</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59,648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60,778</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11,060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7,638</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(3,125)</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Property operating income (POI)</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color w:val="auto"/>
              </w:rPr>
              <w:t>150,433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158,758</w:t>
            </w:r>
          </w:p>
        </w:tc>
        <w:tc>
          <w:tcPr>
            <w:tcW w:w="110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acquisitions/dispositions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(1,732)</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Less: Non-comparable POI - redevelopment, development &amp; other</w:t>
            </w:r>
          </w:p>
        </w:tc>
        <w:tc>
          <w:tcPr>
            <w:tcW w:w="320" w:type="dxa"/>
            <w:vAlign w:val="bottom"/>
          </w:tcPr>
          <w:p>
            <w:pPr>
              <w:spacing w:after="0"/>
              <w:rPr>
                <w:sz w:val="21"/>
                <w:szCs w:val="21"/>
                <w:color w:val="auto"/>
              </w:rPr>
            </w:pPr>
          </w:p>
        </w:tc>
        <w:tc>
          <w:tcPr>
            <w:tcW w:w="1220" w:type="dxa"/>
            <w:vAlign w:val="bottom"/>
          </w:tcPr>
          <w:p>
            <w:pPr>
              <w:jc w:val="right"/>
              <w:ind w:right="58"/>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(12,749)</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147,274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144,277</w:t>
            </w:r>
          </w:p>
        </w:tc>
        <w:tc>
          <w:tcPr>
            <w:tcW w:w="1100" w:type="dxa"/>
            <w:vAlign w:val="bottom"/>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4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208,823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204,908</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70"/>
        </w:trPr>
        <w:tc>
          <w:tcPr>
            <w:tcW w:w="7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(35,527)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(34,805)</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220" w:type="dxa"/>
            <w:vAlign w:val="bottom"/>
          </w:tcPr>
          <w:p>
            <w:pPr>
              <w:jc w:val="right"/>
              <w:ind w:right="58"/>
              <w:spacing w:after="0"/>
              <w:rPr>
                <w:sz w:val="20"/>
                <w:szCs w:val="20"/>
                <w:color w:val="auto"/>
              </w:rPr>
            </w:pPr>
            <w:r>
              <w:rPr>
                <w:rFonts w:ascii="Arial" w:cs="Arial" w:eastAsia="Arial" w:hAnsi="Arial"/>
                <w:sz w:val="18"/>
                <w:szCs w:val="18"/>
                <w:color w:val="auto"/>
              </w:rPr>
              <w:t>(26,022)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(25,826)</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(61,549)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(60,631)</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147,274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144,277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473"/>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7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14"/>
                <w:szCs w:val="14"/>
                <w:b w:val="1"/>
                <w:bCs w:val="1"/>
                <w:color w:val="auto"/>
                <w:w w:val="92"/>
              </w:rPr>
              <w:t>At September 30,</w:t>
            </w:r>
          </w:p>
        </w:tc>
        <w:tc>
          <w:tcPr>
            <w:tcW w:w="10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22"/>
                <w:szCs w:val="2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GLA - comparable commercial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22,355,000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0"/>
              </w:rPr>
              <w:t>22,367,000</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Leased % - comparable commercial properties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95.5%</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Occupancy % - comparable commercial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100" w:type="dxa"/>
            <w:vAlign w:val="bottom"/>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Summary of Capital Expenditures (2)</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Redevelopment and tenant improvements and incentives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31,318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26,175</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4,198</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7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36,926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30,373</w:t>
            </w:r>
          </w:p>
        </w:tc>
        <w:tc>
          <w:tcPr>
            <w:tcW w:w="1100" w:type="dxa"/>
            <w:vAlign w:val="bottom"/>
          </w:tcPr>
          <w:p>
            <w:pPr>
              <w:spacing w:after="0"/>
              <w:rPr>
                <w:sz w:val="20"/>
                <w:szCs w:val="20"/>
                <w:color w:val="auto"/>
              </w:rPr>
            </w:pPr>
          </w:p>
        </w:tc>
      </w:tr>
      <w:tr>
        <w:trPr>
          <w:trHeight w:val="27"/>
        </w:trPr>
        <w:tc>
          <w:tcPr>
            <w:tcW w:w="7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r>
    </w:tbl>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26 for entire portfolio occupancy statistics.</w:t>
      </w:r>
    </w:p>
    <w:p>
      <w:pPr>
        <w:spacing w:after="0" w:line="72" w:lineRule="exact"/>
        <w:rPr>
          <w:rFonts w:ascii="Arial" w:cs="Arial" w:eastAsia="Arial" w:hAnsi="Arial"/>
          <w:sz w:val="16"/>
          <w:szCs w:val="16"/>
          <w:color w:val="auto"/>
        </w:rPr>
      </w:pPr>
    </w:p>
    <w:p>
      <w:pPr>
        <w:ind w:left="720" w:hanging="685"/>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ectPr>
          <w:pgSz w:w="11900" w:h="16838" w:orient="portrait"/>
          <w:cols w:equalWidth="0" w:num="1">
            <w:col w:w="11420"/>
          </w:cols>
          <w:pgMar w:left="240" w:top="742" w:right="239" w:bottom="55"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2" w:right="239" w:bottom="55"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Finance Lease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As of September 30, 2019</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60" w:type="dxa"/>
            <w:vAlign w:val="bottom"/>
            <w:tcBorders>
              <w:bottom w:val="single" w:sz="8" w:color="CCEEFF"/>
            </w:tcBorders>
            <w:gridSpan w:val="4"/>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62,761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3,939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Sylmar Towne Center</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6/6/2021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Del Sol</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12/1/2021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8,275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67,954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11/1/2025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Bell Gardens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12,743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5,684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Hoboken (2)</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7/1/2042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467,839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mortgages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466,600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4.01%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Notes payable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Revolving credit facility (3)</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1/19/2024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+ 0.775%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3,953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notes payable,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11.70%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2420" w:type="dxa"/>
            <w:vAlign w:val="bottom"/>
            <w:tcBorders>
              <w:top w:val="single" w:sz="8" w:color="CCEEFF"/>
            </w:tcBorders>
            <w:gridSpan w:val="2"/>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3.20%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6/15/2029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2,819,200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(12,778)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2,806,422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Total net debt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3,276,911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52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color w:val="auto"/>
              </w:rPr>
              <w:t>Various</w:t>
            </w:r>
          </w:p>
        </w:tc>
        <w:tc>
          <w:tcPr>
            <w:tcW w:w="2720" w:type="dxa"/>
            <w:vAlign w:val="bottom"/>
            <w:tcBorders>
              <w:top w:val="single" w:sz="8" w:color="CCEEFF"/>
            </w:tcBorders>
            <w:gridSpan w:val="3"/>
          </w:tcPr>
          <w:p>
            <w:pPr>
              <w:spacing w:after="0"/>
              <w:rPr>
                <w:sz w:val="20"/>
                <w:szCs w:val="20"/>
                <w:color w:val="auto"/>
              </w:rPr>
            </w:pPr>
          </w:p>
        </w:tc>
        <w:tc>
          <w:tcPr>
            <w:tcW w:w="1800" w:type="dxa"/>
            <w:vAlign w:val="bottom"/>
            <w:tcBorders>
              <w:top w:val="single" w:sz="8" w:color="CCEEFF"/>
            </w:tcBorders>
            <w:gridSpan w:val="2"/>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72,065</w:t>
            </w: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2"/>
              </w:rPr>
              <w:t>8.03%</w:t>
            </w: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finance lease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3,348,976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fixed rate debt and finance lease liabilities,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3,348,976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finance lease liabilites,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3,348,976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3.82%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60" w:top="747" w:right="239" w:bottom="0" w:gutter="0" w:footer="0" w:header="0"/>
          <w:type w:val="continuous"/>
        </w:sectPr>
      </w:pPr>
    </w:p>
    <w:bookmarkStart w:id="16" w:name="page17"/>
    <w:bookmarkEnd w:id="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ind w:left="77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03" w:lineRule="exact"/>
        <w:rPr>
          <w:sz w:val="20"/>
          <w:szCs w:val="20"/>
          <w:color w:val="auto"/>
        </w:rPr>
      </w:pPr>
    </w:p>
    <w:p>
      <w:pPr>
        <w:ind w:left="7740"/>
        <w:spacing w:after="0"/>
        <w:tabs>
          <w:tab w:leader="none" w:pos="87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31115</wp:posOffset>
            </wp:positionV>
            <wp:extent cx="72377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23495</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104" w:lineRule="exact"/>
        <w:rPr>
          <w:sz w:val="20"/>
          <w:szCs w:val="20"/>
          <w:color w:val="auto"/>
        </w:rPr>
      </w:pPr>
    </w:p>
    <w:p>
      <w:pPr>
        <w:sectPr>
          <w:pgSz w:w="11900" w:h="16838" w:orient="portrait"/>
          <w:cols w:equalWidth="0" w:num="2">
            <w:col w:w="9080" w:space="720"/>
            <w:col w:w="1620"/>
          </w:cols>
          <w:pgMar w:left="240" w:top="806" w:right="2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Operational Statistics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Including lease buyout charge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Ratio of EBITDAre to combined fixed charges and preferred share dividends (7)</w:t>
            </w:r>
          </w:p>
        </w:tc>
        <w:tc>
          <w:tcPr>
            <w:tcW w:w="17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3.93x</w:t>
            </w:r>
          </w:p>
        </w:tc>
        <w:tc>
          <w:tcPr>
            <w:tcW w:w="1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4.28x</w:t>
            </w: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4.15x</w:t>
            </w:r>
          </w:p>
        </w:tc>
        <w:tc>
          <w:tcPr>
            <w:tcW w:w="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4.20x</w:t>
            </w:r>
          </w:p>
        </w:tc>
      </w:tr>
      <w:tr>
        <w:trPr>
          <w:trHeight w:val="237"/>
        </w:trPr>
        <w:tc>
          <w:tcPr>
            <w:tcW w:w="6880" w:type="dxa"/>
            <w:vAlign w:val="bottom"/>
          </w:tcPr>
          <w:p>
            <w:pPr>
              <w:ind w:left="20"/>
              <w:spacing w:after="0"/>
              <w:rPr>
                <w:sz w:val="20"/>
                <w:szCs w:val="20"/>
                <w:color w:val="auto"/>
              </w:rPr>
            </w:pPr>
            <w:r>
              <w:rPr>
                <w:rFonts w:ascii="Arial" w:cs="Arial" w:eastAsia="Arial" w:hAnsi="Arial"/>
                <w:sz w:val="16"/>
                <w:szCs w:val="16"/>
                <w:color w:val="auto"/>
              </w:rPr>
              <w:t>Excluding lease buyout charge</w:t>
            </w:r>
          </w:p>
        </w:tc>
        <w:tc>
          <w:tcPr>
            <w:tcW w:w="1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6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Ratio of EBITDAre to combined fixed charges and preferred share dividends (7) (8)</w:t>
            </w:r>
          </w:p>
        </w:tc>
        <w:tc>
          <w:tcPr>
            <w:tcW w:w="176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4.26x</w:t>
            </w: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4.28x</w:t>
            </w:r>
          </w:p>
        </w:tc>
        <w:tc>
          <w:tcPr>
            <w:tcW w:w="1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4.26x</w:t>
            </w: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4.20x</w:t>
            </w:r>
          </w:p>
        </w:tc>
      </w:tr>
      <w:tr>
        <w:trPr>
          <w:trHeight w:val="33"/>
        </w:trPr>
        <w:tc>
          <w:tcPr>
            <w:tcW w:w="68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640" w:hanging="652"/>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September 30, 2019, our share was approximately $54.1 million. At September 30, 2019, our noncontrolling interests share of mortgages payable was $51.1 million.</w:t>
      </w:r>
    </w:p>
    <w:p>
      <w:pPr>
        <w:spacing w:after="0" w:line="11" w:lineRule="exact"/>
        <w:rPr>
          <w:rFonts w:ascii="Arial" w:cs="Arial" w:eastAsia="Arial" w:hAnsi="Arial"/>
          <w:sz w:val="14"/>
          <w:szCs w:val="14"/>
          <w:color w:val="auto"/>
        </w:rPr>
      </w:pPr>
    </w:p>
    <w:p>
      <w:pPr>
        <w:ind w:left="660" w:right="180" w:hanging="652"/>
        <w:spacing w:after="0" w:line="256"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ind w:left="660" w:right="120" w:hanging="652"/>
        <w:spacing w:after="0" w:line="248"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nine months ended September 30, 2019 was $47.0 million and $116.5 million, respectively. The weighted average interest rate on borrowings under our revolving credit facility, before amortization of debt fees, for the three and nine months ended September 30, 2019 was 3.0% and 3.2%, respectively. On July 25, 2019, we amended our revolving credit facility to increase our borrowing capacity to $1.0 billion and extend the maturity date to January 19, 2024. We also lowered the spread over LIBOR to 77.5 basis points.</w:t>
      </w:r>
    </w:p>
    <w:p>
      <w:pPr>
        <w:spacing w:after="0" w:line="30"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weighted average remaining term on our debt is 11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6.</w:t>
      </w:r>
    </w:p>
    <w:p>
      <w:pPr>
        <w:spacing w:after="0" w:line="55"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 which had no outstanding balance on September 30, 2019.</w:t>
      </w:r>
    </w:p>
    <w:p>
      <w:pPr>
        <w:spacing w:after="0" w:line="11" w:lineRule="exact"/>
        <w:rPr>
          <w:rFonts w:ascii="Arial" w:cs="Arial" w:eastAsia="Arial" w:hAnsi="Arial"/>
          <w:sz w:val="14"/>
          <w:szCs w:val="14"/>
          <w:color w:val="auto"/>
        </w:rPr>
      </w:pPr>
    </w:p>
    <w:p>
      <w:pPr>
        <w:ind w:left="660" w:right="380" w:hanging="652"/>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Fixed charges for the three and nine months ended September 30, 2019 excludes the $11.9 million charge related to the buyout of the Kmart lease at Assembly Square Marketplace.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72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7"/>
              </w:rPr>
              <w:t>Maturities</w:t>
            </w: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1,564</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5,873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60,593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66,466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4,004</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277,546</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281,550</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1,793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368,116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21.8%</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276,870</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301,820</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39.4%</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41,406</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39,886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41,035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41.9%</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2027</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683,600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684,628</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2028</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1,036</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62.7%</w:t>
            </w: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1,217,399</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1,226,501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30,645</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3,260,347</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3,290,992  </w:t>
            </w:r>
            <w:r>
              <w:rPr>
                <w:rFonts w:ascii="Arial" w:cs="Arial" w:eastAsia="Arial" w:hAnsi="Arial"/>
                <w:sz w:val="28"/>
                <w:szCs w:val="28"/>
                <w:color w:val="auto"/>
                <w:vertAlign w:val="sub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32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September 30, 2019.</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580" w:hanging="652"/>
        <w:spacing w:after="0" w:line="310"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weighted average rate excludes $0.6 million in quarterly financing fees and quarterly debt fee amortization on our revolving credit facility, which had no outstanding balance at September 30, 2019. Our revolving credit facility matures on January 19, 2024, plus two six month extensions at our option.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Darien</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Darien, CT</w:t>
            </w:r>
          </w:p>
        </w:tc>
        <w:tc>
          <w:tcPr>
            <w:tcW w:w="49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5"/>
              </w:rPr>
              <w:t>Demolition of a 45,000 square foot anchor space to construct 75,000 square feet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$110 - $120</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new retail space, 122 rental apartments, and 720 parking spaces</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CocoWalk</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Coconut Grove, FL</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7"/>
              </w:rPr>
              <w:t>Entire shopping center redevelopment to include: demolition of three story east</w:t>
            </w:r>
          </w:p>
        </w:tc>
        <w:tc>
          <w:tcPr>
            <w:tcW w:w="8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$85 - $90</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$43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Arial" w:cs="Arial" w:eastAsia="Arial" w:hAnsi="Arial"/>
                <w:sz w:val="14"/>
                <w:szCs w:val="14"/>
                <w:color w:val="auto"/>
              </w:rPr>
              <w:t>wing of the property and construction of a 106,000 square foot 5-story</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Arial" w:cs="Arial" w:eastAsia="Arial" w:hAnsi="Arial"/>
                <w:sz w:val="14"/>
                <w:szCs w:val="14"/>
                <w:color w:val="auto"/>
                <w:w w:val="96"/>
              </w:rPr>
              <w:t>office/retail building with 24,000 square feet of retail; complete renovation of the</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west wing.</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Jordan Downs Plaza (5)</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 Angeles, CA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Development of a new 113,000 square foot single-story grocery anchored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 $42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neighborhood shopping center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Brick Plaza</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Brick, NJ</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9"/>
              </w:rPr>
              <w:t>Redevelopment and repositioning of anchor tenant and small shop spaces to</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$30</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$25</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transform property into a market dominant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 Cynwyd, PA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New 87 unit residential apartment building to be constructed on underutilized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land behind our existing shopping center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7021 Hollywood Blvd</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Los Angeles, CA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3"/>
              </w:rPr>
              <w:t>Renovation of the center and three vacant spaces to accommodate a new 39,000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$19</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square foot anchor tenant</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Melville Mall</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Huntington, NY</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Development of a new 15,000 square foot pad site consisting of two multi-tenant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retail buildings</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Rockville, MD</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Demolition of 10,000 square foot restaurant building to construct an 18,000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square foot multi-tenant pad building</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Lawrence Park</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Broomall, PA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Full shopping center redevelopment to include expansion of Main Line Health</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into vacant lower level space, creation of 17,800 square feet of small shop space</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9"/>
              </w:rPr>
              <w:t>converted from vacated anchor space, and a façade renovation for the entire</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center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tcPr>
          <w:p>
            <w:pPr>
              <w:ind w:left="40"/>
              <w:spacing w:after="0"/>
              <w:rPr>
                <w:sz w:val="20"/>
                <w:szCs w:val="20"/>
                <w:color w:val="auto"/>
              </w:rPr>
            </w:pPr>
            <w:r>
              <w:rPr>
                <w:rFonts w:ascii="Arial" w:cs="Arial" w:eastAsia="Arial" w:hAnsi="Arial"/>
                <w:sz w:val="14"/>
                <w:szCs w:val="14"/>
                <w:color w:val="auto"/>
              </w:rPr>
              <w:t>Pike 7 Plaza</w:t>
            </w:r>
          </w:p>
        </w:tc>
        <w:tc>
          <w:tcPr>
            <w:tcW w:w="1440" w:type="dxa"/>
            <w:vAlign w:val="bottom"/>
          </w:tcPr>
          <w:p>
            <w:pPr>
              <w:ind w:left="120"/>
              <w:spacing w:after="0"/>
              <w:rPr>
                <w:sz w:val="20"/>
                <w:szCs w:val="20"/>
                <w:color w:val="auto"/>
              </w:rPr>
            </w:pPr>
            <w:r>
              <w:rPr>
                <w:rFonts w:ascii="Arial" w:cs="Arial" w:eastAsia="Arial" w:hAnsi="Arial"/>
                <w:sz w:val="14"/>
                <w:szCs w:val="14"/>
                <w:color w:val="auto"/>
              </w:rPr>
              <w:t>Vienna, VA</w:t>
            </w:r>
          </w:p>
        </w:tc>
        <w:tc>
          <w:tcPr>
            <w:tcW w:w="4920" w:type="dxa"/>
            <w:vAlign w:val="bottom"/>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Bethesda, MD</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Richmond, VA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3"/>
              </w:rPr>
              <w:t>Conversion of vacant 5,000 square foot pad building to retail use to accommodate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Arial" w:cs="Arial" w:eastAsia="Arial" w:hAnsi="Arial"/>
                <w:sz w:val="14"/>
                <w:szCs w:val="14"/>
                <w:color w:val="auto"/>
                <w:w w:val="93"/>
              </w:rPr>
              <w:t>new 3,500 square foot fast casual restaurant tenant. Remainder of pad building to</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be demolished to construct new 2,200 square foot Starbucks pad site.</w:t>
            </w: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$354 - $373</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520" w:type="dxa"/>
            <w:vAlign w:val="bottom"/>
            <w:tcBorders>
              <w:bottom w:val="single" w:sz="8" w:color="CCEEFF"/>
            </w:tcBorders>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49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cost is net of the proceeds we will receive from our New Market Tax Credit structure. See Note 3 of our December 31, 2018 Form 10-K for additional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Projected POI Delivered</w:t>
            </w: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(as a % of Total)</w:t>
            </w:r>
          </w:p>
        </w:tc>
        <w:tc>
          <w:tcPr>
            <w:tcW w:w="1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For Year Ended December 31,</w:t>
            </w: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20" w:type="dxa"/>
            <w:vAlign w:val="bottom"/>
          </w:tcPr>
          <w:p>
            <w:pPr>
              <w:jc w:val="center"/>
              <w:ind w:left="52"/>
              <w:spacing w:after="0"/>
              <w:rPr>
                <w:sz w:val="20"/>
                <w:szCs w:val="20"/>
                <w:color w:val="auto"/>
              </w:rPr>
            </w:pPr>
            <w:r>
              <w:rPr>
                <w:rFonts w:ascii="Arial" w:cs="Arial" w:eastAsia="Arial" w:hAnsi="Arial"/>
                <w:sz w:val="14"/>
                <w:szCs w:val="14"/>
                <w:color w:val="auto"/>
                <w:w w:val="87"/>
              </w:rPr>
              <w:t>Projected</w:t>
            </w:r>
          </w:p>
        </w:tc>
        <w:tc>
          <w:tcPr>
            <w:tcW w:w="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Total</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Costs to</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(2)</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Property (1)</w:t>
            </w:r>
          </w:p>
        </w:tc>
        <w:tc>
          <w:tcPr>
            <w:tcW w:w="2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Opportunity</w:t>
            </w:r>
          </w:p>
        </w:tc>
        <w:tc>
          <w:tcPr>
            <w:tcW w:w="72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95"/>
              </w:rPr>
              <w:t>ROI (3)</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Cost (4)</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3"/>
              </w:rPr>
              <w:t>2019</w:t>
            </w:r>
          </w:p>
        </w:tc>
        <w:tc>
          <w:tcPr>
            <w:tcW w:w="110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21"/>
                <w:szCs w:val="21"/>
                <w:color w:val="auto"/>
              </w:rPr>
            </w:pPr>
          </w:p>
        </w:tc>
        <w:tc>
          <w:tcPr>
            <w:tcW w:w="2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(in</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(in</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millions)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millions)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40" w:type="dxa"/>
            <w:vAlign w:val="bottom"/>
            <w:gridSpan w:val="6"/>
          </w:tcPr>
          <w:p>
            <w:pPr>
              <w:ind w:left="40"/>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- 161,000 SF of retail</w:t>
            </w:r>
          </w:p>
        </w:tc>
        <w:tc>
          <w:tcPr>
            <w:tcW w:w="72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88"/>
              </w:rPr>
              <w:t>7%</w:t>
            </w:r>
          </w:p>
        </w:tc>
        <w:tc>
          <w:tcPr>
            <w:tcW w:w="340" w:type="dxa"/>
            <w:vAlign w:val="bottom"/>
            <w:shd w:val="clear" w:color="auto" w:fill="CCEEFF"/>
          </w:tcPr>
          <w:p>
            <w:pPr>
              <w:ind w:left="60"/>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$290 - 305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$294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2"/>
              </w:rPr>
              <w:t>90%</w:t>
            </w:r>
          </w:p>
        </w:tc>
        <w:tc>
          <w:tcPr>
            <w:tcW w:w="12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Stabilized</w:t>
            </w:r>
          </w:p>
        </w:tc>
        <w:tc>
          <w:tcPr>
            <w:tcW w:w="2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86"/>
                <w:shd w:val="clear" w:color="auto" w:fill="CCEEFF"/>
              </w:rPr>
              <w:t>132,000 square feet of retail has opened,</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- 447 residential units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remaining</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- 158 boutique hotel rooms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5"/>
                <w:shd w:val="clear" w:color="auto" w:fill="CCEEFF"/>
              </w:rPr>
              <w:t>tenants projected to open through 2019/2020</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1"/>
              </w:rPr>
              <w:t>Residential building opened in September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with</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deliveries through 3Q 2018</w:t>
            </w:r>
          </w:p>
        </w:tc>
        <w:tc>
          <w:tcPr>
            <w:tcW w:w="0" w:type="dxa"/>
            <w:vAlign w:val="bottom"/>
          </w:tcPr>
          <w:p>
            <w:pPr>
              <w:spacing w:after="0"/>
              <w:rPr>
                <w:sz w:val="1"/>
                <w:szCs w:val="1"/>
                <w:color w:val="auto"/>
              </w:rPr>
            </w:pPr>
          </w:p>
        </w:tc>
      </w:tr>
      <w:tr>
        <w:trPr>
          <w:trHeight w:val="179"/>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5"/>
              </w:rPr>
              <w:t>741,500 SF Partners Healthcare office space</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(built by Partners) opened in 2016</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Hotel opened in 3Q18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- 122 for-sale condominium units</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w w:val="85"/>
              </w:rPr>
              <w:t>—</w:t>
            </w:r>
          </w:p>
        </w:tc>
        <w:tc>
          <w:tcPr>
            <w:tcW w:w="340" w:type="dxa"/>
            <w:vAlign w:val="bottom"/>
          </w:tcPr>
          <w:p>
            <w:pPr>
              <w:ind w:left="60"/>
              <w:spacing w:after="0"/>
              <w:rPr>
                <w:sz w:val="20"/>
                <w:szCs w:val="20"/>
                <w:color w:val="auto"/>
              </w:rPr>
            </w:pPr>
            <w:r>
              <w:rPr>
                <w:rFonts w:ascii="Arial" w:cs="Arial" w:eastAsia="Arial" w:hAnsi="Arial"/>
                <w:sz w:val="14"/>
                <w:szCs w:val="14"/>
                <w:color w:val="auto"/>
              </w:rPr>
              <w:t>(6)</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All condominium units have been sold</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III</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- 277,000 SF of office</w:t>
            </w:r>
          </w:p>
        </w:tc>
        <w:tc>
          <w:tcPr>
            <w:tcW w:w="72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88"/>
              </w:rPr>
              <w:t>6%</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$465 - 485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shd w:val="clear" w:color="auto" w:fill="CCEEFF"/>
              </w:rPr>
              <w:t>145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9"/>
              </w:rPr>
              <w:t>—</w:t>
            </w:r>
          </w:p>
        </w:tc>
        <w:tc>
          <w:tcPr>
            <w:tcW w:w="2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150,000 square feet of office space pre-leased</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8" w:lineRule="exact"/>
              <w:rPr>
                <w:sz w:val="20"/>
                <w:szCs w:val="20"/>
                <w:color w:val="auto"/>
              </w:rPr>
            </w:pPr>
            <w:r>
              <w:rPr>
                <w:rFonts w:ascii="Arial" w:cs="Arial" w:eastAsia="Arial" w:hAnsi="Arial"/>
                <w:sz w:val="14"/>
                <w:szCs w:val="14"/>
                <w:color w:val="auto"/>
              </w:rPr>
              <w:t>- 500 residential units</w:t>
            </w: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87"/>
                <w:shd w:val="clear" w:color="auto" w:fill="CCEEFF"/>
              </w:rPr>
              <w:t>Openings projected to begin in 2022</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- 56,000 SF of retail</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Future Phases</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- 1.5M SF of commercial</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w w:val="99"/>
              </w:rPr>
              <w:t>TBD</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- 329 residential units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Pike &amp; Rose, </w:t>
            </w:r>
            <w:r>
              <w:rPr>
                <w:rFonts w:ascii="Arial" w:cs="Arial" w:eastAsia="Arial" w:hAnsi="Arial"/>
                <w:sz w:val="14"/>
                <w:szCs w:val="14"/>
                <w:b w:val="1"/>
                <w:bCs w:val="1"/>
                <w:i w:val="1"/>
                <w:iCs w:val="1"/>
                <w:color w:val="auto"/>
              </w:rPr>
              <w:t>North Bethesda, MD</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5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Phase II</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- 216,000 SF of retail</w:t>
            </w:r>
          </w:p>
        </w:tc>
        <w:tc>
          <w:tcPr>
            <w:tcW w:w="720" w:type="dxa"/>
            <w:vAlign w:val="bottom"/>
          </w:tcPr>
          <w:p>
            <w:pPr>
              <w:jc w:val="center"/>
              <w:ind w:left="72"/>
              <w:spacing w:after="0"/>
              <w:rPr>
                <w:sz w:val="20"/>
                <w:szCs w:val="20"/>
                <w:color w:val="auto"/>
              </w:rPr>
            </w:pPr>
            <w:r>
              <w:rPr>
                <w:rFonts w:ascii="Arial" w:cs="Arial" w:eastAsia="Arial" w:hAnsi="Arial"/>
                <w:sz w:val="14"/>
                <w:szCs w:val="14"/>
                <w:color w:val="auto"/>
                <w:w w:val="88"/>
              </w:rPr>
              <w:t>6%</w:t>
            </w:r>
          </w:p>
        </w:tc>
        <w:tc>
          <w:tcPr>
            <w:tcW w:w="340" w:type="dxa"/>
            <w:vAlign w:val="bottom"/>
          </w:tcPr>
          <w:p>
            <w:pPr>
              <w:ind w:left="60"/>
              <w:spacing w:after="0"/>
              <w:rPr>
                <w:sz w:val="20"/>
                <w:szCs w:val="20"/>
                <w:color w:val="auto"/>
              </w:rPr>
            </w:pPr>
            <w:r>
              <w:rPr>
                <w:rFonts w:ascii="Arial" w:cs="Arial" w:eastAsia="Arial" w:hAnsi="Arial"/>
                <w:sz w:val="14"/>
                <w:szCs w:val="14"/>
                <w:color w:val="auto"/>
              </w:rPr>
              <w:t>(5)</w:t>
            </w: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$200 - 207</w:t>
            </w:r>
          </w:p>
        </w:tc>
        <w:tc>
          <w:tcPr>
            <w:tcW w:w="640" w:type="dxa"/>
            <w:vAlign w:val="bottom"/>
          </w:tcPr>
          <w:p>
            <w:pPr>
              <w:jc w:val="center"/>
              <w:spacing w:after="0"/>
              <w:rPr>
                <w:sz w:val="20"/>
                <w:szCs w:val="20"/>
                <w:color w:val="auto"/>
              </w:rPr>
            </w:pPr>
            <w:r>
              <w:rPr>
                <w:rFonts w:ascii="Arial" w:cs="Arial" w:eastAsia="Arial" w:hAnsi="Arial"/>
                <w:sz w:val="14"/>
                <w:szCs w:val="14"/>
                <w:color w:val="auto"/>
                <w:w w:val="83"/>
              </w:rPr>
              <w:t>$204</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2"/>
              </w:rPr>
              <w:t>80%</w:t>
            </w:r>
          </w:p>
        </w:tc>
        <w:tc>
          <w:tcPr>
            <w:tcW w:w="1220" w:type="dxa"/>
            <w:vAlign w:val="bottom"/>
            <w:gridSpan w:val="3"/>
          </w:tcPr>
          <w:p>
            <w:pPr>
              <w:ind w:left="380"/>
              <w:spacing w:after="0"/>
              <w:rPr>
                <w:sz w:val="20"/>
                <w:szCs w:val="20"/>
                <w:color w:val="auto"/>
              </w:rPr>
            </w:pPr>
            <w:r>
              <w:rPr>
                <w:rFonts w:ascii="Arial" w:cs="Arial" w:eastAsia="Arial" w:hAnsi="Arial"/>
                <w:sz w:val="14"/>
                <w:szCs w:val="14"/>
                <w:color w:val="auto"/>
              </w:rPr>
              <w:t>Stabilized</w:t>
            </w: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196,000 square feet of retail has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- 272 residential units</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remaining</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- 177 boutique hotel rooms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tenants projected to open through 2019</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color w:val="auto"/>
                <w:w w:val="89"/>
              </w:rPr>
              <w:t>Residential building opened in August 2017 with</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deliveries through 2Q 2018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Hotel opened in 1Q18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- 99 for-sale condominium units</w:t>
            </w:r>
          </w:p>
        </w:tc>
        <w:tc>
          <w:tcPr>
            <w:tcW w:w="72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5"/>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4"/>
                <w:szCs w:val="14"/>
                <w:color w:val="auto"/>
              </w:rPr>
              <w:t>(6)</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shd w:val="clear" w:color="auto" w:fill="CCEEFF"/>
              </w:rPr>
              <w:t>$62</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3"/>
                <w:shd w:val="clear" w:color="auto" w:fill="CCEEFF"/>
              </w:rPr>
              <w:t>95 condominium units have been sold</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Phase III</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- 212,000 SF of office</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w w:val="85"/>
              </w:rPr>
              <w:t>6-7%</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$128 - 135</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$67</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Opening projected to begin in 2021</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- 4,000 SF of retail</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- 740,000 SF of commercial</w:t>
            </w:r>
          </w:p>
        </w:tc>
        <w:tc>
          <w:tcPr>
            <w:tcW w:w="72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- 741 residential units</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240" w:type="dxa"/>
            <w:vAlign w:val="bottom"/>
            <w:gridSpan w:val="6"/>
          </w:tcPr>
          <w:p>
            <w:pPr>
              <w:ind w:left="40"/>
              <w:spacing w:after="0"/>
              <w:rPr>
                <w:sz w:val="20"/>
                <w:szCs w:val="20"/>
                <w:color w:val="auto"/>
              </w:rPr>
            </w:pPr>
            <w:r>
              <w:rPr>
                <w:rFonts w:ascii="Arial" w:cs="Arial" w:eastAsia="Arial" w:hAnsi="Arial"/>
                <w:sz w:val="14"/>
                <w:szCs w:val="14"/>
                <w:b w:val="1"/>
                <w:bCs w:val="1"/>
                <w:color w:val="auto"/>
              </w:rPr>
              <w:t xml:space="preserve">Santana Row, </w:t>
            </w:r>
            <w:r>
              <w:rPr>
                <w:rFonts w:ascii="Arial" w:cs="Arial" w:eastAsia="Arial" w:hAnsi="Arial"/>
                <w:sz w:val="14"/>
                <w:szCs w:val="14"/>
                <w:b w:val="1"/>
                <w:bCs w:val="1"/>
                <w:i w:val="1"/>
                <w:iCs w:val="1"/>
                <w:color w:val="auto"/>
              </w:rPr>
              <w:t>San Jose, CA</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700 Santana Row</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- 301,000 SF of office</w:t>
            </w:r>
          </w:p>
        </w:tc>
        <w:tc>
          <w:tcPr>
            <w:tcW w:w="72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5"/>
              </w:rPr>
              <w:t>7-8%</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$210 - 220</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$185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252"/>
              <w:spacing w:after="0"/>
              <w:rPr>
                <w:sz w:val="20"/>
                <w:szCs w:val="20"/>
                <w:color w:val="auto"/>
              </w:rPr>
            </w:pPr>
            <w:r>
              <w:rPr>
                <w:rFonts w:ascii="Arial" w:cs="Arial" w:eastAsia="Arial" w:hAnsi="Arial"/>
                <w:sz w:val="14"/>
                <w:szCs w:val="14"/>
                <w:color w:val="auto"/>
                <w:w w:val="92"/>
                <w:shd w:val="clear" w:color="auto" w:fill="CCEEFF"/>
              </w:rPr>
              <w:t>90%</w:t>
            </w:r>
          </w:p>
        </w:tc>
        <w:tc>
          <w:tcPr>
            <w:tcW w:w="1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Commenced construction 4Q 2016</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8" w:lineRule="exact"/>
              <w:rPr>
                <w:sz w:val="20"/>
                <w:szCs w:val="20"/>
                <w:color w:val="auto"/>
              </w:rPr>
            </w:pPr>
            <w:r>
              <w:rPr>
                <w:rFonts w:ascii="Arial" w:cs="Arial" w:eastAsia="Arial" w:hAnsi="Arial"/>
                <w:sz w:val="14"/>
                <w:szCs w:val="14"/>
                <w:color w:val="auto"/>
              </w:rPr>
              <w:t>- 18,000 SF of retail &amp; 1,300 parking spaces</w:t>
            </w: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6"/>
                <w:shd w:val="clear" w:color="auto" w:fill="CCEEFF"/>
              </w:rPr>
              <w:t>Retail openings in late 2019</w:t>
            </w: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 Redevelopment of Santana Row Park including</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the installation of a new retail pavilion</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w w:val="86"/>
                <w:shd w:val="clear" w:color="auto" w:fill="CCEEFF"/>
              </w:rPr>
              <w:t>Office 100% pre-leased, opening in 2020</w:t>
            </w: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40" w:type="dxa"/>
            <w:vAlign w:val="bottom"/>
            <w:gridSpan w:val="3"/>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380" w:type="dxa"/>
            <w:vAlign w:val="bottom"/>
            <w:gridSpan w:val="2"/>
          </w:tcPr>
          <w:p>
            <w:pPr>
              <w:ind w:left="40"/>
              <w:spacing w:after="0"/>
              <w:rPr>
                <w:sz w:val="20"/>
                <w:szCs w:val="20"/>
                <w:color w:val="auto"/>
              </w:rPr>
            </w:pPr>
            <w:r>
              <w:rPr>
                <w:rFonts w:ascii="Arial" w:cs="Arial" w:eastAsia="Arial" w:hAnsi="Arial"/>
                <w:sz w:val="14"/>
                <w:szCs w:val="14"/>
                <w:color w:val="auto"/>
                <w:w w:val="89"/>
              </w:rPr>
              <w:t>Santana West - Phase I</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- 360,000 SF of office</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w w:val="85"/>
              </w:rPr>
              <w:t>6-7%</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$250 - 270</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$31</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Openings projected to begin in 2021</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- 1,750 parking spaces</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- 321,000 SF of commercial</w:t>
            </w:r>
          </w:p>
        </w:tc>
        <w:tc>
          <w:tcPr>
            <w:tcW w:w="72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8" w:lineRule="exact"/>
              <w:rPr>
                <w:sz w:val="20"/>
                <w:szCs w:val="20"/>
                <w:color w:val="auto"/>
              </w:rPr>
            </w:pPr>
            <w:r>
              <w:rPr>
                <w:rFonts w:ascii="Arial" w:cs="Arial" w:eastAsia="Arial" w:hAnsi="Arial"/>
                <w:sz w:val="14"/>
                <w:szCs w:val="14"/>
                <w:color w:val="auto"/>
              </w:rPr>
              <w:t>- 395 residential units</w:t>
            </w: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- 620,000 SF of commercial across from Santana</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Row</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305" w:lineRule="auto"/>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Anticipated opening dates, total cost, projected return on investment (ROI), and projected POI percentages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500" w:right="60" w:hanging="465"/>
        <w:spacing w:after="0" w:line="239"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 figures reflect (i) the projected POI (herein defined) for the stated year divided by (ii) the current projected annual stabilized POI for the Property. These percentages are projections only and we cannot give any assurances that these amounts will actually be achieved.</w:t>
      </w:r>
    </w:p>
    <w:p>
      <w:pPr>
        <w:spacing w:after="0" w:line="30" w:lineRule="exact"/>
        <w:rPr>
          <w:rFonts w:ascii="Arial" w:cs="Arial" w:eastAsia="Arial" w:hAnsi="Arial"/>
          <w:sz w:val="14"/>
          <w:szCs w:val="14"/>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Projected costs for Assembly Row and Pike &amp; Rose include an allocation of infrastructure costs for the entire project. Phase I of Santana West includes an allocation of infrastructure for the Santana</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West site.</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sold at cost.</w:t>
      </w:r>
    </w:p>
    <w:p>
      <w:pPr>
        <w:sectPr>
          <w:pgSz w:w="11900" w:h="16838" w:orient="portrait"/>
          <w:cols w:equalWidth="0" w:num="1">
            <w:col w:w="11420"/>
          </w:cols>
          <w:pgMar w:left="240" w:top="760"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 Promenade</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Escondido, CA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Mercer Mall</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Lawrenceville, NJ</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2200" w:type="dxa"/>
            <w:vAlign w:val="bottom"/>
          </w:tcPr>
          <w:p>
            <w:pPr>
              <w:ind w:left="540"/>
              <w:spacing w:after="0"/>
              <w:rPr>
                <w:sz w:val="20"/>
                <w:szCs w:val="20"/>
                <w:color w:val="auto"/>
              </w:rPr>
            </w:pPr>
            <w:r>
              <w:rPr>
                <w:rFonts w:ascii="Arial" w:cs="Arial" w:eastAsia="Arial" w:hAnsi="Arial"/>
                <w:sz w:val="16"/>
                <w:szCs w:val="16"/>
                <w:color w:val="auto"/>
              </w:rPr>
              <w:t>Rockville, MD</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Pan Am</w:t>
            </w:r>
          </w:p>
        </w:tc>
        <w:tc>
          <w:tcPr>
            <w:tcW w:w="3760" w:type="dxa"/>
            <w:vAlign w:val="bottom"/>
          </w:tcPr>
          <w:p>
            <w:pPr>
              <w:ind w:left="620"/>
              <w:spacing w:after="0"/>
              <w:rPr>
                <w:sz w:val="20"/>
                <w:szCs w:val="20"/>
                <w:color w:val="auto"/>
              </w:rPr>
            </w:pPr>
            <w:r>
              <w:rPr>
                <w:rFonts w:ascii="Arial" w:cs="Arial" w:eastAsia="Arial" w:hAnsi="Arial"/>
                <w:sz w:val="16"/>
                <w:szCs w:val="16"/>
                <w:color w:val="auto"/>
              </w:rPr>
              <w:t>Fairfax, VA</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Flourtown, PA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Sylmar, CA</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Charlottesville, VA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Plaza El Segundo</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El Segundo, CA</w:t>
            </w:r>
          </w:p>
        </w:tc>
      </w:tr>
      <w:tr>
        <w:trPr>
          <w:trHeight w:val="237"/>
        </w:trPr>
        <w:tc>
          <w:tcPr>
            <w:tcW w:w="2680" w:type="dxa"/>
            <w:vAlign w:val="bottom"/>
          </w:tcPr>
          <w:p>
            <w:pPr>
              <w:ind w:left="620"/>
              <w:spacing w:after="0"/>
              <w:rPr>
                <w:sz w:val="20"/>
                <w:szCs w:val="20"/>
                <w:color w:val="auto"/>
              </w:rPr>
            </w:pPr>
            <w:r>
              <w:rPr>
                <w:rFonts w:ascii="Arial" w:cs="Arial" w:eastAsia="Arial" w:hAnsi="Arial"/>
                <w:sz w:val="16"/>
                <w:szCs w:val="16"/>
                <w:b w:val="1"/>
                <w:bCs w:val="1"/>
                <w:color w:val="auto"/>
              </w:rPr>
              <w:t>Bethesda Row</w:t>
            </w:r>
          </w:p>
        </w:tc>
        <w:tc>
          <w:tcPr>
            <w:tcW w:w="2340" w:type="dxa"/>
            <w:vAlign w:val="bottom"/>
          </w:tcPr>
          <w:p>
            <w:pPr>
              <w:ind w:left="560"/>
              <w:spacing w:after="0"/>
              <w:rPr>
                <w:sz w:val="20"/>
                <w:szCs w:val="20"/>
                <w:color w:val="auto"/>
              </w:rPr>
            </w:pPr>
            <w:r>
              <w:rPr>
                <w:rFonts w:ascii="Arial" w:cs="Arial" w:eastAsia="Arial" w:hAnsi="Arial"/>
                <w:sz w:val="16"/>
                <w:szCs w:val="16"/>
                <w:color w:val="auto"/>
              </w:rPr>
              <w:t>Bethesda, MD</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Riverpoint Center</w:t>
            </w:r>
          </w:p>
        </w:tc>
        <w:tc>
          <w:tcPr>
            <w:tcW w:w="3600" w:type="dxa"/>
            <w:vAlign w:val="bottom"/>
          </w:tcPr>
          <w:p>
            <w:pPr>
              <w:ind w:left="460"/>
              <w:spacing w:after="0"/>
              <w:rPr>
                <w:sz w:val="20"/>
                <w:szCs w:val="20"/>
                <w:color w:val="auto"/>
              </w:rPr>
            </w:pPr>
            <w:r>
              <w:rPr>
                <w:rFonts w:ascii="Arial" w:cs="Arial" w:eastAsia="Arial" w:hAnsi="Arial"/>
                <w:sz w:val="16"/>
                <w:szCs w:val="16"/>
                <w:color w:val="auto"/>
              </w:rPr>
              <w:t>Chicago, IL</w:t>
            </w:r>
          </w:p>
        </w:tc>
      </w:tr>
      <w:tr>
        <w:trPr>
          <w:trHeight w:val="33"/>
        </w:trPr>
        <w:tc>
          <w:tcPr>
            <w:tcW w:w="2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Dedham Plaza</w:t>
            </w:r>
          </w:p>
        </w:tc>
        <w:tc>
          <w:tcPr>
            <w:tcW w:w="2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Dedham, MA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South Miami, FL</w:t>
            </w:r>
          </w:p>
        </w:tc>
      </w:tr>
      <w:tr>
        <w:trPr>
          <w:trHeight w:val="237"/>
        </w:trPr>
        <w:tc>
          <w:tcPr>
            <w:tcW w:w="2680" w:type="dxa"/>
            <w:vAlign w:val="bottom"/>
          </w:tcPr>
          <w:p>
            <w:pPr>
              <w:ind w:left="620"/>
              <w:spacing w:after="0"/>
              <w:rPr>
                <w:sz w:val="20"/>
                <w:szCs w:val="20"/>
                <w:color w:val="auto"/>
              </w:rPr>
            </w:pPr>
            <w:r>
              <w:rPr>
                <w:rFonts w:ascii="Arial" w:cs="Arial" w:eastAsia="Arial" w:hAnsi="Arial"/>
                <w:sz w:val="16"/>
                <w:szCs w:val="16"/>
                <w:b w:val="1"/>
                <w:bCs w:val="1"/>
                <w:color w:val="auto"/>
              </w:rPr>
              <w:t>Fourth Street</w:t>
            </w:r>
          </w:p>
        </w:tc>
        <w:tc>
          <w:tcPr>
            <w:tcW w:w="2340" w:type="dxa"/>
            <w:vAlign w:val="bottom"/>
          </w:tcPr>
          <w:p>
            <w:pPr>
              <w:ind w:left="560"/>
              <w:spacing w:after="0"/>
              <w:rPr>
                <w:sz w:val="20"/>
                <w:szCs w:val="20"/>
                <w:color w:val="auto"/>
              </w:rPr>
            </w:pPr>
            <w:r>
              <w:rPr>
                <w:rFonts w:ascii="Arial" w:cs="Arial" w:eastAsia="Arial" w:hAnsi="Arial"/>
                <w:sz w:val="16"/>
                <w:szCs w:val="16"/>
                <w:color w:val="auto"/>
              </w:rPr>
              <w:t>Berkeley, CA</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600" w:type="dxa"/>
            <w:vAlign w:val="bottom"/>
          </w:tcPr>
          <w:p>
            <w:pPr>
              <w:ind w:left="460"/>
              <w:spacing w:after="0"/>
              <w:rPr>
                <w:sz w:val="20"/>
                <w:szCs w:val="20"/>
                <w:color w:val="auto"/>
              </w:rPr>
            </w:pPr>
            <w:r>
              <w:rPr>
                <w:rFonts w:ascii="Arial" w:cs="Arial" w:eastAsia="Arial" w:hAnsi="Arial"/>
                <w:sz w:val="16"/>
                <w:szCs w:val="16"/>
                <w:color w:val="auto"/>
              </w:rPr>
              <w:t>Santa Monica, CA</w:t>
            </w:r>
          </w:p>
        </w:tc>
      </w:tr>
      <w:tr>
        <w:trPr>
          <w:trHeight w:val="33"/>
        </w:trPr>
        <w:tc>
          <w:tcPr>
            <w:tcW w:w="2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Queens, NY</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Bethesda, MD</w:t>
            </w:r>
          </w:p>
        </w:tc>
      </w:tr>
      <w:tr>
        <w:trPr>
          <w:trHeight w:val="237"/>
        </w:trPr>
        <w:tc>
          <w:tcPr>
            <w:tcW w:w="2680" w:type="dxa"/>
            <w:vAlign w:val="bottom"/>
          </w:tcPr>
          <w:p>
            <w:pPr>
              <w:ind w:left="620"/>
              <w:spacing w:after="0"/>
              <w:rPr>
                <w:sz w:val="20"/>
                <w:szCs w:val="20"/>
                <w:color w:val="auto"/>
              </w:rPr>
            </w:pPr>
            <w:r>
              <w:rPr>
                <w:rFonts w:ascii="Arial" w:cs="Arial" w:eastAsia="Arial" w:hAnsi="Arial"/>
                <w:sz w:val="16"/>
                <w:szCs w:val="16"/>
                <w:b w:val="1"/>
                <w:bCs w:val="1"/>
                <w:color w:val="auto"/>
              </w:rPr>
              <w:t>Hastings Ranch Plaza</w:t>
            </w:r>
          </w:p>
        </w:tc>
        <w:tc>
          <w:tcPr>
            <w:tcW w:w="2340" w:type="dxa"/>
            <w:vAlign w:val="bottom"/>
          </w:tcPr>
          <w:p>
            <w:pPr>
              <w:ind w:left="560"/>
              <w:spacing w:after="0"/>
              <w:rPr>
                <w:sz w:val="20"/>
                <w:szCs w:val="20"/>
                <w:color w:val="auto"/>
              </w:rPr>
            </w:pPr>
            <w:r>
              <w:rPr>
                <w:rFonts w:ascii="Arial" w:cs="Arial" w:eastAsia="Arial" w:hAnsi="Arial"/>
                <w:sz w:val="16"/>
                <w:szCs w:val="16"/>
                <w:color w:val="auto"/>
              </w:rPr>
              <w:t>Pasadena, CA</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Willow Grove</w:t>
            </w:r>
          </w:p>
        </w:tc>
        <w:tc>
          <w:tcPr>
            <w:tcW w:w="3600" w:type="dxa"/>
            <w:vAlign w:val="bottom"/>
          </w:tcPr>
          <w:p>
            <w:pPr>
              <w:ind w:left="460"/>
              <w:spacing w:after="0"/>
              <w:rPr>
                <w:sz w:val="20"/>
                <w:szCs w:val="20"/>
                <w:color w:val="auto"/>
              </w:rPr>
            </w:pPr>
            <w:r>
              <w:rPr>
                <w:rFonts w:ascii="Arial" w:cs="Arial" w:eastAsia="Arial" w:hAnsi="Arial"/>
                <w:sz w:val="16"/>
                <w:szCs w:val="16"/>
                <w:color w:val="auto"/>
              </w:rPr>
              <w:t>Willow Grove, PA</w:t>
            </w:r>
          </w:p>
        </w:tc>
      </w:tr>
      <w:tr>
        <w:trPr>
          <w:trHeight w:val="33"/>
        </w:trPr>
        <w:tc>
          <w:tcPr>
            <w:tcW w:w="2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37"/>
        </w:trPr>
        <w:tc>
          <w:tcPr>
            <w:tcW w:w="26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Huntington</w:t>
            </w:r>
          </w:p>
        </w:tc>
        <w:tc>
          <w:tcPr>
            <w:tcW w:w="2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Huntington, NY</w:t>
            </w:r>
          </w:p>
        </w:tc>
        <w:tc>
          <w:tcPr>
            <w:tcW w:w="28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33"/>
        </w:trPr>
        <w:tc>
          <w:tcPr>
            <w:tcW w:w="26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Pr>
          <w:p>
            <w:pPr>
              <w:ind w:left="240"/>
              <w:spacing w:after="0"/>
              <w:rPr>
                <w:sz w:val="20"/>
                <w:szCs w:val="20"/>
                <w:color w:val="auto"/>
              </w:rPr>
            </w:pPr>
            <w:r>
              <w:rPr>
                <w:rFonts w:ascii="Arial" w:cs="Arial" w:eastAsia="Arial" w:hAnsi="Arial"/>
                <w:sz w:val="16"/>
                <w:szCs w:val="16"/>
                <w:color w:val="auto"/>
              </w:rPr>
              <w:t>Charlottesville, VA</w:t>
            </w:r>
          </w:p>
        </w:tc>
        <w:tc>
          <w:tcPr>
            <w:tcW w:w="318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160" w:type="dxa"/>
            <w:vAlign w:val="bottom"/>
          </w:tcPr>
          <w:p>
            <w:pPr>
              <w:ind w:left="2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gridSpan w:val="2"/>
          </w:tcPr>
          <w:p>
            <w:pPr>
              <w:spacing w:after="0"/>
              <w:rPr>
                <w:sz w:val="23"/>
                <w:szCs w:val="23"/>
                <w:color w:val="auto"/>
              </w:rPr>
            </w:pPr>
          </w:p>
        </w:tc>
        <w:tc>
          <w:tcPr>
            <w:tcW w:w="20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237"/>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08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Pr>
          <w:p>
            <w:pPr>
              <w:ind w:left="240"/>
              <w:spacing w:after="0"/>
              <w:rPr>
                <w:sz w:val="20"/>
                <w:szCs w:val="20"/>
                <w:color w:val="auto"/>
              </w:rPr>
            </w:pPr>
            <w:r>
              <w:rPr>
                <w:rFonts w:ascii="Arial" w:cs="Arial" w:eastAsia="Arial" w:hAnsi="Arial"/>
                <w:sz w:val="16"/>
                <w:szCs w:val="16"/>
                <w:color w:val="auto"/>
              </w:rPr>
              <w:t>Somerville, MA</w:t>
            </w:r>
          </w:p>
        </w:tc>
        <w:tc>
          <w:tcPr>
            <w:tcW w:w="318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160" w:type="dxa"/>
            <w:vAlign w:val="bottom"/>
          </w:tcPr>
          <w:p>
            <w:pPr>
              <w:ind w:left="2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 Jose, CA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Pike 7 Plaza</w:t>
            </w:r>
          </w:p>
        </w:tc>
        <w:tc>
          <w:tcPr>
            <w:tcW w:w="2080" w:type="dxa"/>
            <w:vAlign w:val="bottom"/>
          </w:tcPr>
          <w:p>
            <w:pPr>
              <w:ind w:left="240"/>
              <w:spacing w:after="0"/>
              <w:rPr>
                <w:sz w:val="20"/>
                <w:szCs w:val="20"/>
                <w:color w:val="auto"/>
              </w:rPr>
            </w:pPr>
            <w:r>
              <w:rPr>
                <w:rFonts w:ascii="Arial" w:cs="Arial" w:eastAsia="Arial" w:hAnsi="Arial"/>
                <w:sz w:val="16"/>
                <w:szCs w:val="16"/>
                <w:color w:val="auto"/>
              </w:rPr>
              <w:t>Vienna, VA</w:t>
            </w:r>
          </w:p>
        </w:tc>
        <w:tc>
          <w:tcPr>
            <w:tcW w:w="3180" w:type="dxa"/>
            <w:vAlign w:val="bottom"/>
          </w:tcPr>
          <w:p>
            <w:pPr>
              <w:ind w:left="460"/>
              <w:spacing w:after="0"/>
              <w:rPr>
                <w:sz w:val="20"/>
                <w:szCs w:val="20"/>
                <w:color w:val="auto"/>
              </w:rPr>
            </w:pPr>
            <w:r>
              <w:rPr>
                <w:rFonts w:ascii="Arial" w:cs="Arial" w:eastAsia="Arial" w:hAnsi="Arial"/>
                <w:sz w:val="16"/>
                <w:szCs w:val="16"/>
                <w:b w:val="1"/>
                <w:bCs w:val="1"/>
                <w:color w:val="auto"/>
              </w:rPr>
              <w:t>Santana Row - Santana West (3)</w:t>
            </w:r>
          </w:p>
        </w:tc>
        <w:tc>
          <w:tcPr>
            <w:tcW w:w="3160" w:type="dxa"/>
            <w:vAlign w:val="bottom"/>
          </w:tcPr>
          <w:p>
            <w:pPr>
              <w:ind w:left="2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&amp; Rose (2)</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North Bethesda, MD</w:t>
            </w:r>
          </w:p>
        </w:tc>
        <w:tc>
          <w:tcPr>
            <w:tcW w:w="318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230"/>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24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Assembly Row</w:t>
            </w: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w w:val="95"/>
              </w:rPr>
              <w:t>Remaining entitlements after Phase II include approximately 1.5 million square feet of commercial-use buildings and 329 residential units.</w:t>
            </w:r>
          </w:p>
        </w:tc>
      </w:tr>
      <w:tr>
        <w:trPr>
          <w:trHeight w:val="20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96"/>
              </w:rPr>
              <w:t>Remaining entitlements after Phase II include approximately 740,000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420" w:type="dxa"/>
            <w:vAlign w:val="bottom"/>
            <w:gridSpan w:val="3"/>
          </w:tcPr>
          <w:p>
            <w:pPr>
              <w:ind w:left="240"/>
              <w:spacing w:after="0" w:line="157" w:lineRule="exact"/>
              <w:rPr>
                <w:sz w:val="20"/>
                <w:szCs w:val="20"/>
                <w:color w:val="auto"/>
              </w:rPr>
            </w:pPr>
            <w:r>
              <w:rPr>
                <w:rFonts w:ascii="Arial" w:cs="Arial" w:eastAsia="Arial" w:hAnsi="Arial"/>
                <w:sz w:val="14"/>
                <w:szCs w:val="14"/>
                <w:color w:val="auto"/>
                <w:w w:val="94"/>
              </w:rPr>
              <w:t>Remaining entitlements include approximately 321,000 square feet of commercial space and 395 residential units, as well as approximately</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60" w:type="dxa"/>
            <w:vAlign w:val="bottom"/>
            <w:gridSpan w:val="2"/>
          </w:tcPr>
          <w:p>
            <w:pPr>
              <w:ind w:left="240"/>
              <w:spacing w:after="0"/>
              <w:rPr>
                <w:sz w:val="20"/>
                <w:szCs w:val="20"/>
                <w:color w:val="auto"/>
              </w:rPr>
            </w:pPr>
            <w:r>
              <w:rPr>
                <w:rFonts w:ascii="Arial" w:cs="Arial" w:eastAsia="Arial" w:hAnsi="Arial"/>
                <w:sz w:val="14"/>
                <w:szCs w:val="14"/>
                <w:color w:val="auto"/>
                <w:w w:val="92"/>
              </w:rPr>
              <w:t>620,000 square feet of commercial space on land we control across from Santana Row.</w:t>
            </w:r>
          </w:p>
        </w:tc>
        <w:tc>
          <w:tcPr>
            <w:tcW w:w="3160" w:type="dxa"/>
            <w:vAlign w:val="bottom"/>
          </w:tcPr>
          <w:p>
            <w:pPr>
              <w:spacing w:after="0"/>
              <w:rPr>
                <w:sz w:val="15"/>
                <w:szCs w:val="15"/>
                <w:color w:val="auto"/>
              </w:rPr>
            </w:pP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80" w:type="dxa"/>
            <w:vAlign w:val="bottom"/>
          </w:tcPr>
          <w:p>
            <w:pPr>
              <w:ind w:left="540"/>
              <w:spacing w:after="0"/>
              <w:rPr>
                <w:sz w:val="20"/>
                <w:szCs w:val="20"/>
                <w:color w:val="auto"/>
              </w:rPr>
            </w:pPr>
            <w:r>
              <w:rPr>
                <w:rFonts w:ascii="Arial" w:cs="Arial" w:eastAsia="Arial" w:hAnsi="Arial"/>
                <w:sz w:val="18"/>
                <w:szCs w:val="18"/>
                <w:color w:val="auto"/>
              </w:rPr>
              <w:t>18</w:t>
            </w:r>
          </w:p>
        </w:tc>
        <w:tc>
          <w:tcPr>
            <w:tcW w:w="316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2019 Significant Property Acquisitions, Dispositions, and Other Transactions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Significant Acquisitions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Date</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Property</w:t>
            </w:r>
          </w:p>
        </w:tc>
        <w:tc>
          <w:tcPr>
            <w:tcW w:w="2040" w:type="dxa"/>
            <w:vAlign w:val="bottom"/>
          </w:tcPr>
          <w:p>
            <w:pPr>
              <w:ind w:left="300"/>
              <w:spacing w:after="0"/>
              <w:rPr>
                <w:sz w:val="20"/>
                <w:szCs w:val="20"/>
                <w:color w:val="auto"/>
              </w:rPr>
            </w:pPr>
            <w:r>
              <w:rPr>
                <w:rFonts w:ascii="Arial" w:cs="Arial" w:eastAsia="Arial" w:hAnsi="Arial"/>
                <w:sz w:val="16"/>
                <w:szCs w:val="16"/>
                <w:b w:val="1"/>
                <w:bCs w:val="1"/>
                <w:color w:val="auto"/>
              </w:rPr>
              <w:t>City/State</w:t>
            </w:r>
          </w:p>
        </w:tc>
        <w:tc>
          <w:tcPr>
            <w:tcW w:w="1400" w:type="dxa"/>
            <w:vAlign w:val="bottom"/>
          </w:tcPr>
          <w:p>
            <w:pPr>
              <w:jc w:val="right"/>
              <w:ind w:right="344"/>
              <w:spacing w:after="0"/>
              <w:rPr>
                <w:sz w:val="20"/>
                <w:szCs w:val="20"/>
                <w:color w:val="auto"/>
              </w:rPr>
            </w:pPr>
            <w:r>
              <w:rPr>
                <w:rFonts w:ascii="Arial" w:cs="Arial" w:eastAsia="Arial" w:hAnsi="Arial"/>
                <w:sz w:val="16"/>
                <w:szCs w:val="16"/>
                <w:b w:val="1"/>
                <w:bCs w:val="1"/>
                <w:color w:val="auto"/>
              </w:rPr>
              <w:t>GLA</w:t>
            </w:r>
          </w:p>
        </w:tc>
        <w:tc>
          <w:tcPr>
            <w:tcW w:w="18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b w:val="1"/>
                <w:bCs w:val="1"/>
                <w:color w:val="auto"/>
                <w:w w:val="88"/>
              </w:rPr>
              <w:t>Purchase Price</w:t>
            </w:r>
          </w:p>
        </w:tc>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Principal Tenants</w:t>
            </w:r>
          </w:p>
        </w:tc>
        <w:tc>
          <w:tcPr>
            <w:tcW w:w="640" w:type="dxa"/>
            <w:vAlign w:val="bottom"/>
          </w:tcPr>
          <w:p>
            <w:pPr>
              <w:spacing w:after="0"/>
              <w:rPr>
                <w:sz w:val="17"/>
                <w:szCs w:val="17"/>
                <w:color w:val="auto"/>
              </w:rPr>
            </w:pP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8"/>
        </w:trPr>
        <w:tc>
          <w:tcPr>
            <w:tcW w:w="17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00" w:type="dxa"/>
            <w:vAlign w:val="bottom"/>
          </w:tcPr>
          <w:p>
            <w:pPr>
              <w:jc w:val="right"/>
              <w:ind w:right="64"/>
              <w:spacing w:after="0"/>
              <w:rPr>
                <w:sz w:val="20"/>
                <w:szCs w:val="20"/>
                <w:color w:val="auto"/>
              </w:rPr>
            </w:pPr>
            <w:r>
              <w:rPr>
                <w:rFonts w:ascii="Arial" w:cs="Arial" w:eastAsia="Arial" w:hAnsi="Arial"/>
                <w:sz w:val="14"/>
                <w:szCs w:val="14"/>
                <w:b w:val="1"/>
                <w:bCs w:val="1"/>
                <w:color w:val="auto"/>
              </w:rPr>
              <w:t>(in square feet)</w:t>
            </w:r>
          </w:p>
        </w:tc>
        <w:tc>
          <w:tcPr>
            <w:tcW w:w="180" w:type="dxa"/>
            <w:vAlign w:val="bottom"/>
          </w:tcPr>
          <w:p>
            <w:pPr>
              <w:spacing w:after="0"/>
              <w:rPr>
                <w:sz w:val="22"/>
                <w:szCs w:val="22"/>
                <w:color w:val="auto"/>
              </w:rPr>
            </w:pPr>
          </w:p>
        </w:tc>
        <w:tc>
          <w:tcPr>
            <w:tcW w:w="1180" w:type="dxa"/>
            <w:vAlign w:val="bottom"/>
          </w:tcPr>
          <w:p>
            <w:pPr>
              <w:jc w:val="right"/>
              <w:ind w:right="204"/>
              <w:spacing w:after="0"/>
              <w:rPr>
                <w:sz w:val="20"/>
                <w:szCs w:val="20"/>
                <w:color w:val="auto"/>
              </w:rPr>
            </w:pPr>
            <w:r>
              <w:rPr>
                <w:rFonts w:ascii="Arial" w:cs="Arial" w:eastAsia="Arial" w:hAnsi="Arial"/>
                <w:sz w:val="14"/>
                <w:szCs w:val="14"/>
                <w:b w:val="1"/>
                <w:bCs w:val="1"/>
                <w:color w:val="auto"/>
              </w:rPr>
              <w:t>(in millions)</w:t>
            </w:r>
          </w:p>
        </w:tc>
        <w:tc>
          <w:tcPr>
            <w:tcW w:w="2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February 8, 2019</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Fairfax Junction</w:t>
            </w:r>
          </w:p>
        </w:tc>
        <w:tc>
          <w:tcPr>
            <w:tcW w:w="2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Fairfax, Virginia</w:t>
            </w: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75,000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22.5</w:t>
            </w:r>
          </w:p>
        </w:tc>
        <w:tc>
          <w:tcPr>
            <w:tcW w:w="2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CVS / Planet Fitness</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26"/>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September 18, 2019</w:t>
            </w:r>
          </w:p>
        </w:tc>
        <w:tc>
          <w:tcPr>
            <w:tcW w:w="2000" w:type="dxa"/>
            <w:vAlign w:val="bottom"/>
          </w:tcPr>
          <w:p>
            <w:pPr>
              <w:ind w:left="20"/>
              <w:spacing w:after="0"/>
              <w:rPr>
                <w:sz w:val="20"/>
                <w:szCs w:val="20"/>
                <w:color w:val="auto"/>
              </w:rPr>
            </w:pPr>
            <w:r>
              <w:rPr>
                <w:rFonts w:ascii="Arial" w:cs="Arial" w:eastAsia="Arial" w:hAnsi="Arial"/>
                <w:sz w:val="16"/>
                <w:szCs w:val="16"/>
                <w:color w:val="auto"/>
              </w:rPr>
              <w:t>Hoboken (210 14th Street)</w:t>
            </w:r>
          </w:p>
        </w:tc>
        <w:tc>
          <w:tcPr>
            <w:tcW w:w="2040" w:type="dxa"/>
            <w:vAlign w:val="bottom"/>
          </w:tcPr>
          <w:p>
            <w:pPr>
              <w:ind w:left="300"/>
              <w:spacing w:after="0"/>
              <w:rPr>
                <w:sz w:val="20"/>
                <w:szCs w:val="20"/>
                <w:color w:val="auto"/>
              </w:rPr>
            </w:pPr>
            <w:r>
              <w:rPr>
                <w:rFonts w:ascii="Arial" w:cs="Arial" w:eastAsia="Arial" w:hAnsi="Arial"/>
                <w:sz w:val="16"/>
                <w:szCs w:val="16"/>
                <w:color w:val="auto"/>
              </w:rPr>
              <w:t>Hoboken, New Jersey</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42,000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30.9</w:t>
            </w:r>
          </w:p>
        </w:tc>
        <w:tc>
          <w:tcPr>
            <w:tcW w:w="2240" w:type="dxa"/>
            <w:vAlign w:val="bottom"/>
          </w:tcPr>
          <w:p>
            <w:pPr>
              <w:ind w:left="60"/>
              <w:spacing w:after="0"/>
              <w:rPr>
                <w:sz w:val="20"/>
                <w:szCs w:val="20"/>
                <w:color w:val="auto"/>
              </w:rPr>
            </w:pPr>
            <w:r>
              <w:rPr>
                <w:rFonts w:ascii="Arial" w:cs="Arial" w:eastAsia="Arial" w:hAnsi="Arial"/>
                <w:sz w:val="16"/>
                <w:szCs w:val="16"/>
                <w:color w:val="auto"/>
              </w:rPr>
              <w:t>CVS / New York Sports Club</w:t>
            </w:r>
          </w:p>
        </w:tc>
        <w:tc>
          <w:tcPr>
            <w:tcW w:w="640" w:type="dxa"/>
            <w:vAlign w:val="bottom"/>
          </w:tcPr>
          <w:p>
            <w:pPr>
              <w:jc w:val="right"/>
              <w:ind w:right="63"/>
              <w:spacing w:after="0"/>
              <w:rPr>
                <w:sz w:val="20"/>
                <w:szCs w:val="20"/>
                <w:color w:val="auto"/>
              </w:rPr>
            </w:pPr>
            <w:r>
              <w:rPr>
                <w:rFonts w:ascii="Arial" w:cs="Arial" w:eastAsia="Arial" w:hAnsi="Arial"/>
                <w:sz w:val="15"/>
                <w:szCs w:val="15"/>
                <w:color w:val="auto"/>
              </w:rPr>
              <w:t>(1)</w:t>
            </w:r>
          </w:p>
        </w:tc>
      </w:tr>
    </w:tbl>
    <w:p>
      <w:pPr>
        <w:spacing w:after="0" w:line="144" w:lineRule="exact"/>
        <w:rPr>
          <w:sz w:val="20"/>
          <w:szCs w:val="20"/>
          <w:color w:val="auto"/>
        </w:rPr>
      </w:pPr>
    </w:p>
    <w:p>
      <w:pPr>
        <w:ind w:left="260" w:right="480" w:hanging="252"/>
        <w:spacing w:after="0" w:line="274"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acquisition was completed through a newly formed joint venture, in which we own a 90% interest. The purchase price includes the assumption of $17.0 million of mortgage debt.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Significant Dispositions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2960" w:type="dxa"/>
            <w:vAlign w:val="bottom"/>
          </w:tcPr>
          <w:p>
            <w:pPr>
              <w:ind w:left="620"/>
              <w:spacing w:after="0"/>
              <w:rPr>
                <w:sz w:val="20"/>
                <w:szCs w:val="20"/>
                <w:color w:val="auto"/>
              </w:rPr>
            </w:pPr>
            <w:r>
              <w:rPr>
                <w:rFonts w:ascii="Arial" w:cs="Arial" w:eastAsia="Arial" w:hAnsi="Arial"/>
                <w:sz w:val="16"/>
                <w:szCs w:val="16"/>
                <w:b w:val="1"/>
                <w:bCs w:val="1"/>
                <w:color w:val="auto"/>
              </w:rPr>
              <w:t>Property</w:t>
            </w:r>
          </w:p>
        </w:tc>
        <w:tc>
          <w:tcPr>
            <w:tcW w:w="2960" w:type="dxa"/>
            <w:vAlign w:val="bottom"/>
          </w:tcPr>
          <w:p>
            <w:pPr>
              <w:ind w:left="620"/>
              <w:spacing w:after="0"/>
              <w:rPr>
                <w:sz w:val="20"/>
                <w:szCs w:val="20"/>
                <w:color w:val="auto"/>
              </w:rPr>
            </w:pPr>
            <w:r>
              <w:rPr>
                <w:rFonts w:ascii="Arial" w:cs="Arial" w:eastAsia="Arial" w:hAnsi="Arial"/>
                <w:sz w:val="16"/>
                <w:szCs w:val="16"/>
                <w:b w:val="1"/>
                <w:bCs w:val="1"/>
                <w:color w:val="auto"/>
              </w:rPr>
              <w:t>City/State</w:t>
            </w:r>
          </w:p>
        </w:tc>
        <w:tc>
          <w:tcPr>
            <w:tcW w:w="820" w:type="dxa"/>
            <w:vAlign w:val="bottom"/>
          </w:tcPr>
          <w:p>
            <w:pPr>
              <w:spacing w:after="0"/>
              <w:rPr>
                <w:sz w:val="17"/>
                <w:szCs w:val="17"/>
                <w:color w:val="auto"/>
              </w:rPr>
            </w:pPr>
          </w:p>
        </w:tc>
        <w:tc>
          <w:tcPr>
            <w:tcW w:w="2960" w:type="dxa"/>
            <w:vAlign w:val="bottom"/>
          </w:tcPr>
          <w:p>
            <w:pPr>
              <w:jc w:val="right"/>
              <w:ind w:right="2063"/>
              <w:spacing w:after="0"/>
              <w:rPr>
                <w:sz w:val="20"/>
                <w:szCs w:val="20"/>
                <w:color w:val="auto"/>
              </w:rPr>
            </w:pPr>
            <w:r>
              <w:rPr>
                <w:rFonts w:ascii="Arial" w:cs="Arial" w:eastAsia="Arial" w:hAnsi="Arial"/>
                <w:sz w:val="16"/>
                <w:szCs w:val="16"/>
                <w:b w:val="1"/>
                <w:bCs w:val="1"/>
                <w:color w:val="auto"/>
                <w:w w:val="93"/>
              </w:rPr>
              <w:t>Sales Price</w:t>
            </w: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58"/>
        </w:trPr>
        <w:tc>
          <w:tcPr>
            <w:tcW w:w="17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960" w:type="dxa"/>
            <w:vAlign w:val="bottom"/>
          </w:tcPr>
          <w:p>
            <w:pPr>
              <w:jc w:val="right"/>
              <w:ind w:right="206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28, 2019</w:t>
            </w:r>
          </w:p>
        </w:tc>
        <w:tc>
          <w:tcPr>
            <w:tcW w:w="2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Free State Shopping Center</w:t>
            </w:r>
          </w:p>
        </w:tc>
        <w:tc>
          <w:tcPr>
            <w:tcW w:w="2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Bowie, Maryland</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CCEEFF"/>
            </w:tcBorders>
            <w:shd w:val="clear" w:color="auto" w:fill="CCEEFF"/>
          </w:tcPr>
          <w:p>
            <w:pPr>
              <w:jc w:val="right"/>
              <w:ind w:right="1863"/>
              <w:spacing w:after="0"/>
              <w:rPr>
                <w:sz w:val="20"/>
                <w:szCs w:val="20"/>
                <w:color w:val="auto"/>
              </w:rPr>
            </w:pPr>
            <w:r>
              <w:rPr>
                <w:rFonts w:ascii="Arial" w:cs="Arial" w:eastAsia="Arial" w:hAnsi="Arial"/>
                <w:sz w:val="16"/>
                <w:szCs w:val="16"/>
                <w:color w:val="auto"/>
              </w:rPr>
              <w:t>72.0</w:t>
            </w:r>
          </w:p>
        </w:tc>
      </w:tr>
      <w:tr>
        <w:trPr>
          <w:trHeight w:val="249"/>
        </w:trPr>
        <w:tc>
          <w:tcPr>
            <w:tcW w:w="1720" w:type="dxa"/>
            <w:vAlign w:val="bottom"/>
          </w:tcPr>
          <w:p>
            <w:pPr>
              <w:ind w:left="40"/>
              <w:spacing w:after="0"/>
              <w:rPr>
                <w:sz w:val="20"/>
                <w:szCs w:val="20"/>
                <w:color w:val="auto"/>
              </w:rPr>
            </w:pPr>
            <w:r>
              <w:rPr>
                <w:rFonts w:ascii="Arial" w:cs="Arial" w:eastAsia="Arial" w:hAnsi="Arial"/>
                <w:sz w:val="16"/>
                <w:szCs w:val="16"/>
                <w:color w:val="auto"/>
              </w:rPr>
              <w:t>May 29, 2019</w:t>
            </w:r>
          </w:p>
        </w:tc>
        <w:tc>
          <w:tcPr>
            <w:tcW w:w="2960" w:type="dxa"/>
            <w:vAlign w:val="bottom"/>
          </w:tcPr>
          <w:p>
            <w:pPr>
              <w:ind w:left="620"/>
              <w:spacing w:after="0"/>
              <w:rPr>
                <w:sz w:val="20"/>
                <w:szCs w:val="20"/>
                <w:color w:val="auto"/>
              </w:rPr>
            </w:pPr>
            <w:r>
              <w:rPr>
                <w:rFonts w:ascii="Arial" w:cs="Arial" w:eastAsia="Arial" w:hAnsi="Arial"/>
                <w:sz w:val="16"/>
                <w:szCs w:val="16"/>
                <w:color w:val="auto"/>
              </w:rPr>
              <w:t>Northeast (Parcel)</w:t>
            </w:r>
          </w:p>
        </w:tc>
        <w:tc>
          <w:tcPr>
            <w:tcW w:w="2960" w:type="dxa"/>
            <w:vAlign w:val="bottom"/>
          </w:tcPr>
          <w:p>
            <w:pPr>
              <w:ind w:left="620"/>
              <w:spacing w:after="0"/>
              <w:rPr>
                <w:sz w:val="20"/>
                <w:szCs w:val="20"/>
                <w:color w:val="auto"/>
              </w:rPr>
            </w:pPr>
            <w:r>
              <w:rPr>
                <w:rFonts w:ascii="Arial" w:cs="Arial" w:eastAsia="Arial" w:hAnsi="Arial"/>
                <w:sz w:val="16"/>
                <w:szCs w:val="16"/>
                <w:color w:val="auto"/>
              </w:rPr>
              <w:t>Philadelphia, Pennsylvania</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863"/>
              <w:spacing w:after="0"/>
              <w:rPr>
                <w:sz w:val="20"/>
                <w:szCs w:val="20"/>
                <w:color w:val="auto"/>
              </w:rPr>
            </w:pPr>
            <w:r>
              <w:rPr>
                <w:rFonts w:ascii="Arial" w:cs="Arial" w:eastAsia="Arial" w:hAnsi="Arial"/>
                <w:sz w:val="16"/>
                <w:szCs w:val="16"/>
                <w:color w:val="auto"/>
              </w:rPr>
              <w:t>7.7</w:t>
            </w:r>
          </w:p>
        </w:tc>
      </w:tr>
      <w:tr>
        <w:trPr>
          <w:trHeight w:val="22"/>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5, 2019</w:t>
            </w:r>
          </w:p>
        </w:tc>
        <w:tc>
          <w:tcPr>
            <w:tcW w:w="2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Hermosa Avenue</w:t>
            </w:r>
          </w:p>
        </w:tc>
        <w:tc>
          <w:tcPr>
            <w:tcW w:w="2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Hermosa Beach, California</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CCEEFF"/>
            </w:tcBorders>
            <w:shd w:val="clear" w:color="auto" w:fill="CCEEFF"/>
          </w:tcPr>
          <w:p>
            <w:pPr>
              <w:jc w:val="right"/>
              <w:ind w:right="1863"/>
              <w:spacing w:after="0"/>
              <w:rPr>
                <w:sz w:val="20"/>
                <w:szCs w:val="20"/>
                <w:color w:val="auto"/>
              </w:rPr>
            </w:pPr>
            <w:r>
              <w:rPr>
                <w:rFonts w:ascii="Arial" w:cs="Arial" w:eastAsia="Arial" w:hAnsi="Arial"/>
                <w:sz w:val="16"/>
                <w:szCs w:val="16"/>
                <w:color w:val="auto"/>
              </w:rPr>
              <w:t>18.0</w:t>
            </w:r>
          </w:p>
        </w:tc>
      </w:tr>
      <w:tr>
        <w:trPr>
          <w:trHeight w:val="249"/>
        </w:trPr>
        <w:tc>
          <w:tcPr>
            <w:tcW w:w="1720" w:type="dxa"/>
            <w:vAlign w:val="bottom"/>
          </w:tcPr>
          <w:p>
            <w:pPr>
              <w:ind w:left="40"/>
              <w:spacing w:after="0"/>
              <w:rPr>
                <w:sz w:val="20"/>
                <w:szCs w:val="20"/>
                <w:color w:val="auto"/>
              </w:rPr>
            </w:pPr>
            <w:r>
              <w:rPr>
                <w:rFonts w:ascii="Arial" w:cs="Arial" w:eastAsia="Arial" w:hAnsi="Arial"/>
                <w:sz w:val="16"/>
                <w:szCs w:val="16"/>
                <w:color w:val="auto"/>
              </w:rPr>
              <w:t>October 11, 2019</w:t>
            </w:r>
          </w:p>
        </w:tc>
        <w:tc>
          <w:tcPr>
            <w:tcW w:w="2960" w:type="dxa"/>
            <w:vAlign w:val="bottom"/>
          </w:tcPr>
          <w:p>
            <w:pPr>
              <w:ind w:left="620"/>
              <w:spacing w:after="0"/>
              <w:rPr>
                <w:sz w:val="20"/>
                <w:szCs w:val="20"/>
                <w:color w:val="auto"/>
              </w:rPr>
            </w:pPr>
            <w:r>
              <w:rPr>
                <w:rFonts w:ascii="Arial" w:cs="Arial" w:eastAsia="Arial" w:hAnsi="Arial"/>
                <w:sz w:val="16"/>
                <w:szCs w:val="16"/>
                <w:color w:val="auto"/>
              </w:rPr>
              <w:t>Plaza Pacoima</w:t>
            </w:r>
          </w:p>
        </w:tc>
        <w:tc>
          <w:tcPr>
            <w:tcW w:w="2960" w:type="dxa"/>
            <w:vAlign w:val="bottom"/>
          </w:tcPr>
          <w:p>
            <w:pPr>
              <w:ind w:left="620"/>
              <w:spacing w:after="0"/>
              <w:rPr>
                <w:sz w:val="20"/>
                <w:szCs w:val="20"/>
                <w:color w:val="auto"/>
              </w:rPr>
            </w:pPr>
            <w:r>
              <w:rPr>
                <w:rFonts w:ascii="Arial" w:cs="Arial" w:eastAsia="Arial" w:hAnsi="Arial"/>
                <w:sz w:val="16"/>
                <w:szCs w:val="16"/>
                <w:color w:val="auto"/>
              </w:rPr>
              <w:t>Pacoima, California</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863"/>
              <w:spacing w:after="0"/>
              <w:rPr>
                <w:sz w:val="20"/>
                <w:szCs w:val="20"/>
                <w:color w:val="auto"/>
              </w:rPr>
            </w:pPr>
            <w:r>
              <w:rPr>
                <w:rFonts w:ascii="Arial" w:cs="Arial" w:eastAsia="Arial" w:hAnsi="Arial"/>
                <w:sz w:val="16"/>
                <w:szCs w:val="16"/>
                <w:color w:val="auto"/>
              </w:rPr>
              <w:t>51.3</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Other Transactions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Type</w:t>
            </w:r>
          </w:p>
        </w:tc>
        <w:tc>
          <w:tcPr>
            <w:tcW w:w="3120" w:type="dxa"/>
            <w:vAlign w:val="bottom"/>
          </w:tcPr>
          <w:p>
            <w:pPr>
              <w:ind w:left="680"/>
              <w:spacing w:after="0"/>
              <w:rPr>
                <w:sz w:val="20"/>
                <w:szCs w:val="20"/>
                <w:color w:val="auto"/>
              </w:rPr>
            </w:pPr>
            <w:r>
              <w:rPr>
                <w:rFonts w:ascii="Arial" w:cs="Arial" w:eastAsia="Arial" w:hAnsi="Arial"/>
                <w:sz w:val="16"/>
                <w:szCs w:val="16"/>
                <w:b w:val="1"/>
                <w:bCs w:val="1"/>
                <w:color w:val="auto"/>
              </w:rPr>
              <w:t>Property</w:t>
            </w:r>
          </w:p>
        </w:tc>
        <w:tc>
          <w:tcPr>
            <w:tcW w:w="2900" w:type="dxa"/>
            <w:vAlign w:val="bottom"/>
          </w:tcPr>
          <w:p>
            <w:pPr>
              <w:ind w:left="520"/>
              <w:spacing w:after="0"/>
              <w:rPr>
                <w:sz w:val="20"/>
                <w:szCs w:val="20"/>
                <w:color w:val="auto"/>
              </w:rPr>
            </w:pPr>
            <w:r>
              <w:rPr>
                <w:rFonts w:ascii="Arial" w:cs="Arial" w:eastAsia="Arial" w:hAnsi="Arial"/>
                <w:sz w:val="16"/>
                <w:szCs w:val="16"/>
                <w:b w:val="1"/>
                <w:bCs w:val="1"/>
                <w:color w:val="auto"/>
              </w:rPr>
              <w:t>City/State</w:t>
            </w:r>
          </w:p>
        </w:tc>
        <w:tc>
          <w:tcPr>
            <w:tcW w:w="3740" w:type="dxa"/>
            <w:vAlign w:val="bottom"/>
            <w:gridSpan w:val="2"/>
          </w:tcPr>
          <w:p>
            <w:pPr>
              <w:ind w:left="600"/>
              <w:spacing w:after="0"/>
              <w:rPr>
                <w:sz w:val="20"/>
                <w:szCs w:val="20"/>
                <w:color w:val="auto"/>
              </w:rPr>
            </w:pPr>
            <w:r>
              <w:rPr>
                <w:rFonts w:ascii="Arial" w:cs="Arial" w:eastAsia="Arial" w:hAnsi="Arial"/>
                <w:sz w:val="16"/>
                <w:szCs w:val="16"/>
                <w:b w:val="1"/>
                <w:bCs w:val="1"/>
                <w:color w:val="auto"/>
              </w:rPr>
              <w:t>Purchase Price</w:t>
            </w:r>
          </w:p>
        </w:tc>
      </w:tr>
      <w:tr>
        <w:trPr>
          <w:trHeight w:val="22"/>
        </w:trPr>
        <w:tc>
          <w:tcPr>
            <w:tcW w:w="16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58"/>
        </w:trPr>
        <w:tc>
          <w:tcPr>
            <w:tcW w:w="16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960" w:type="dxa"/>
            <w:vAlign w:val="bottom"/>
          </w:tcPr>
          <w:p>
            <w:pPr>
              <w:jc w:val="right"/>
              <w:ind w:right="206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Buyout</w:t>
            </w:r>
          </w:p>
        </w:tc>
        <w:tc>
          <w:tcPr>
            <w:tcW w:w="3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Assembly Square Marketplace</w:t>
            </w:r>
          </w:p>
        </w:tc>
        <w:tc>
          <w:tcPr>
            <w:tcW w:w="2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Sommerville, Massachusetts</w:t>
            </w:r>
          </w:p>
        </w:tc>
        <w:tc>
          <w:tcPr>
            <w:tcW w:w="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CCEEFF"/>
            </w:tcBorders>
            <w:shd w:val="clear" w:color="auto" w:fill="CCEEFF"/>
          </w:tcPr>
          <w:p>
            <w:pPr>
              <w:jc w:val="right"/>
              <w:ind w:right="1864"/>
              <w:spacing w:after="0"/>
              <w:rPr>
                <w:sz w:val="20"/>
                <w:szCs w:val="20"/>
                <w:color w:val="auto"/>
              </w:rPr>
            </w:pPr>
            <w:r>
              <w:rPr>
                <w:rFonts w:ascii="Arial" w:cs="Arial" w:eastAsia="Arial" w:hAnsi="Arial"/>
                <w:sz w:val="16"/>
                <w:szCs w:val="16"/>
                <w:color w:val="auto"/>
              </w:rPr>
              <w:t>14.5</w:t>
            </w:r>
          </w:p>
        </w:tc>
      </w:tr>
      <w:tr>
        <w:trPr>
          <w:trHeight w:val="249"/>
        </w:trPr>
        <w:tc>
          <w:tcPr>
            <w:tcW w:w="1660" w:type="dxa"/>
            <w:vAlign w:val="bottom"/>
          </w:tcPr>
          <w:p>
            <w:pPr>
              <w:ind w:left="40"/>
              <w:spacing w:after="0"/>
              <w:rPr>
                <w:sz w:val="20"/>
                <w:szCs w:val="20"/>
                <w:color w:val="auto"/>
              </w:rPr>
            </w:pPr>
            <w:r>
              <w:rPr>
                <w:rFonts w:ascii="Arial" w:cs="Arial" w:eastAsia="Arial" w:hAnsi="Arial"/>
                <w:sz w:val="16"/>
                <w:szCs w:val="16"/>
                <w:color w:val="auto"/>
              </w:rPr>
              <w:t>Partner Buyout</w:t>
            </w:r>
          </w:p>
        </w:tc>
        <w:tc>
          <w:tcPr>
            <w:tcW w:w="3120" w:type="dxa"/>
            <w:vAlign w:val="bottom"/>
          </w:tcPr>
          <w:p>
            <w:pPr>
              <w:ind w:left="680"/>
              <w:spacing w:after="0"/>
              <w:rPr>
                <w:sz w:val="20"/>
                <w:szCs w:val="20"/>
                <w:color w:val="auto"/>
              </w:rPr>
            </w:pPr>
            <w:r>
              <w:rPr>
                <w:rFonts w:ascii="Arial" w:cs="Arial" w:eastAsia="Arial" w:hAnsi="Arial"/>
                <w:sz w:val="16"/>
                <w:szCs w:val="16"/>
                <w:color w:val="auto"/>
              </w:rPr>
              <w:t>Montrose Crossing</w:t>
            </w:r>
          </w:p>
        </w:tc>
        <w:tc>
          <w:tcPr>
            <w:tcW w:w="2900" w:type="dxa"/>
            <w:vAlign w:val="bottom"/>
          </w:tcPr>
          <w:p>
            <w:pPr>
              <w:ind w:left="520"/>
              <w:spacing w:after="0"/>
              <w:rPr>
                <w:sz w:val="20"/>
                <w:szCs w:val="20"/>
                <w:color w:val="auto"/>
              </w:rPr>
            </w:pPr>
            <w:r>
              <w:rPr>
                <w:rFonts w:ascii="Arial" w:cs="Arial" w:eastAsia="Arial" w:hAnsi="Arial"/>
                <w:sz w:val="16"/>
                <w:szCs w:val="16"/>
                <w:color w:val="auto"/>
              </w:rPr>
              <w:t>Rockville, Maryland</w:t>
            </w:r>
          </w:p>
        </w:tc>
        <w:tc>
          <w:tcPr>
            <w:tcW w:w="780" w:type="dxa"/>
            <w:vAlign w:val="bottom"/>
          </w:tcPr>
          <w:p>
            <w:pPr>
              <w:ind w:left="600"/>
              <w:spacing w:after="0"/>
              <w:rPr>
                <w:sz w:val="20"/>
                <w:szCs w:val="20"/>
                <w:color w:val="auto"/>
              </w:rPr>
            </w:pPr>
            <w:r>
              <w:rPr>
                <w:rFonts w:ascii="Arial" w:cs="Arial" w:eastAsia="Arial" w:hAnsi="Arial"/>
                <w:sz w:val="16"/>
                <w:szCs w:val="16"/>
                <w:color w:val="auto"/>
              </w:rPr>
              <w:t>$</w:t>
            </w:r>
          </w:p>
        </w:tc>
        <w:tc>
          <w:tcPr>
            <w:tcW w:w="2960" w:type="dxa"/>
            <w:vAlign w:val="bottom"/>
          </w:tcPr>
          <w:p>
            <w:pPr>
              <w:jc w:val="right"/>
              <w:ind w:right="1864"/>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Property</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Name</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5"/>
              </w:rPr>
              <w:t>Barcroft Plaza</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w w:val="95"/>
              </w:rPr>
              <w:t>$  48,403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2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Bethesda</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230,342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Apple / Equinox / Anthropologie /</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Row</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Multiple Restaurants</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3"/>
              </w:rPr>
              <w:t>Congressional</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103,952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8"/>
              </w:rPr>
              <w:t>Buy Buy Baby / Container Store / Ulta</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Courthouse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6,680</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Fairfax</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21,560</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 / Planet Fitness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Junction</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Falls</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14,182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Plaza/Falls</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Plaza-East</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7"/>
              </w:rPr>
              <w:t>Federal Plaza</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70,293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0"/>
              </w:rPr>
              <w:t>TJ Maxx / Micro Center / Ross Dress For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Less</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38,150</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Nordstrom Rack / DSW /</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28,527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8"/>
              </w:rPr>
              <w:t>Bed, Bath &amp; Beyond / Ross Dress For</w:t>
            </w:r>
          </w:p>
        </w:tc>
      </w:tr>
      <w:tr>
        <w:trPr>
          <w:trHeight w:val="135"/>
        </w:trPr>
        <w:tc>
          <w:tcPr>
            <w:tcW w:w="8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Square</w:t>
            </w:r>
          </w:p>
        </w:tc>
        <w:tc>
          <w:tcPr>
            <w:tcW w:w="320" w:type="dxa"/>
            <w:vAlign w:val="bottom"/>
          </w:tcPr>
          <w:p>
            <w:pPr>
              <w:spacing w:after="0"/>
              <w:rPr>
                <w:sz w:val="11"/>
                <w:szCs w:val="11"/>
                <w:color w:val="auto"/>
              </w:rPr>
            </w:pPr>
          </w:p>
        </w:tc>
        <w:tc>
          <w:tcPr>
            <w:tcW w:w="2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ind w:left="60"/>
              <w:spacing w:after="0" w:line="135" w:lineRule="exact"/>
              <w:rPr>
                <w:sz w:val="20"/>
                <w:szCs w:val="20"/>
                <w:color w:val="auto"/>
              </w:rPr>
            </w:pPr>
            <w:r>
              <w:rPr>
                <w:rFonts w:ascii="Arial" w:cs="Arial" w:eastAsia="Arial" w:hAnsi="Arial"/>
                <w:sz w:val="13"/>
                <w:szCs w:val="13"/>
                <w:color w:val="auto"/>
              </w:rPr>
              <w:t>Less / Ashley Furniture HomeStore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36,748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Idylwood</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17,103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220" w:type="dxa"/>
            <w:vAlign w:val="bottom"/>
          </w:tcPr>
          <w:p>
            <w:pPr>
              <w:spacing w:after="0"/>
              <w:rPr>
                <w:sz w:val="12"/>
                <w:szCs w:val="12"/>
                <w:color w:val="auto"/>
              </w:rPr>
            </w:pP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57,896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L.A.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Leesburg</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36,986</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Petsmart / Office Depot</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162,271</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67,954</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Marshalls / Old Navy / Barnes &amp; Noble /</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Crossing</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Bob's Discount Furniture</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(5)</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85,689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84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8"/>
              </w:rPr>
              <w:t>Vernon/South</w:t>
            </w:r>
          </w:p>
        </w:tc>
        <w:tc>
          <w:tcPr>
            <w:tcW w:w="320" w:type="dxa"/>
            <w:vAlign w:val="bottom"/>
          </w:tcPr>
          <w:p>
            <w:pPr>
              <w:spacing w:after="0"/>
              <w:rPr>
                <w:sz w:val="11"/>
                <w:szCs w:val="11"/>
                <w:color w:val="auto"/>
              </w:rPr>
            </w:pPr>
          </w:p>
        </w:tc>
        <w:tc>
          <w:tcPr>
            <w:tcW w:w="2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220" w:type="dxa"/>
            <w:vAlign w:val="bottom"/>
          </w:tcPr>
          <w:p>
            <w:pPr>
              <w:ind w:left="60"/>
              <w:spacing w:after="0" w:line="135" w:lineRule="exact"/>
              <w:rPr>
                <w:sz w:val="20"/>
                <w:szCs w:val="20"/>
                <w:color w:val="auto"/>
              </w:rPr>
            </w:pPr>
            <w:r>
              <w:rPr>
                <w:rFonts w:ascii="Arial" w:cs="Arial" w:eastAsia="Arial" w:hAnsi="Arial"/>
                <w:sz w:val="13"/>
                <w:szCs w:val="13"/>
                <w:color w:val="auto"/>
              </w:rPr>
              <w:t>Beyond / Results Fitness</w:t>
            </w:r>
          </w:p>
        </w:tc>
      </w:tr>
      <w:tr>
        <w:trPr>
          <w:trHeight w:val="135"/>
        </w:trPr>
        <w:tc>
          <w:tcPr>
            <w:tcW w:w="8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Valley/7770</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220" w:type="dxa"/>
            <w:vAlign w:val="bottom"/>
          </w:tcPr>
          <w:p>
            <w:pPr>
              <w:spacing w:after="0"/>
              <w:rPr>
                <w:sz w:val="11"/>
                <w:szCs w:val="11"/>
                <w:color w:val="auto"/>
              </w:rPr>
            </w:pPr>
          </w:p>
        </w:tc>
      </w:tr>
      <w:tr>
        <w:trPr>
          <w:trHeight w:val="135"/>
        </w:trPr>
        <w:tc>
          <w:tcPr>
            <w:tcW w:w="8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Richmond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11,774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 / Planet Fitness</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Mill</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29,439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Safeway</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Micro Center / CVS / Michaels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106,227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TJ Maxx / Bed, Bath &amp; Beyond / DSW</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Row</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&amp; Rose</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(6)</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607,642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9"/>
              </w:rPr>
              <w:t>iPic Theater / Porsche / Uniqlo / REI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Pinstripes / Multiple Restaurants</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48,762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DSW / Crunch Fitness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Staples</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Plaza del</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46,697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Mercado</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Quince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40,737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 / L.A. Fitness / Staples</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Orchard</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Rockville</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(7)</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52,166</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4,420</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1"/>
              </w:rPr>
              <w:t>CVS / Gold's Gym / Multiple Restaurants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Town Square</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Rollingwood</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11,258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Apartments</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9"/>
              </w:rPr>
              <w:t>Sam's Park &amp;</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13,962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Target</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Shop</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Tower</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22,294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 Mart</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Talbots / Total Wine &amp; More</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Shopping</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Tyson's</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4,897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tcPr>
          <w:p>
            <w:pPr>
              <w:spacing w:after="0"/>
              <w:rPr>
                <w:sz w:val="12"/>
                <w:szCs w:val="12"/>
                <w:color w:val="auto"/>
              </w:rPr>
            </w:pP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Station</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Village at</w:t>
            </w:r>
          </w:p>
        </w:tc>
        <w:tc>
          <w:tcPr>
            <w:tcW w:w="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w:t>
            </w: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68,089</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6,750</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Carlyle Grand Café</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Shirlington</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25,531</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Balducci's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 / Flower Child</w:t>
            </w:r>
          </w:p>
        </w:tc>
      </w:tr>
      <w:tr>
        <w:trPr>
          <w:trHeight w:val="170"/>
        </w:trPr>
        <w:tc>
          <w:tcPr>
            <w:tcW w:w="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2,048,257</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5,942,000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73"/>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Azalea</w:t>
            </w:r>
          </w:p>
        </w:tc>
        <w:tc>
          <w:tcPr>
            <w:tcW w:w="2740" w:type="dxa"/>
            <w:vAlign w:val="bottom"/>
            <w:gridSpan w:val="3"/>
          </w:tcPr>
          <w:p>
            <w:pPr>
              <w:ind w:left="100"/>
              <w:spacing w:after="0"/>
              <w:rPr>
                <w:sz w:val="20"/>
                <w:szCs w:val="20"/>
                <w:color w:val="auto"/>
              </w:rPr>
            </w:pPr>
            <w:r>
              <w:rPr>
                <w:rFonts w:ascii="Arial" w:cs="Arial" w:eastAsia="Arial" w:hAnsi="Arial"/>
                <w:sz w:val="13"/>
                <w:szCs w:val="13"/>
                <w:color w:val="auto"/>
              </w:rPr>
              <w:t>(4)   Los Angeles-Long Beach-Anaheim, CA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107,485</w:t>
            </w:r>
          </w:p>
        </w:tc>
        <w:tc>
          <w:tcPr>
            <w:tcW w:w="1040" w:type="dxa"/>
            <w:vAlign w:val="bottom"/>
          </w:tcPr>
          <w:p>
            <w:pPr>
              <w:jc w:val="right"/>
              <w:ind w:right="98"/>
              <w:spacing w:after="0"/>
              <w:rPr>
                <w:sz w:val="20"/>
                <w:szCs w:val="20"/>
                <w:color w:val="auto"/>
              </w:rPr>
            </w:pPr>
            <w:r>
              <w:rPr>
                <w:rFonts w:ascii="Arial" w:cs="Arial" w:eastAsia="Arial" w:hAnsi="Arial"/>
                <w:sz w:val="13"/>
                <w:szCs w:val="13"/>
                <w:color w:val="auto"/>
              </w:rPr>
              <w:t>40,000</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223,000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w w:val="98"/>
              </w:rPr>
              <w:t>Marshalls / Ross Dress for Less / Ulta</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8"/>
        </w:trPr>
        <w:tc>
          <w:tcPr>
            <w:tcW w:w="84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Bell Gardens</w:t>
            </w:r>
          </w:p>
        </w:tc>
        <w:tc>
          <w:tcPr>
            <w:tcW w:w="274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3"/>
                <w:szCs w:val="13"/>
                <w:color w:val="auto"/>
              </w:rPr>
              <w:t>(4)   Los Angeles-Long Beach-Anaheim,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110,504</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12,743</w:t>
            </w: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330,000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67,000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Food 4 Less</w:t>
            </w: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1"/>
              </w:rPr>
              <w:t>Marshalls / Ross Dress for Less / Petco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Bob's Discount Furniture</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19,561</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Blvd</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Property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0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Crow Canyon</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San Francisco-Oakland-Hayward,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90,166</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32,000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Sprouts</w:t>
            </w: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Total Wine &amp; More / Rite Aid</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East Bay</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178,943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4"/>
              </w:rPr>
              <w:t>Home Depot / Target / Nordstrom Rack</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Bridge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Diego-Carlsbad,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51,581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297,000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TJ Maxx / Dick’s Sporting Goods / Ross</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Promenade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Dress For Less / Bob's Discount Furniture</w:t>
            </w: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w w:val="94"/>
              </w:rPr>
              <w:t>Fourth Street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25,636</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CB2 / Ingram Book Group</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Hastings</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22,819</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Marshalls / HomeGoods / CVS / Sears</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Ranch Plaza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Hollywood</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48,788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Marshalls / L.A. Fitness / La La Land</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Blvd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Jordan</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33,803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N/A</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Downs Plaza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Kings Court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11,580</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31,000</w:t>
            </w:r>
          </w:p>
        </w:tc>
        <w:tc>
          <w:tcPr>
            <w:tcW w:w="840" w:type="dxa"/>
            <w:vAlign w:val="bottom"/>
          </w:tcPr>
          <w:p>
            <w:pPr>
              <w:ind w:left="80"/>
              <w:spacing w:after="0"/>
              <w:rPr>
                <w:sz w:val="20"/>
                <w:szCs w:val="20"/>
                <w:color w:val="auto"/>
              </w:rPr>
            </w:pPr>
            <w:r>
              <w:rPr>
                <w:rFonts w:ascii="Arial" w:cs="Arial" w:eastAsia="Arial" w:hAnsi="Arial"/>
                <w:sz w:val="13"/>
                <w:szCs w:val="13"/>
                <w:color w:val="auto"/>
              </w:rPr>
              <w:t>Lunardi's</w:t>
            </w:r>
          </w:p>
        </w:tc>
        <w:tc>
          <w:tcPr>
            <w:tcW w:w="220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Old Town</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35,763</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Anthropologie / Banana Republic / Gap</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Olivo at</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78,648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88"/>
              </w:rPr>
              <w:t>Target / 24 Hour Fitness / Ross Dress For</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w w:val="99"/>
              </w:rPr>
              <w:t>Mission Hills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Less</w:t>
            </w:r>
          </w:p>
        </w:tc>
      </w:tr>
      <w:tr>
        <w:trPr>
          <w:trHeight w:val="181"/>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Plaza Del Sol</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17,936</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8,275</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Plaza El</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290,347</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125,000</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6"/>
              </w:rPr>
              <w:t>Nordstrom Rack / HomeGoods / Dick's</w:t>
            </w:r>
          </w:p>
        </w:tc>
      </w:tr>
      <w:tr>
        <w:trPr>
          <w:trHeight w:val="135"/>
        </w:trPr>
        <w:tc>
          <w:tcPr>
            <w:tcW w:w="7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Segundo /</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0" w:type="dxa"/>
            <w:vAlign w:val="bottom"/>
          </w:tcPr>
          <w:p>
            <w:pPr>
              <w:ind w:left="40"/>
              <w:spacing w:after="0" w:line="135" w:lineRule="exact"/>
              <w:rPr>
                <w:sz w:val="20"/>
                <w:szCs w:val="20"/>
                <w:color w:val="auto"/>
              </w:rPr>
            </w:pPr>
            <w:r>
              <w:rPr>
                <w:rFonts w:ascii="Arial" w:cs="Arial" w:eastAsia="Arial" w:hAnsi="Arial"/>
                <w:sz w:val="13"/>
                <w:szCs w:val="13"/>
                <w:color w:val="auto"/>
                <w:w w:val="97"/>
              </w:rPr>
              <w:t>Sporting Goods / Multiple Restaurants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The Point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 (8)</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49,557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Costco / Best Buy</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Pacoima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Antonio</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80,975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Walmart / Kohl's / 24 Hour Fitness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Santana Row</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1,019,765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662</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Crate &amp; Barrel / H&amp;M / Container Store /</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Sylmar</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43,561</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16,727</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43,000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Food 4 Less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w w:val="88"/>
              </w:rPr>
              <w:t>Towne Center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Third Street</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81,508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Adidas / Banana Republic / Old Navy / J.</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Promenade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Crew</w:t>
            </w: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Westgate</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157,418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653,000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1"/>
              </w:rPr>
              <w:t>Target / Nordstrom Rack / Nike Factory /</w:t>
            </w:r>
          </w:p>
        </w:tc>
      </w:tr>
      <w:tr>
        <w:trPr>
          <w:trHeight w:val="170"/>
        </w:trPr>
        <w:tc>
          <w:tcPr>
            <w:tcW w:w="7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TJ Maxx</w:t>
            </w:r>
          </w:p>
        </w:tc>
      </w:tr>
      <w:tr>
        <w:trPr>
          <w:trHeight w:val="173"/>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2,556,344</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5,466,000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1260" w:type="dxa"/>
            <w:vAlign w:val="bottom"/>
            <w:gridSpan w:val="3"/>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spacing w:after="0"/>
              <w:rPr>
                <w:sz w:val="23"/>
                <w:szCs w:val="23"/>
                <w:color w:val="auto"/>
              </w:rPr>
            </w:pPr>
          </w:p>
        </w:tc>
        <w:tc>
          <w:tcPr>
            <w:tcW w:w="2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NY Metro/New Jersey</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2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200" w:type="dxa"/>
            <w:vAlign w:val="bottom"/>
            <w:tcBorders>
              <w:top w:val="single" w:sz="8" w:color="CCEEFF"/>
            </w:tcBorders>
            <w:shd w:val="clear" w:color="auto" w:fill="CCEEFF"/>
          </w:tcPr>
          <w:p>
            <w:pPr>
              <w:spacing w:after="0"/>
              <w:rPr>
                <w:sz w:val="8"/>
                <w:szCs w:val="8"/>
                <w:color w:val="auto"/>
              </w:rPr>
            </w:pP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Brick Plaza</w:t>
            </w:r>
          </w:p>
        </w:tc>
        <w:tc>
          <w:tcPr>
            <w:tcW w:w="42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94,164</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14,000</w:t>
            </w:r>
          </w:p>
        </w:tc>
        <w:tc>
          <w:tcPr>
            <w:tcW w:w="84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2200" w:type="dxa"/>
            <w:vAlign w:val="bottom"/>
          </w:tcPr>
          <w:p>
            <w:pPr>
              <w:ind w:left="40"/>
              <w:spacing w:after="0"/>
              <w:rPr>
                <w:sz w:val="20"/>
                <w:szCs w:val="20"/>
                <w:color w:val="auto"/>
              </w:rPr>
            </w:pPr>
            <w:r>
              <w:rPr>
                <w:rFonts w:ascii="Arial" w:cs="Arial" w:eastAsia="Arial" w:hAnsi="Arial"/>
                <w:sz w:val="13"/>
                <w:szCs w:val="13"/>
                <w:color w:val="auto"/>
                <w:w w:val="94"/>
              </w:rPr>
              <w:t>AMC / HomeGoods / Ulta / L.A. Fitness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(4) (5)</w:t>
            </w: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48,261</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11,500</w:t>
            </w: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Banana Republic / Gap / Williams-</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Sonoma</w:t>
            </w: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Darien</w:t>
            </w:r>
          </w:p>
        </w:tc>
        <w:tc>
          <w:tcPr>
            <w:tcW w:w="42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Bridgeport-Stamford-Norwalk, CT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55,890</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92,000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45,000</w:t>
            </w:r>
          </w:p>
        </w:tc>
        <w:tc>
          <w:tcPr>
            <w:tcW w:w="840" w:type="dxa"/>
            <w:vAlign w:val="bottom"/>
          </w:tcPr>
          <w:p>
            <w:pPr>
              <w:ind w:left="80"/>
              <w:spacing w:after="0"/>
              <w:rPr>
                <w:sz w:val="20"/>
                <w:szCs w:val="20"/>
                <w:color w:val="auto"/>
              </w:rPr>
            </w:pPr>
            <w:r>
              <w:rPr>
                <w:rFonts w:ascii="Arial" w:cs="Arial" w:eastAsia="Arial" w:hAnsi="Arial"/>
                <w:sz w:val="13"/>
                <w:szCs w:val="13"/>
                <w:color w:val="auto"/>
              </w:rPr>
              <w:t>Stop &amp; Shop</w:t>
            </w:r>
          </w:p>
        </w:tc>
        <w:tc>
          <w:tcPr>
            <w:tcW w:w="2200" w:type="dxa"/>
            <w:vAlign w:val="bottom"/>
          </w:tcPr>
          <w:p>
            <w:pPr>
              <w:ind w:left="40"/>
              <w:spacing w:after="0"/>
              <w:rPr>
                <w:sz w:val="20"/>
                <w:szCs w:val="20"/>
                <w:color w:val="auto"/>
              </w:rPr>
            </w:pPr>
            <w:r>
              <w:rPr>
                <w:rFonts w:ascii="Arial" w:cs="Arial" w:eastAsia="Arial" w:hAnsi="Arial"/>
                <w:sz w:val="13"/>
                <w:szCs w:val="13"/>
                <w:color w:val="auto"/>
              </w:rPr>
              <w:t>Equinox / Walgreens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Fresh</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92,503</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404,000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Island of Gold</w:t>
            </w: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AMC / Kohl's / Michaels</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Meadows</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Greenlawn</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31,853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Farms</w:t>
            </w: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Greenwich</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Bridgeport-Stamford-Norwalk, CT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23,748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Saks Fifth Avenue</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Avenue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Hauppauge</w:t>
            </w:r>
          </w:p>
        </w:tc>
        <w:tc>
          <w:tcPr>
            <w:tcW w:w="42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29,195</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80%</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73"/>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Hoboken</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36,115</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16,951</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&lt;1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 New York Sports Club</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Huntington</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46,865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Nordstrom Rack / Buy Buy Baby /</w:t>
            </w:r>
          </w:p>
        </w:tc>
      </w:tr>
      <w:tr>
        <w:trPr>
          <w:trHeight w:val="168"/>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Michaels / Ulta</w:t>
            </w: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Huntington</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13,188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Melville Mall</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96,995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Uncle</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1"/>
              </w:rPr>
              <w:t>Marshalls / Dick's Sporting Goods / Field</w:t>
            </w:r>
          </w:p>
        </w:tc>
      </w:tr>
      <w:tr>
        <w:trPr>
          <w:trHeight w:val="135"/>
        </w:trPr>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Giuseppe's</w:t>
            </w:r>
          </w:p>
        </w:tc>
        <w:tc>
          <w:tcPr>
            <w:tcW w:w="2200" w:type="dxa"/>
            <w:vAlign w:val="bottom"/>
          </w:tcPr>
          <w:p>
            <w:pPr>
              <w:ind w:left="40"/>
              <w:spacing w:after="0" w:line="135" w:lineRule="exact"/>
              <w:rPr>
                <w:sz w:val="20"/>
                <w:szCs w:val="20"/>
                <w:color w:val="auto"/>
              </w:rPr>
            </w:pPr>
            <w:r>
              <w:rPr>
                <w:rFonts w:ascii="Arial" w:cs="Arial" w:eastAsia="Arial" w:hAnsi="Arial"/>
                <w:sz w:val="13"/>
                <w:szCs w:val="13"/>
                <w:color w:val="auto"/>
              </w:rPr>
              <w:t>&amp; Stream / Macy's Backstage</w:t>
            </w:r>
          </w:p>
        </w:tc>
      </w:tr>
      <w:tr>
        <w:trPr>
          <w:trHeight w:val="168"/>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Marketplace</w:t>
            </w: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Trenton, NJ</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128,351</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55,411</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Ross Dress For Less / Nordstrom Rack /</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REI</w:t>
            </w: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The Grove at</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0"/>
              </w:rPr>
              <w:t>(4) (5)</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126,049</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43,600</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1"/>
              </w:rPr>
              <w:t>Lululemon / Anthropologie / Pottery Barn</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Shrewsbury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 Williams-Sonoma</w:t>
            </w:r>
          </w:p>
        </w:tc>
      </w:tr>
      <w:tr>
        <w:trPr>
          <w:trHeight w:val="181"/>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Troy Hills</w:t>
            </w: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40,959</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864,136</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2,862,000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gridSpan w:val="6"/>
          </w:tcPr>
          <w:p>
            <w:pPr>
              <w:ind w:left="120"/>
              <w:spacing w:after="0" w:line="135" w:lineRule="exact"/>
              <w:rPr>
                <w:sz w:val="20"/>
                <w:szCs w:val="20"/>
                <w:color w:val="auto"/>
              </w:rPr>
            </w:pPr>
            <w:r>
              <w:rPr>
                <w:rFonts w:ascii="Arial" w:cs="Arial" w:eastAsia="Arial" w:hAnsi="Arial"/>
                <w:sz w:val="13"/>
                <w:szCs w:val="13"/>
                <w:b w:val="1"/>
                <w:bCs w:val="1"/>
                <w:color w:val="auto"/>
              </w:rPr>
              <w:t>Property</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rPr>
              <w:t>Name</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02"/>
        </w:trPr>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8"/>
        </w:trPr>
        <w:tc>
          <w:tcPr>
            <w:tcW w:w="80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Andorra</w:t>
            </w:r>
          </w:p>
        </w:tc>
        <w:tc>
          <w:tcPr>
            <w:tcW w:w="40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26,214</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264,000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Acme</w:t>
            </w: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Kohl's / L.A. Fitness / Staples</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7"/>
              </w:rPr>
              <w:t>Bala Cynwyd</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52,439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7"/>
              </w:rPr>
              <w:t>Lord &amp; Taylor / Michaels / L.A. Fitness</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Ellisburg</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34,449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Stein Mart</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Flourtown</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17,034</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Movie Tavern</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Langhorne</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22,674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Redner's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Planet Fitness</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22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Lawrence</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33,721</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1"/>
              </w:rPr>
              <w:t>TJ Maxx / HomeGoods / Barnes &amp; Noble</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Park</w:t>
            </w: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Northeast</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31,187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Ulta / A.C. Moore</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9"/>
              </w:rPr>
              <w:t>Town Center</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15,399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Rite Aid / Dollar Tree</w:t>
            </w: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of New</w:t>
            </w:r>
          </w:p>
        </w:tc>
        <w:tc>
          <w:tcPr>
            <w:tcW w:w="400" w:type="dxa"/>
            <w:vAlign w:val="bottom"/>
          </w:tcPr>
          <w:p>
            <w:pPr>
              <w:spacing w:after="0"/>
              <w:rPr>
                <w:sz w:val="11"/>
                <w:szCs w:val="11"/>
                <w:color w:val="auto"/>
              </w:rPr>
            </w:pPr>
          </w:p>
        </w:tc>
        <w:tc>
          <w:tcPr>
            <w:tcW w:w="23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DE-MD</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Britain</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6"/>
              </w:rPr>
              <w:t>Willow Grove</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30,231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HomeGoods / Barnes &amp;</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Noble</w:t>
            </w: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Wynnewood</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43,068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9</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98,000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6"/>
              </w:rPr>
              <w:t>Bed, Bath &amp; Beyond / Old Navy / DSW</w:t>
            </w:r>
          </w:p>
        </w:tc>
      </w:tr>
      <w:tr>
        <w:trPr>
          <w:trHeight w:val="170"/>
        </w:trPr>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306,416</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2,398,000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176"/>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49"/>
        </w:trPr>
        <w:tc>
          <w:tcPr>
            <w:tcW w:w="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2"/>
              </w:rPr>
              <w:t>New</w:t>
            </w:r>
          </w:p>
        </w:tc>
        <w:tc>
          <w:tcPr>
            <w:tcW w:w="460" w:type="dxa"/>
            <w:vAlign w:val="bottom"/>
            <w:tcBorders>
              <w:bottom w:val="single" w:sz="8" w:color="CCEEFF"/>
            </w:tcBorders>
            <w:gridSpan w:val="5"/>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2220" w:type="dxa"/>
            <w:vAlign w:val="bottom"/>
            <w:tcBorders>
              <w:bottom w:val="single" w:sz="8" w:color="CCEEFF"/>
            </w:tcBorders>
            <w:shd w:val="clear" w:color="auto" w:fill="CCEEFF"/>
          </w:tcPr>
          <w:p>
            <w:pPr>
              <w:spacing w:after="0"/>
              <w:rPr>
                <w:sz w:val="12"/>
                <w:szCs w:val="12"/>
                <w:color w:val="auto"/>
              </w:rPr>
            </w:pPr>
          </w:p>
        </w:tc>
      </w:tr>
      <w:tr>
        <w:trPr>
          <w:trHeight w:val="136"/>
        </w:trPr>
        <w:tc>
          <w:tcPr>
            <w:tcW w:w="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gridSpan w:val="4"/>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5"/>
              </w:rPr>
              <w:t>England</w:t>
            </w:r>
          </w:p>
        </w:tc>
        <w:tc>
          <w:tcPr>
            <w:tcW w:w="300" w:type="dxa"/>
            <w:vAlign w:val="bottom"/>
            <w:tcBorders>
              <w:bottom w:val="single" w:sz="8" w:color="CCEEFF"/>
            </w:tcBorders>
            <w:gridSpan w:val="2"/>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220" w:type="dxa"/>
            <w:vAlign w:val="bottom"/>
            <w:tcBorders>
              <w:bottom w:val="single" w:sz="8" w:color="CCEEFF"/>
            </w:tcBorders>
            <w:shd w:val="clear" w:color="auto" w:fill="CCEEFF"/>
          </w:tcPr>
          <w:p>
            <w:pPr>
              <w:spacing w:after="0"/>
              <w:rPr>
                <w:sz w:val="11"/>
                <w:szCs w:val="11"/>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Assembly</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rPr>
              <w:t>(6)</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776,470</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893,000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447</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TJ Maxx / AMC / LEGOLAND</w:t>
            </w: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Row /</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ind w:left="60"/>
              <w:spacing w:after="0" w:line="135" w:lineRule="exact"/>
              <w:rPr>
                <w:sz w:val="20"/>
                <w:szCs w:val="20"/>
                <w:color w:val="auto"/>
              </w:rPr>
            </w:pPr>
            <w:r>
              <w:rPr>
                <w:rFonts w:ascii="Arial" w:cs="Arial" w:eastAsia="Arial" w:hAnsi="Arial"/>
                <w:sz w:val="13"/>
                <w:szCs w:val="13"/>
                <w:color w:val="auto"/>
                <w:w w:val="93"/>
              </w:rPr>
              <w:t>Discovery Center / Multiple Restaurants</w:t>
            </w: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Assembly</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ind w:left="60"/>
              <w:spacing w:after="0" w:line="135" w:lineRule="exact"/>
              <w:rPr>
                <w:sz w:val="20"/>
                <w:szCs w:val="20"/>
                <w:color w:val="auto"/>
              </w:rPr>
            </w:pPr>
            <w:r>
              <w:rPr>
                <w:rFonts w:ascii="Arial" w:cs="Arial" w:eastAsia="Arial" w:hAnsi="Arial"/>
                <w:sz w:val="13"/>
                <w:szCs w:val="13"/>
                <w:color w:val="auto"/>
              </w:rPr>
              <w:t>&amp; Outlets</w:t>
            </w: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Marketplace</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81"/>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87"/>
              </w:rPr>
              <w:t>Campus Plaza</w:t>
            </w: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30,436</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w:t>
            </w:r>
          </w:p>
        </w:tc>
      </w:tr>
      <w:tr>
        <w:trPr>
          <w:trHeight w:val="97"/>
        </w:trPr>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Chelsea</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29,808</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5,684</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Commons</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Dedham</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45,252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Planet Fitness</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Linden</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150,267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North</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Providence-Warwick, RI-MA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9,369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2220" w:type="dxa"/>
            <w:vAlign w:val="bottom"/>
            <w:shd w:val="clear" w:color="auto" w:fill="CCEEFF"/>
          </w:tcPr>
          <w:p>
            <w:pPr>
              <w:spacing w:after="0"/>
              <w:rPr>
                <w:sz w:val="13"/>
                <w:szCs w:val="13"/>
                <w:color w:val="auto"/>
              </w:rPr>
            </w:pP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Dartmouth</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Queen Anne</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18,303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Big Y Foods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Plaza</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2"/>
              </w:rPr>
              <w:t>Saugus Plaza</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16,625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Floor &amp; Decor</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2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1,076,530</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2,066,000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760" w:type="dxa"/>
            <w:vAlign w:val="bottom"/>
            <w:gridSpan w:val="6"/>
          </w:tcPr>
          <w:p>
            <w:pPr>
              <w:ind w:left="60"/>
              <w:spacing w:after="0"/>
              <w:rPr>
                <w:sz w:val="20"/>
                <w:szCs w:val="20"/>
                <w:color w:val="auto"/>
              </w:rPr>
            </w:pPr>
            <w:r>
              <w:rPr>
                <w:rFonts w:ascii="Arial" w:cs="Arial" w:eastAsia="Arial" w:hAnsi="Arial"/>
                <w:sz w:val="13"/>
                <w:szCs w:val="13"/>
                <w:b w:val="1"/>
                <w:bCs w:val="1"/>
                <w:color w:val="auto"/>
              </w:rPr>
              <w:t>South</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w w:val="82"/>
              </w:rPr>
              <w:t>Florida</w:t>
            </w:r>
          </w:p>
        </w:tc>
        <w:tc>
          <w:tcPr>
            <w:tcW w:w="20" w:type="dxa"/>
            <w:vAlign w:val="bottom"/>
            <w:tcBorders>
              <w:bottom w:val="single" w:sz="8" w:color="auto"/>
            </w:tcBorders>
          </w:tcPr>
          <w:p>
            <w:pPr>
              <w:spacing w:after="0"/>
              <w:rPr>
                <w:sz w:val="10"/>
                <w:szCs w:val="10"/>
                <w:color w:val="auto"/>
              </w:rPr>
            </w:pPr>
          </w:p>
        </w:tc>
        <w:tc>
          <w:tcPr>
            <w:tcW w:w="2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8"/>
        </w:trPr>
        <w:tc>
          <w:tcPr>
            <w:tcW w:w="80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Cocowalk</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(4) (9)</w:t>
            </w: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Miami-Fort Lauderdale-West Palm Beach,</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148,964</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Cinepolis Theaters / Youfit Health Club</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Del Mar</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72,228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Winn Dixie</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Village</w:t>
            </w: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5"/>
              </w:rPr>
              <w:t>The Shops at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Miami-Fort Lauderdale-West Palm Beach,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124,057</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62,761</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AMC / L.A. Fitness / Barnes &amp; Noble /</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6"/>
              </w:rPr>
              <w:t>Sunset Place</w:t>
            </w: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6"/>
              </w:rPr>
              <w:t>Tower Shops</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98,212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8"/>
              </w:rPr>
              <w:t>TJ Maxx / Ross Dress For Less / Best</w:t>
            </w:r>
          </w:p>
        </w:tc>
      </w:tr>
      <w:tr>
        <w:trPr>
          <w:trHeight w:val="170"/>
        </w:trPr>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Buy / Ulta</w:t>
            </w:r>
          </w:p>
        </w:tc>
      </w:tr>
      <w:tr>
        <w:trPr>
          <w:trHeight w:val="173"/>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443,461</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1,308,000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7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Governor</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27,315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Dick's Sporting Goods / A.C. Moore</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Plaza</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4"/>
              </w:rPr>
              <w:t>Perring Plaza</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31,493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Shoppers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Home Depot / Micro Center / Burlington</w:t>
            </w:r>
          </w:p>
        </w:tc>
      </w:tr>
      <w:tr>
        <w:trPr>
          <w:trHeight w:val="135"/>
        </w:trPr>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2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THE</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121,498</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52,705</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3"/>
              </w:rPr>
              <w:t>AMC / Ulta / Old Navy / Barnes &amp; Noble</w:t>
            </w: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AVENUE at</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White Marsh</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5"/>
              </w:rPr>
              <w:t>The Shoppes</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17,983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at Nottingham</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Towson</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22,366</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105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Residential</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0"/>
        </w:trPr>
        <w:tc>
          <w:tcPr>
            <w:tcW w:w="800" w:type="dxa"/>
            <w:vAlign w:val="bottom"/>
            <w:gridSpan w:val="7"/>
          </w:tcPr>
          <w:p>
            <w:pPr>
              <w:ind w:left="40"/>
              <w:spacing w:after="0"/>
              <w:rPr>
                <w:sz w:val="20"/>
                <w:szCs w:val="20"/>
                <w:color w:val="auto"/>
              </w:rPr>
            </w:pPr>
            <w:r>
              <w:rPr>
                <w:rFonts w:ascii="Arial" w:cs="Arial" w:eastAsia="Arial" w:hAnsi="Arial"/>
                <w:sz w:val="13"/>
                <w:szCs w:val="13"/>
                <w:color w:val="auto"/>
                <w:w w:val="93"/>
              </w:rPr>
              <w:t>(Flats @ 703)</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96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7" w:right="239" w:bottom="96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Property</w:t>
            </w:r>
          </w:p>
        </w:tc>
        <w:tc>
          <w:tcPr>
            <w:tcW w:w="26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18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0"/>
              </w:rPr>
              <w:t>Name</w:t>
            </w: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8"/>
        </w:trPr>
        <w:tc>
          <w:tcPr>
            <w:tcW w:w="8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White Marsh</w:t>
            </w:r>
          </w:p>
        </w:tc>
        <w:tc>
          <w:tcPr>
            <w:tcW w:w="268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25,830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80,000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54,000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Giant Food</w:t>
            </w:r>
          </w:p>
        </w:tc>
        <w:tc>
          <w:tcPr>
            <w:tcW w:w="2180" w:type="dxa"/>
            <w:vAlign w:val="bottom"/>
            <w:shd w:val="clear" w:color="auto" w:fill="CCEEFF"/>
          </w:tcPr>
          <w:p>
            <w:pPr>
              <w:spacing w:after="0"/>
              <w:rPr>
                <w:sz w:val="12"/>
                <w:szCs w:val="12"/>
                <w:color w:val="auto"/>
              </w:rPr>
            </w:pP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White Marsh</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31,714</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70,000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0"/>
        </w:trPr>
        <w:tc>
          <w:tcPr>
            <w:tcW w:w="82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Other</w:t>
            </w:r>
          </w:p>
        </w:tc>
        <w:tc>
          <w:tcPr>
            <w:tcW w:w="2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278,199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1,139,000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2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180" w:type="dxa"/>
            <w:vAlign w:val="bottom"/>
            <w:tcBorders>
              <w:top w:val="single" w:sz="8" w:color="CCEEFF"/>
            </w:tcBorders>
            <w:shd w:val="clear" w:color="auto" w:fill="CCEEFF"/>
          </w:tcPr>
          <w:p>
            <w:pPr>
              <w:spacing w:after="0"/>
              <w:rPr>
                <w:sz w:val="8"/>
                <w:szCs w:val="8"/>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Crossroads</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35,584</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w w:val="91"/>
              </w:rPr>
              <w:t>L.A. Fitness / Ulta / Binny's / Ferguson's</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Arial" w:cs="Arial" w:eastAsia="Arial" w:hAnsi="Arial"/>
                <w:sz w:val="13"/>
                <w:szCs w:val="13"/>
                <w:color w:val="auto"/>
              </w:rPr>
              <w:t>Bath, Kitchen &amp; Lighting Gallery</w:t>
            </w:r>
          </w:p>
        </w:tc>
      </w:tr>
      <w:tr>
        <w:trPr>
          <w:trHeight w:val="15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4"/>
              </w:rPr>
              <w:t>Finley Square</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39,476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278,000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Bed, Bath &amp; Beyond / Buy Buy Baby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Michaels / Portillo's</w:t>
            </w: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Garden</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14,756</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140,000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Mariano's</w:t>
            </w: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Market</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w w:val="91"/>
              </w:rPr>
              <w:t>Fresh Market</w:t>
            </w:r>
          </w:p>
        </w:tc>
        <w:tc>
          <w:tcPr>
            <w:tcW w:w="2180" w:type="dxa"/>
            <w:vAlign w:val="bottom"/>
          </w:tcPr>
          <w:p>
            <w:pPr>
              <w:spacing w:after="0"/>
              <w:rPr>
                <w:sz w:val="14"/>
                <w:szCs w:val="14"/>
                <w:color w:val="auto"/>
              </w:rPr>
            </w:pPr>
          </w:p>
        </w:tc>
      </w:tr>
      <w:tr>
        <w:trPr>
          <w:trHeight w:val="15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Riverpoint</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121,743</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Old Navy</w:t>
            </w: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6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ind w:left="40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211,559</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797,000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18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48"/>
        </w:trPr>
        <w:tc>
          <w:tcPr>
            <w:tcW w:w="8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w:t>
            </w:r>
          </w:p>
        </w:tc>
        <w:tc>
          <w:tcPr>
            <w:tcW w:w="268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69,460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3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Harris Teeter / Anthropologie / Nike / Bed, Bath &amp;</w:t>
            </w: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Road</w:t>
            </w: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Beyond / Old Navy</w:t>
            </w:r>
          </w:p>
        </w:tc>
      </w:tr>
      <w:tr>
        <w:trPr>
          <w:trHeight w:val="173"/>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Bristol Plaza</w:t>
            </w:r>
          </w:p>
        </w:tc>
        <w:tc>
          <w:tcPr>
            <w:tcW w:w="2680" w:type="dxa"/>
            <w:vAlign w:val="bottom"/>
          </w:tcPr>
          <w:p>
            <w:pPr>
              <w:ind w:left="400"/>
              <w:spacing w:after="0"/>
              <w:rPr>
                <w:sz w:val="20"/>
                <w:szCs w:val="20"/>
                <w:color w:val="auto"/>
              </w:rPr>
            </w:pPr>
            <w:r>
              <w:rPr>
                <w:rFonts w:ascii="Arial" w:cs="Arial" w:eastAsia="Arial" w:hAnsi="Arial"/>
                <w:sz w:val="13"/>
                <w:szCs w:val="13"/>
                <w:color w:val="auto"/>
                <w:w w:val="95"/>
              </w:rPr>
              <w:t>Hartford-West Hartford-East Hartford, CT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31,525</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267,000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74,000</w:t>
            </w:r>
          </w:p>
        </w:tc>
        <w:tc>
          <w:tcPr>
            <w:tcW w:w="820" w:type="dxa"/>
            <w:vAlign w:val="bottom"/>
          </w:tcPr>
          <w:p>
            <w:pPr>
              <w:ind w:left="100"/>
              <w:spacing w:after="0"/>
              <w:rPr>
                <w:sz w:val="20"/>
                <w:szCs w:val="20"/>
                <w:color w:val="auto"/>
              </w:rPr>
            </w:pPr>
            <w:r>
              <w:rPr>
                <w:rFonts w:ascii="Arial" w:cs="Arial" w:eastAsia="Arial" w:hAnsi="Arial"/>
                <w:sz w:val="13"/>
                <w:szCs w:val="13"/>
                <w:color w:val="auto"/>
                <w:w w:val="95"/>
              </w:rPr>
              <w:t>Stop &amp; Shop</w:t>
            </w:r>
          </w:p>
        </w:tc>
        <w:tc>
          <w:tcPr>
            <w:tcW w:w="218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48"/>
        </w:trPr>
        <w:tc>
          <w:tcPr>
            <w:tcW w:w="8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268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Durham-Chapel Hill, NC</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34,593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159,000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13,000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7"/>
              </w:rPr>
              <w:t>Trader Joe's</w:t>
            </w:r>
          </w:p>
        </w:tc>
        <w:tc>
          <w:tcPr>
            <w:tcW w:w="21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Ulta / Stein Mart / Petco</w:t>
            </w: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Crossing</w:t>
            </w: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73"/>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Gratiot Plaza</w:t>
            </w:r>
          </w:p>
        </w:tc>
        <w:tc>
          <w:tcPr>
            <w:tcW w:w="2680" w:type="dxa"/>
            <w:vAlign w:val="bottom"/>
          </w:tcPr>
          <w:p>
            <w:pPr>
              <w:ind w:left="400"/>
              <w:spacing w:after="0"/>
              <w:rPr>
                <w:sz w:val="20"/>
                <w:szCs w:val="20"/>
                <w:color w:val="auto"/>
              </w:rPr>
            </w:pPr>
            <w:r>
              <w:rPr>
                <w:rFonts w:ascii="Arial" w:cs="Arial" w:eastAsia="Arial" w:hAnsi="Arial"/>
                <w:sz w:val="13"/>
                <w:szCs w:val="13"/>
                <w:color w:val="auto"/>
              </w:rPr>
              <w:t>Detroit-Warren-Dearborn, MI</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20,101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217,000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69,000</w:t>
            </w:r>
          </w:p>
        </w:tc>
        <w:tc>
          <w:tcPr>
            <w:tcW w:w="820" w:type="dxa"/>
            <w:vAlign w:val="bottom"/>
          </w:tcPr>
          <w:p>
            <w:pPr>
              <w:ind w:left="100"/>
              <w:spacing w:after="0"/>
              <w:rPr>
                <w:sz w:val="20"/>
                <w:szCs w:val="20"/>
                <w:color w:val="auto"/>
              </w:rPr>
            </w:pPr>
            <w:r>
              <w:rPr>
                <w:rFonts w:ascii="Arial" w:cs="Arial" w:eastAsia="Arial" w:hAnsi="Arial"/>
                <w:sz w:val="13"/>
                <w:szCs w:val="13"/>
                <w:color w:val="auto"/>
              </w:rPr>
              <w:t>Kroger</w:t>
            </w:r>
          </w:p>
        </w:tc>
        <w:tc>
          <w:tcPr>
            <w:tcW w:w="2180" w:type="dxa"/>
            <w:vAlign w:val="bottom"/>
          </w:tcPr>
          <w:p>
            <w:pPr>
              <w:ind w:left="60"/>
              <w:spacing w:after="0"/>
              <w:rPr>
                <w:sz w:val="20"/>
                <w:szCs w:val="20"/>
                <w:color w:val="auto"/>
              </w:rPr>
            </w:pPr>
            <w:r>
              <w:rPr>
                <w:rFonts w:ascii="Arial" w:cs="Arial" w:eastAsia="Arial" w:hAnsi="Arial"/>
                <w:sz w:val="13"/>
                <w:szCs w:val="13"/>
                <w:color w:val="auto"/>
                <w:w w:val="94"/>
              </w:rPr>
              <w:t>Bed, Bath &amp; Beyond / Best Buy / DSW</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73"/>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2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   Lancaster, PA</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13,044</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5,484</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1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29th Place</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41,028</w:t>
            </w:r>
          </w:p>
        </w:tc>
        <w:tc>
          <w:tcPr>
            <w:tcW w:w="160" w:type="dxa"/>
            <w:vAlign w:val="bottom"/>
          </w:tcPr>
          <w:p>
            <w:pPr>
              <w:spacing w:after="0"/>
              <w:rPr>
                <w:sz w:val="12"/>
                <w:szCs w:val="12"/>
                <w:color w:val="auto"/>
              </w:rPr>
            </w:pPr>
          </w:p>
        </w:tc>
        <w:tc>
          <w:tcPr>
            <w:tcW w:w="880" w:type="dxa"/>
            <w:vAlign w:val="bottom"/>
          </w:tcPr>
          <w:p>
            <w:pPr>
              <w:jc w:val="right"/>
              <w:ind w:right="99"/>
              <w:spacing w:after="0" w:line="148" w:lineRule="exact"/>
              <w:rPr>
                <w:sz w:val="20"/>
                <w:szCs w:val="20"/>
                <w:color w:val="auto"/>
              </w:rPr>
            </w:pPr>
            <w:r>
              <w:rPr>
                <w:rFonts w:ascii="Arial" w:cs="Arial" w:eastAsia="Arial" w:hAnsi="Arial"/>
                <w:sz w:val="13"/>
                <w:szCs w:val="13"/>
                <w:color w:val="auto"/>
              </w:rPr>
              <w:t>3,939</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169,000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rPr>
              <w:t>HomeGoods / DSW / Stein Mart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Arial" w:cs="Arial" w:eastAsia="Arial" w:hAnsi="Arial"/>
                <w:sz w:val="13"/>
                <w:szCs w:val="13"/>
                <w:color w:val="auto"/>
              </w:rPr>
              <w:t>Staples</w:t>
            </w:r>
          </w:p>
        </w:tc>
      </w:tr>
      <w:tr>
        <w:trPr>
          <w:trHeight w:val="15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Willow Lawn</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Richmond, VA</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103,974</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463,000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Old Navy / Ross Dress For Less / Gold's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Gym / Dick's Sporting Goods</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ind w:left="400"/>
              <w:spacing w:after="0"/>
              <w:rPr>
                <w:sz w:val="20"/>
                <w:szCs w:val="20"/>
                <w:color w:val="auto"/>
              </w:rPr>
            </w:pPr>
            <w:r>
              <w:rPr>
                <w:rFonts w:ascii="Arial" w:cs="Arial" w:eastAsia="Arial" w:hAnsi="Arial"/>
                <w:sz w:val="13"/>
                <w:szCs w:val="13"/>
                <w:b w:val="1"/>
                <w:bCs w:val="1"/>
                <w:color w:val="auto"/>
              </w:rPr>
              <w:t>Total Other</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313,725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1,901,000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180" w:type="dxa"/>
            <w:vAlign w:val="bottom"/>
          </w:tcPr>
          <w:p>
            <w:pPr>
              <w:spacing w:after="0"/>
              <w:rPr>
                <w:sz w:val="7"/>
                <w:szCs w:val="7"/>
                <w:color w:val="auto"/>
              </w:rPr>
            </w:pPr>
          </w:p>
        </w:tc>
      </w:tr>
      <w:tr>
        <w:trPr>
          <w:trHeight w:val="162"/>
        </w:trPr>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spacing w:after="0"/>
              <w:rPr>
                <w:sz w:val="14"/>
                <w:szCs w:val="14"/>
                <w:color w:val="auto"/>
              </w:rPr>
            </w:pPr>
          </w:p>
        </w:tc>
      </w:tr>
      <w:tr>
        <w:trPr>
          <w:trHeight w:val="167"/>
        </w:trPr>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rPr>
              <w:t>Grand Total</w:t>
            </w:r>
          </w:p>
        </w:tc>
        <w:tc>
          <w:tcPr>
            <w:tcW w:w="26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$ 8,098,627</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99"/>
              <w:spacing w:after="0"/>
              <w:rPr>
                <w:sz w:val="20"/>
                <w:szCs w:val="20"/>
                <w:color w:val="auto"/>
              </w:rPr>
            </w:pPr>
            <w:r>
              <w:rPr>
                <w:rFonts w:ascii="Arial" w:cs="Arial" w:eastAsia="Arial" w:hAnsi="Arial"/>
                <w:sz w:val="13"/>
                <w:szCs w:val="13"/>
                <w:b w:val="1"/>
                <w:bCs w:val="1"/>
                <w:color w:val="auto"/>
              </w:rPr>
              <w:t>539,904</w:t>
            </w: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w w:val="98"/>
              </w:rPr>
              <w:t>1,947</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23,879,000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94%</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2,665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Notes:</w:t>
      </w:r>
    </w:p>
    <w:p>
      <w:pPr>
        <w:spacing w:after="0" w:line="50" w:lineRule="exact"/>
        <w:rPr>
          <w:sz w:val="20"/>
          <w:szCs w:val="20"/>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"Finance lease right of use assets."</w:t>
      </w:r>
    </w:p>
    <w:p>
      <w:pPr>
        <w:spacing w:after="0" w:line="41" w:lineRule="exact"/>
        <w:rPr>
          <w:rFonts w:ascii="Arial" w:cs="Arial" w:eastAsia="Arial" w:hAnsi="Arial"/>
          <w:sz w:val="14"/>
          <w:szCs w:val="14"/>
          <w:color w:val="auto"/>
        </w:rPr>
      </w:pPr>
    </w:p>
    <w:p>
      <w:pPr>
        <w:ind w:left="660" w:right="200" w:hanging="571"/>
        <w:spacing w:after="0" w:line="239"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mortgage or finance lease liabilities differ from the total reported on the consolidated balance sheet due to the unamortized discount, premium, and/or debt issuance costs on certain mortgages payable.</w:t>
      </w:r>
    </w:p>
    <w:p>
      <w:pPr>
        <w:spacing w:after="0" w:line="30" w:lineRule="exact"/>
        <w:rPr>
          <w:rFonts w:ascii="Arial" w:cs="Arial" w:eastAsia="Arial" w:hAnsi="Arial"/>
          <w:sz w:val="14"/>
          <w:szCs w:val="14"/>
          <w:color w:val="auto"/>
        </w:rPr>
      </w:pPr>
    </w:p>
    <w:p>
      <w:pPr>
        <w:ind w:left="660" w:right="460" w:hanging="571"/>
        <w:spacing w:after="0" w:line="239"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30"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Trust has a controlling financial interest in this property.</w:t>
      </w:r>
    </w:p>
    <w:p>
      <w:pPr>
        <w:spacing w:after="0" w:line="41" w:lineRule="exact"/>
        <w:rPr>
          <w:rFonts w:ascii="Arial" w:cs="Arial" w:eastAsia="Arial" w:hAnsi="Arial"/>
          <w:sz w:val="14"/>
          <w:szCs w:val="14"/>
          <w:color w:val="auto"/>
        </w:rPr>
      </w:pPr>
    </w:p>
    <w:p>
      <w:pPr>
        <w:ind w:left="660" w:right="480" w:hanging="571"/>
        <w:spacing w:after="0" w:line="239"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30"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Portion of property is currently under development. See further discussion in the Assembly Row and Pike &amp; Rose schedules.</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or a portion of the property is subject to finance lease liabilities.</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October 11, 2019, we sold this shopping center for $51.3 million, which is included as "assets held for sale" on our consolidated balance sheet.</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7"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2019</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468,643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$ 36.31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1,230,724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21,650,073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46.20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2nd Quarter 2019</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378,756</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42.68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$ 39.75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1,109,393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12,545,948</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33.12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247,331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45.07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1,000,716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13,596,205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54.97</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2018</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573,923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32.16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$ 27.96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2,409,987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14,280,002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24.88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1,668,653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38.36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$ 34.92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5,750,820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62,072,228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37.20</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2940" w:type="dxa"/>
            <w:vAlign w:val="bottom"/>
            <w:gridSpan w:val="8"/>
          </w:tcPr>
          <w:p>
            <w:pPr>
              <w:ind w:left="40"/>
              <w:spacing w:after="0"/>
              <w:rPr>
                <w:sz w:val="20"/>
                <w:szCs w:val="20"/>
                <w:color w:val="auto"/>
              </w:rPr>
            </w:pPr>
            <w:r>
              <w:rPr>
                <w:rFonts w:ascii="Arial" w:cs="Arial" w:eastAsia="Arial" w:hAnsi="Arial"/>
                <w:sz w:val="14"/>
                <w:szCs w:val="14"/>
                <w:b w:val="1"/>
                <w:bCs w:val="1"/>
                <w:color w:val="auto"/>
              </w:rPr>
              <w:t>New Lease Summary - Comparable (2)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316,916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32.74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598,230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21,167,910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66.79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2nd Quarter 2019</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135,840</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43.21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$ 37.07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833,706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12,059,702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88.78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128,283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50.56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937,974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13,443,495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104.80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2018</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237,691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33.94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$ 25.16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2,086,574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13,537,346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56.95</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818,730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37.62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4,456,484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60,208,453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73.54</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2940" w:type="dxa"/>
            <w:vAlign w:val="bottom"/>
            <w:gridSpan w:val="8"/>
          </w:tcPr>
          <w:p>
            <w:pPr>
              <w:ind w:left="40"/>
              <w:spacing w:after="0"/>
              <w:rPr>
                <w:sz w:val="20"/>
                <w:szCs w:val="20"/>
                <w:color w:val="auto"/>
              </w:rPr>
            </w:pPr>
            <w:r>
              <w:rPr>
                <w:rFonts w:ascii="Arial" w:cs="Arial" w:eastAsia="Arial" w:hAnsi="Arial"/>
                <w:sz w:val="14"/>
                <w:szCs w:val="14"/>
                <w:b w:val="1"/>
                <w:bCs w:val="1"/>
                <w:color w:val="auto"/>
                <w:w w:val="94"/>
              </w:rPr>
              <w:t>Renewal Lease Summary - Comparable (2) (8)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151,727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51.87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$ 47.70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632,494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482,163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3.18</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2nd Quarter 2019</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242,916</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42.38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$ 41.25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275,687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486,246</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2.00</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119,048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39.16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$ 38.63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62,742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152,710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2018</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336,232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30.90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$ 29.93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323,413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742,656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2.21</w:t>
            </w:r>
          </w:p>
        </w:tc>
        <w:tc>
          <w:tcPr>
            <w:tcW w:w="340" w:type="dxa"/>
            <w:vAlign w:val="bottom"/>
            <w:tcBorders>
              <w:bottom w:val="single" w:sz="8" w:color="auto"/>
            </w:tcBorders>
          </w:tcPr>
          <w:p>
            <w:pPr>
              <w:spacing w:after="0"/>
              <w:rPr>
                <w:sz w:val="22"/>
                <w:szCs w:val="2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849,923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39.08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1,294,336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1,863,775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2.19</w:t>
            </w:r>
          </w:p>
        </w:tc>
        <w:tc>
          <w:tcPr>
            <w:tcW w:w="3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4780" w:type="dxa"/>
            <w:vAlign w:val="bottom"/>
            <w:gridSpan w:val="13"/>
          </w:tcPr>
          <w:p>
            <w:pPr>
              <w:ind w:left="40"/>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491,414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39.73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22,620,379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46.03</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2nd Quarter 2019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382,656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42.61</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12,852,603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33.59</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305,724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14,529,265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47.52</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2018</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622,234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32.72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18,728,152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30.10</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1,802,028</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38.52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68,730,399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38.14</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620" w:right="80" w:hanging="585"/>
        <w:spacing w:after="0" w:line="230" w:lineRule="auto"/>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Approximately $7.0 million ($3.21 per square foot) in 3rd Quarter 2019, $4.4 million ($10.25 per square foot) in 2nd Quarter 2019, $3.9 million ($9.59 per square foot) in 1st Quarter 2019, and $4.1 million ($5.48 per square foot) in 4th Quarter 2018 of the Tenant Improvements &amp; Incentives are for properties under active redevelopment and are included in either the Projected Cost for those properties on the Summary of Redevelopment Opportunities or was included in the cost to complete estimate at acquisition.</w:t>
      </w:r>
    </w:p>
    <w:p>
      <w:pPr>
        <w:spacing w:after="0" w:line="29" w:lineRule="exact"/>
        <w:rPr>
          <w:rFonts w:ascii="Arial" w:cs="Arial" w:eastAsia="Arial" w:hAnsi="Arial"/>
          <w:sz w:val="13"/>
          <w:szCs w:val="13"/>
          <w:color w:val="auto"/>
        </w:rPr>
      </w:pPr>
    </w:p>
    <w:p>
      <w:pPr>
        <w:ind w:left="620" w:hanging="585"/>
        <w:spacing w:after="0"/>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620" w:right="220" w:hanging="585"/>
        <w:spacing w:after="0" w:line="226" w:lineRule="auto"/>
        <w:tabs>
          <w:tab w:leader="none" w:pos="6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Number of Leases Signed, GLA Signed, Contractual Rent Per Sq. Ft. and Weighted Average Lease Term columns include information for leases signed at Phase 2 and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and Phase 3 of Assembly Row and Pike &amp; Rose are included in the Projected Cost column for those projects shown on the Assembly Row and Pike &amp; Rose schedule.</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60" w:right="2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2130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1305"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353,000</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12.73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1,059,000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19.00</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809,000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39.35</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1,868,000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27.81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1,562,000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22.11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853,000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2,015,000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18.31</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930,000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43.67</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2,945,000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1,659,000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866,000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2,374,000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17.82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859,000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45.84</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3,233,000</w:t>
            </w: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1,209,000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21.16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595,000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641,000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26.62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368,000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49.84</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33.63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449,000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771,000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22.01</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399,000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52.14</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2,772,000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21.45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452,000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15,236,000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20.99</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6,863,000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44.46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22,098,000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28.28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Borders>
              <w:left w:val="single" w:sz="8" w:color="auto"/>
            </w:tcBorders>
            <w:gridSpan w:val="3"/>
          </w:tcPr>
          <w:p>
            <w:pPr>
              <w:jc w:val="right"/>
              <w:ind w:right="497"/>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2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12.73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358,000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21.07</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613,000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38.72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971,000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32.22</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268,000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23.25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559,000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43.65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826,000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590,000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22.33</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432,000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45.47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1,023,000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481,000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25.62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349,000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44.51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830,000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33.56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30.01</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612,000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18.06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398,000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48.48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1,010,000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12,970,000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15,236,000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20.99</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6,863,000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44.46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22,098,000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28.28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40" w:hanging="1105"/>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September 30, 2019.</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September 30, 2019.</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right="1260"/>
        <w:spacing w:after="0" w:line="355" w:lineRule="auto"/>
        <w:rPr>
          <w:sz w:val="20"/>
          <w:szCs w:val="20"/>
          <w:color w:val="auto"/>
        </w:rPr>
      </w:pPr>
      <w:r>
        <w:rPr>
          <w:rFonts w:ascii="Arial" w:cs="Arial" w:eastAsia="Arial" w:hAnsi="Arial"/>
          <w:sz w:val="17"/>
          <w:szCs w:val="17"/>
          <w:b w:val="1"/>
          <w:bCs w:val="1"/>
          <w:color w:val="auto"/>
        </w:rPr>
        <w:t>Federal Realty Investment Trust Portfolio Leased Statistics September 30, 2019</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Commercial Properties (2) (3) (4) (sf)</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September 30, 2019</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2018</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60" w:type="dxa"/>
            <w:vAlign w:val="bottom"/>
            <w:gridSpan w:val="3"/>
          </w:tcPr>
          <w:p>
            <w:pPr>
              <w:ind w:left="68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23,879,000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22,487,000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24,263,000</w:t>
            </w: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22,996,000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94.8%</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2,665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2,595</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97.4%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2,669</w:t>
            </w: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2,557</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95.8%</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September 30, 2019</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2018</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60" w:type="dxa"/>
            <w:vAlign w:val="bottom"/>
            <w:gridSpan w:val="3"/>
          </w:tcPr>
          <w:p>
            <w:pPr>
              <w:ind w:left="68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Properties (2) (4) (sf)</w:t>
            </w:r>
          </w:p>
        </w:tc>
        <w:tc>
          <w:tcPr>
            <w:tcW w:w="2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22,355,000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21,210,000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94.9%</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22,367,000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21,354,000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70"/>
        </w:trPr>
        <w:tc>
          <w:tcPr>
            <w:tcW w:w="3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1,346</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1,311</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1,350</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1,300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r>
      <w:tr>
        <w:trPr>
          <w:trHeight w:val="33"/>
        </w:trPr>
        <w:tc>
          <w:tcPr>
            <w:tcW w:w="3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September 30, 2019 leased percentage was 97.2% for anchor tenants and 88.1% for small shop tenants.</w:t>
      </w:r>
    </w:p>
    <w:p>
      <w:pPr>
        <w:spacing w:after="0" w:line="72" w:lineRule="exact"/>
        <w:rPr>
          <w:rFonts w:ascii="Arial" w:cs="Arial" w:eastAsia="Arial" w:hAnsi="Arial"/>
          <w:sz w:val="16"/>
          <w:szCs w:val="16"/>
          <w:color w:val="auto"/>
        </w:rPr>
      </w:pPr>
    </w:p>
    <w:p>
      <w:pPr>
        <w:ind w:left="840" w:right="180" w:hanging="805"/>
        <w:spacing w:after="0" w:line="293"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Occupied percentage was 92.8% and 93.7% at September 30, 2019 and 2018, respectively, and comparable property occupied percentage was 93.5% and 94.4% at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4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6"/>
              </w:rPr>
              <w:t>Credit Ratings</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2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9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208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7"/>
              </w:rPr>
              <w:t>(S&amp;P/Moody's/Fitch) (1)</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Tenant GLA  Total GLA (3)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4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4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4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4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4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4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4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4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4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4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40" w:type="dxa"/>
            <w:vAlign w:val="bottom"/>
          </w:tcPr>
          <w:p>
            <w:pPr>
              <w:ind w:left="120"/>
              <w:spacing w:after="0"/>
              <w:rPr>
                <w:sz w:val="20"/>
                <w:szCs w:val="20"/>
                <w:color w:val="auto"/>
              </w:rPr>
            </w:pPr>
            <w:r>
              <w:rPr>
                <w:rFonts w:ascii="Arial" w:cs="Arial" w:eastAsia="Arial" w:hAnsi="Arial"/>
                <w:sz w:val="16"/>
                <w:szCs w:val="16"/>
                <w:color w:val="auto"/>
                <w:w w:val="97"/>
              </w:rPr>
              <w:t>Hudson's Bay Company (Saks, Lord &amp; Taylor)</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4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4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4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4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4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4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66"/>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40" w:type="dxa"/>
            <w:vAlign w:val="bottom"/>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CCC+ / B3 / NR</w:t>
            </w:r>
          </w:p>
        </w:tc>
      </w:tr>
      <w:tr>
        <w:trPr>
          <w:trHeight w:val="203"/>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Lou &amp; Grey, Ann Taylor, Catherine's, Justice,</w:t>
            </w:r>
          </w:p>
        </w:tc>
        <w:tc>
          <w:tcPr>
            <w:tcW w:w="1580" w:type="dxa"/>
            <w:vAlign w:val="bottom"/>
          </w:tcPr>
          <w:p>
            <w:pPr>
              <w:spacing w:after="0"/>
              <w:rPr>
                <w:sz w:val="17"/>
                <w:szCs w:val="17"/>
                <w:color w:val="auto"/>
              </w:rPr>
            </w:pPr>
          </w:p>
        </w:tc>
      </w:tr>
      <w:tr>
        <w:trPr>
          <w:trHeight w:val="206"/>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Lane Bryant)</w:t>
            </w:r>
          </w:p>
        </w:tc>
        <w:tc>
          <w:tcPr>
            <w:tcW w:w="1580" w:type="dxa"/>
            <w:vAlign w:val="bottom"/>
          </w:tcPr>
          <w:p>
            <w:pPr>
              <w:spacing w:after="0"/>
              <w:rPr>
                <w:sz w:val="17"/>
                <w:szCs w:val="17"/>
                <w:color w:val="auto"/>
              </w:rPr>
            </w:pPr>
          </w:p>
        </w:tc>
      </w:tr>
      <w:tr>
        <w:trPr>
          <w:trHeight w:val="257"/>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4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4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4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4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4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4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B1 / NR</w:t>
            </w:r>
          </w:p>
        </w:tc>
      </w:tr>
      <w:tr>
        <w:trPr>
          <w:trHeight w:val="270"/>
        </w:trPr>
        <w:tc>
          <w:tcPr>
            <w:tcW w:w="260" w:type="dxa"/>
            <w:vAlign w:val="bottom"/>
          </w:tcPr>
          <w:p>
            <w:pPr>
              <w:spacing w:after="0"/>
              <w:rPr>
                <w:sz w:val="23"/>
                <w:szCs w:val="23"/>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18,386,000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991,000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3.75%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15,766,000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2.23%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898,000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3.40%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12,716,000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334,000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1.26%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11,220,000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643,000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2.43%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11,020,000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1.76%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10,902,000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9,554,000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254,000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7,239,000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6,633,000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6,425,000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6,249,000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6,066,000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2.00%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6,014,000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5,974,000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0.40%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5,963,000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5,933,000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218,000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5,861,000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5,567,000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5,495,000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164,000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0.62%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5,187,000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0.57%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4,772,000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0.63%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4,603,000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4,238,000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4,199,000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4,192,000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1.56%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47"/>
        </w:trPr>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190,174,000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26.94%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8,211,000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31.09%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338</w:t>
            </w:r>
          </w:p>
        </w:tc>
      </w:tr>
      <w:tr>
        <w:trPr>
          <w:trHeight w:val="33"/>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-4390390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-4046855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-3703955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-3361055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-3018155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-2675255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-2331720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-1988820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-1645920</wp:posOffset>
            </wp:positionV>
            <wp:extent cx="7246620" cy="420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-1054100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-16510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760"/>
          </w:cols>
          <w:pgMar w:left="240" w:top="742" w:right="239" w:bottom="1440" w:gutter="0" w:footer="0" w:header="0"/>
          <w:type w:val="continuous"/>
        </w:sectPr>
      </w:pP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Total (5):</w:t>
            </w:r>
          </w:p>
        </w:tc>
        <w:tc>
          <w:tcPr>
            <w:tcW w:w="4400" w:type="dxa"/>
            <w:vAlign w:val="bottom"/>
          </w:tcPr>
          <w:p>
            <w:pPr>
              <w:jc w:val="right"/>
              <w:ind w:right="659"/>
              <w:spacing w:after="0"/>
              <w:rPr>
                <w:sz w:val="20"/>
                <w:szCs w:val="20"/>
                <w:color w:val="auto"/>
              </w:rPr>
            </w:pPr>
            <w:r>
              <w:rPr>
                <w:rFonts w:ascii="Arial" w:cs="Arial" w:eastAsia="Arial" w:hAnsi="Arial"/>
                <w:sz w:val="16"/>
                <w:szCs w:val="16"/>
                <w:color w:val="auto"/>
              </w:rPr>
              <w:t>$   705,821,000  (2)</w:t>
            </w:r>
          </w:p>
        </w:tc>
        <w:tc>
          <w:tcPr>
            <w:tcW w:w="1800" w:type="dxa"/>
            <w:vAlign w:val="bottom"/>
          </w:tcPr>
          <w:p>
            <w:pPr>
              <w:jc w:val="right"/>
              <w:spacing w:after="0"/>
              <w:rPr>
                <w:sz w:val="20"/>
                <w:szCs w:val="20"/>
                <w:color w:val="auto"/>
              </w:rPr>
            </w:pPr>
            <w:r>
              <w:rPr>
                <w:rFonts w:ascii="Arial" w:cs="Arial" w:eastAsia="Arial" w:hAnsi="Arial"/>
                <w:sz w:val="16"/>
                <w:szCs w:val="16"/>
                <w:color w:val="auto"/>
              </w:rPr>
              <w:t>26,408,000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Credit Ratings are as of September 30, 2019. Subsequent rating changes have not been reflected.</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September 30, 2019.</w:t>
      </w:r>
    </w:p>
    <w:p>
      <w:pPr>
        <w:spacing w:after="0" w:line="122" w:lineRule="exact"/>
        <w:rPr>
          <w:rFonts w:ascii="Arial" w:cs="Arial" w:eastAsia="Arial" w:hAnsi="Arial"/>
          <w:sz w:val="14"/>
          <w:szCs w:val="14"/>
          <w:color w:val="auto"/>
        </w:rPr>
      </w:pPr>
    </w:p>
    <w:p>
      <w:pPr>
        <w:ind w:left="600" w:hanging="565"/>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2019.</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October 30, 2019.</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2019 Guidance Range</w:t>
            </w:r>
          </w:p>
        </w:tc>
      </w:tr>
      <w:tr>
        <w:trPr>
          <w:trHeight w:val="27"/>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6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Estimated depreciation and amortization</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3.08</w:t>
            </w: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FFO per diluted share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3" w:lineRule="exact"/>
        <w:rPr>
          <w:sz w:val="20"/>
          <w:szCs w:val="20"/>
          <w:color w:val="auto"/>
        </w:rPr>
      </w:pPr>
    </w:p>
    <w:p>
      <w:pPr>
        <w:ind w:left="260" w:right="60" w:hanging="252"/>
        <w:spacing w:after="0" w:line="261" w:lineRule="auto"/>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Estimated FFO per diluted share includes an $11.9 million charge related to the buyout of the Kmart lease at Assembly Square Marketplace. If this charge was excluded, our estimated FFO per diluted share range would be as follows:</w:t>
      </w:r>
    </w:p>
    <w:p>
      <w:pPr>
        <w:spacing w:after="0" w:line="130" w:lineRule="exact"/>
        <w:rPr>
          <w:sz w:val="20"/>
          <w:szCs w:val="20"/>
          <w:color w:val="auto"/>
        </w:rPr>
      </w:pPr>
    </w:p>
    <w:p>
      <w:pPr>
        <w:ind w:left="8740"/>
        <w:spacing w:after="0"/>
        <w:tabs>
          <w:tab w:leader="none" w:pos="10240" w:val="left"/>
        </w:tabs>
        <w:rPr>
          <w:sz w:val="20"/>
          <w:szCs w:val="20"/>
          <w:color w:val="auto"/>
        </w:rPr>
      </w:pPr>
      <w:r>
        <w:rPr>
          <w:rFonts w:ascii="Arial" w:cs="Arial" w:eastAsia="Arial" w:hAnsi="Arial"/>
          <w:sz w:val="18"/>
          <w:szCs w:val="18"/>
          <w:color w:val="auto"/>
        </w:rPr>
        <w:t>Low</w:t>
      </w:r>
      <w:r>
        <w:rPr>
          <w:sz w:val="20"/>
          <w:szCs w:val="20"/>
          <w:color w:val="auto"/>
        </w:rPr>
        <w:tab/>
      </w:r>
      <w:r>
        <w:rPr>
          <w:rFonts w:ascii="Arial" w:cs="Arial" w:eastAsia="Arial" w:hAnsi="Arial"/>
          <w:sz w:val="18"/>
          <w:szCs w:val="18"/>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31750</wp:posOffset>
            </wp:positionV>
            <wp:extent cx="68865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6575" cy="180340"/>
                    </a:xfrm>
                    <a:prstGeom prst="rect">
                      <a:avLst/>
                    </a:prstGeom>
                    <a:noFill/>
                  </pic:spPr>
                </pic:pic>
              </a:graphicData>
            </a:graphic>
          </wp:anchor>
        </w:drawing>
      </w:r>
    </w:p>
    <w:p>
      <w:pPr>
        <w:spacing w:after="0" w:line="57" w:lineRule="exact"/>
        <w:rPr>
          <w:sz w:val="20"/>
          <w:szCs w:val="20"/>
          <w:color w:val="auto"/>
        </w:rPr>
      </w:pPr>
    </w:p>
    <w:p>
      <w:pPr>
        <w:ind w:left="280"/>
        <w:spacing w:after="0"/>
        <w:tabs>
          <w:tab w:leader="none" w:pos="8260" w:val="left"/>
          <w:tab w:leader="none" w:pos="9120" w:val="left"/>
          <w:tab w:leader="none" w:pos="9800" w:val="left"/>
          <w:tab w:leader="none" w:pos="10660" w:val="left"/>
        </w:tabs>
        <w:rPr>
          <w:sz w:val="20"/>
          <w:szCs w:val="20"/>
          <w:color w:val="auto"/>
        </w:rPr>
      </w:pPr>
      <w:r>
        <w:rPr>
          <w:rFonts w:ascii="Arial" w:cs="Arial" w:eastAsia="Arial" w:hAnsi="Arial"/>
          <w:sz w:val="18"/>
          <w:szCs w:val="18"/>
          <w:color w:val="auto"/>
        </w:rPr>
        <w:t>Estimated FFO per diluted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6.38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Glossary of Terms. Individual items may not add up to total due to rounding.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color w:val="auto"/>
        </w:rPr>
        <w:t xml:space="preserve">EBITDA for Real Estate ("EBITDAre"): </w:t>
      </w:r>
      <w:r>
        <w:rPr>
          <w:rFonts w:ascii="Arial" w:cs="Arial" w:eastAsia="Arial" w:hAnsi="Arial"/>
          <w:sz w:val="16"/>
          <w:szCs w:val="16"/>
          <w:color w:val="auto"/>
        </w:rPr>
        <w:t>EBITDAre is a non-GAAP measure that the National Association of Real Estate Investment Trusts ("NAREIT") defines</w:t>
      </w:r>
      <w:r>
        <w:rPr>
          <w:rFonts w:ascii="Arial" w:cs="Arial" w:eastAsia="Arial" w:hAnsi="Arial"/>
          <w:sz w:val="16"/>
          <w:szCs w:val="16"/>
          <w:b w:val="1"/>
          <w:bCs w:val="1"/>
          <w:color w:val="auto"/>
        </w:rPr>
        <w:t xml:space="preserve"> </w:t>
      </w:r>
      <w:r>
        <w:rPr>
          <w:rFonts w:ascii="Arial" w:cs="Arial" w:eastAsia="Arial" w:hAnsi="Arial"/>
          <w:sz w:val="16"/>
          <w:szCs w:val="16"/>
          <w:color w:val="auto"/>
        </w:rPr>
        <w:t>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2019 and 2018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67,106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64,180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211,576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192,644</w:t>
            </w:r>
          </w:p>
        </w:tc>
      </w:tr>
      <w:tr>
        <w:trPr>
          <w:trHeight w:val="239"/>
        </w:trPr>
        <w:tc>
          <w:tcPr>
            <w:tcW w:w="516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27,052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28,166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82,567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82,116</w:t>
            </w:r>
          </w:p>
        </w:tc>
      </w:tr>
      <w:tr>
        <w:trPr>
          <w:trHeight w:val="31"/>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r>
      <w:tr>
        <w:trPr>
          <w:trHeight w:val="239"/>
        </w:trPr>
        <w:tc>
          <w:tcPr>
            <w:tcW w:w="5160" w:type="dxa"/>
            <w:vAlign w:val="bottom"/>
          </w:tcPr>
          <w:p>
            <w:pPr>
              <w:ind w:left="40"/>
              <w:spacing w:after="0"/>
              <w:rPr>
                <w:sz w:val="20"/>
                <w:szCs w:val="20"/>
                <w:color w:val="auto"/>
              </w:rPr>
            </w:pPr>
            <w:r>
              <w:rPr>
                <w:rFonts w:ascii="Arial" w:cs="Arial" w:eastAsia="Arial" w:hAnsi="Arial"/>
                <w:sz w:val="17"/>
                <w:szCs w:val="17"/>
                <w:color w:val="auto"/>
              </w:rPr>
              <w:t>Provision (benefit) for income tax (1)</w:t>
            </w:r>
          </w:p>
        </w:tc>
        <w:tc>
          <w:tcPr>
            <w:tcW w:w="36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1,642</w:t>
            </w:r>
          </w:p>
        </w:tc>
      </w:tr>
      <w:tr>
        <w:trPr>
          <w:trHeight w:val="31"/>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59,648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60,778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178,327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177,269</w:t>
            </w:r>
          </w:p>
        </w:tc>
      </w:tr>
      <w:tr>
        <w:trPr>
          <w:trHeight w:val="239"/>
        </w:trPr>
        <w:tc>
          <w:tcPr>
            <w:tcW w:w="5160" w:type="dxa"/>
            <w:vAlign w:val="bottom"/>
          </w:tcPr>
          <w:p>
            <w:pPr>
              <w:ind w:left="40"/>
              <w:spacing w:after="0"/>
              <w:rPr>
                <w:sz w:val="20"/>
                <w:szCs w:val="20"/>
                <w:color w:val="auto"/>
              </w:rPr>
            </w:pPr>
            <w:r>
              <w:rPr>
                <w:rFonts w:ascii="Arial" w:cs="Arial" w:eastAsia="Arial" w:hAnsi="Arial"/>
                <w:sz w:val="17"/>
                <w:szCs w:val="17"/>
                <w:color w:val="auto"/>
              </w:rPr>
              <w:t>Gain on sale of real estate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(14,149)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(30,501)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(12,075)</w:t>
            </w:r>
          </w:p>
        </w:tc>
      </w:tr>
      <w:tr>
        <w:trPr>
          <w:trHeight w:val="31"/>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of EBITDAre of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1,884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5,187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3,213</w:t>
            </w:r>
          </w:p>
        </w:tc>
      </w:tr>
      <w:tr>
        <w:trPr>
          <w:trHeight w:val="244"/>
        </w:trPr>
        <w:tc>
          <w:tcPr>
            <w:tcW w:w="5160" w:type="dxa"/>
            <w:vAlign w:val="bottom"/>
          </w:tcPr>
          <w:p>
            <w:pPr>
              <w:ind w:left="380"/>
              <w:spacing w:after="0"/>
              <w:rPr>
                <w:sz w:val="20"/>
                <w:szCs w:val="20"/>
                <w:color w:val="auto"/>
              </w:rPr>
            </w:pPr>
            <w:r>
              <w:rPr>
                <w:rFonts w:ascii="Arial" w:cs="Arial" w:eastAsia="Arial" w:hAnsi="Arial"/>
                <w:sz w:val="17"/>
                <w:szCs w:val="17"/>
                <w:color w:val="auto"/>
              </w:rPr>
              <w:t>EBITDAre (2)</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141,389</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151,220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446,932</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444,152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the three and nine months ended September 30, 2018, the (benefit) provision for income tax primarily relates to condominium sales gains.</w:t>
      </w:r>
    </w:p>
    <w:p>
      <w:pPr>
        <w:spacing w:after="0" w:line="20" w:lineRule="exact"/>
        <w:rPr>
          <w:rFonts w:ascii="Arial" w:cs="Arial" w:eastAsia="Arial" w:hAnsi="Arial"/>
          <w:sz w:val="17"/>
          <w:szCs w:val="17"/>
          <w:color w:val="auto"/>
        </w:rPr>
      </w:pPr>
    </w:p>
    <w:p>
      <w:pPr>
        <w:ind w:left="420" w:right="500" w:hanging="412"/>
        <w:spacing w:after="0" w:line="257" w:lineRule="auto"/>
        <w:tabs>
          <w:tab w:leader="none" w:pos="2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Excluding the charge related to the buyout of the Kmart lease at Assembly Square Marketplace, our EBITDAre would have been $153.3 million and $458.8 million, respectively, for the three and nine months ended September 30, 2019.</w:t>
      </w:r>
    </w:p>
    <w:p>
      <w:pPr>
        <w:spacing w:after="0" w:line="18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in accordance with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 primary</w:t>
      </w:r>
    </w:p>
    <w:p>
      <w:pPr>
        <w:spacing w:after="0" w:line="38" w:lineRule="exact"/>
        <w:rPr>
          <w:sz w:val="20"/>
          <w:szCs w:val="20"/>
          <w:color w:val="auto"/>
        </w:rPr>
      </w:pPr>
    </w:p>
    <w:p>
      <w:pPr>
        <w:ind w:right="760"/>
        <w:spacing w:after="0" w:line="257" w:lineRule="auto"/>
        <w:rPr>
          <w:sz w:val="20"/>
          <w:szCs w:val="20"/>
          <w:color w:val="auto"/>
        </w:rPr>
      </w:pPr>
      <w:r>
        <w:rPr>
          <w:rFonts w:ascii="Arial" w:cs="Arial" w:eastAsia="Arial" w:hAnsi="Arial"/>
          <w:sz w:val="17"/>
          <w:szCs w:val="17"/>
          <w:color w:val="auto"/>
        </w:rPr>
        <w:t>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88"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b w:val="1"/>
          <w:bCs w:val="1"/>
          <w:color w:val="auto"/>
        </w:rPr>
        <w:t xml:space="preserve">Tenant Improvements and Incentives: </w:t>
      </w:r>
      <w:r>
        <w:rPr>
          <w:rFonts w:ascii="Arial" w:cs="Arial" w:eastAsia="Arial" w:hAnsi="Arial"/>
          <w:sz w:val="15"/>
          <w:szCs w:val="15"/>
          <w:color w:val="auto"/>
        </w:rPr>
        <w:t>Represents not only the total dollars committed for the improvement (fit-out) of a space as it relates to a specific lease and,</w:t>
      </w:r>
      <w:r>
        <w:rPr>
          <w:rFonts w:ascii="Arial" w:cs="Arial" w:eastAsia="Arial" w:hAnsi="Arial"/>
          <w:sz w:val="15"/>
          <w:szCs w:val="15"/>
          <w:b w:val="1"/>
          <w:bCs w:val="1"/>
          <w:color w:val="auto"/>
        </w:rPr>
        <w:t xml:space="preserve"> </w:t>
      </w:r>
      <w:r>
        <w:rPr>
          <w:rFonts w:ascii="Arial" w:cs="Arial" w:eastAsia="Arial" w:hAnsi="Arial"/>
          <w:sz w:val="15"/>
          <w:szCs w:val="15"/>
          <w:color w:val="auto"/>
        </w:rPr>
        <w:t>except for redevelopments, may also include base building costs (i.e. expansion, escalators or new entrances) which are required to make the space leasable. Incentives include amounts paid to tenants as an inducement to sign a lease that do not represent building improvements. Costs related to redevelopments require judgment by management in determining what reflects base building cost and thus, is not included in the "tenant improvements and incentives" amount.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04"/>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2019-12-28T04:01:59Z</dcterms:created>
  <dcterms:modified xsi:type="dcterms:W3CDTF">2019-12-28T04:01:59Z</dcterms:modified>
</cp:coreProperties>
</file>