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August 04, 2022</w:t>
      </w:r>
    </w:p>
    <w:p>
      <w:pPr>
        <w:spacing w:after="0" w:line="1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18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Federal Realty OP LP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06" w:lineRule="exact"/>
        <w:rPr>
          <w:sz w:val="24"/>
          <w:szCs w:val="24"/>
          <w:color w:val="auto"/>
        </w:rPr>
      </w:pPr>
    </w:p>
    <w:tbl>
      <w:tblPr>
        <w:tblLayout w:type="fixed"/>
        <w:tblInd w:w="460" w:type="dxa"/>
        <w:tblCellMar>
          <w:top w:w="0" w:type="dxa"/>
          <w:left w:w="0" w:type="dxa"/>
          <w:bottom w:w="0" w:type="dxa"/>
          <w:right w:w="0" w:type="dxa"/>
        </w:tblCellMar>
      </w:tblPr>
      <w:tr>
        <w:trPr>
          <w:trHeight w:val="226"/>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Maryland (Federal Realty Investment Trust)</w:t>
            </w:r>
          </w:p>
        </w:tc>
        <w:tc>
          <w:tcPr>
            <w:tcW w:w="1700" w:type="dxa"/>
            <w:vAlign w:val="bottom"/>
          </w:tcPr>
          <w:p>
            <w:pPr>
              <w:jc w:val="right"/>
              <w:ind w:right="444"/>
              <w:spacing w:after="0"/>
              <w:rPr>
                <w:sz w:val="20"/>
                <w:szCs w:val="20"/>
                <w:color w:val="auto"/>
              </w:rPr>
            </w:pPr>
            <w:r>
              <w:rPr>
                <w:rFonts w:ascii="Times New Roman" w:cs="Times New Roman" w:eastAsia="Times New Roman" w:hAnsi="Times New Roman"/>
                <w:sz w:val="17"/>
                <w:szCs w:val="17"/>
                <w:b w:val="1"/>
                <w:bCs w:val="1"/>
                <w:color w:val="auto"/>
              </w:rPr>
              <w:t>1-07533</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87-3916363</w:t>
            </w:r>
          </w:p>
        </w:tc>
      </w:tr>
      <w:tr>
        <w:trPr>
          <w:trHeight w:val="229"/>
        </w:trPr>
        <w:tc>
          <w:tcPr>
            <w:tcW w:w="4240" w:type="dxa"/>
            <w:vAlign w:val="bottom"/>
          </w:tcPr>
          <w:p>
            <w:pPr>
              <w:jc w:val="center"/>
              <w:ind w:right="904"/>
              <w:spacing w:after="0"/>
              <w:rPr>
                <w:sz w:val="20"/>
                <w:szCs w:val="20"/>
                <w:color w:val="auto"/>
              </w:rPr>
            </w:pPr>
            <w:r>
              <w:rPr>
                <w:rFonts w:ascii="Times New Roman" w:cs="Times New Roman" w:eastAsia="Times New Roman" w:hAnsi="Times New Roman"/>
                <w:sz w:val="17"/>
                <w:szCs w:val="17"/>
                <w:b w:val="1"/>
                <w:bCs w:val="1"/>
                <w:color w:val="auto"/>
              </w:rPr>
              <w:t>Delaware (Federal Realty OP LP)</w:t>
            </w:r>
          </w:p>
        </w:tc>
        <w:tc>
          <w:tcPr>
            <w:tcW w:w="1700" w:type="dxa"/>
            <w:vAlign w:val="bottom"/>
          </w:tcPr>
          <w:p>
            <w:pPr>
              <w:jc w:val="right"/>
              <w:ind w:right="184"/>
              <w:spacing w:after="0"/>
              <w:rPr>
                <w:sz w:val="20"/>
                <w:szCs w:val="20"/>
                <w:color w:val="auto"/>
              </w:rPr>
            </w:pPr>
            <w:r>
              <w:rPr>
                <w:rFonts w:ascii="Times New Roman" w:cs="Times New Roman" w:eastAsia="Times New Roman" w:hAnsi="Times New Roman"/>
                <w:sz w:val="17"/>
                <w:szCs w:val="17"/>
                <w:b w:val="1"/>
                <w:bCs w:val="1"/>
                <w:color w:val="auto"/>
              </w:rPr>
              <w:t>333-262016-01</w:t>
            </w:r>
          </w:p>
        </w:tc>
        <w:tc>
          <w:tcPr>
            <w:tcW w:w="1340" w:type="dxa"/>
            <w:vAlign w:val="bottom"/>
          </w:tcPr>
          <w:p>
            <w:pPr>
              <w:spacing w:after="0"/>
              <w:rPr>
                <w:sz w:val="19"/>
                <w:szCs w:val="19"/>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7"/>
                <w:szCs w:val="17"/>
                <w:b w:val="1"/>
                <w:bCs w:val="1"/>
                <w:color w:val="auto"/>
                <w:w w:val="99"/>
              </w:rPr>
              <w:t>52-0782497</w:t>
            </w:r>
          </w:p>
        </w:tc>
      </w:tr>
      <w:tr>
        <w:trPr>
          <w:trHeight w:val="144"/>
        </w:trPr>
        <w:tc>
          <w:tcPr>
            <w:tcW w:w="4240" w:type="dxa"/>
            <w:vAlign w:val="bottom"/>
          </w:tcPr>
          <w:p>
            <w:pPr>
              <w:jc w:val="center"/>
              <w:ind w:right="884"/>
              <w:spacing w:after="0" w:line="144" w:lineRule="exact"/>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00" w:type="dxa"/>
            <w:vAlign w:val="bottom"/>
          </w:tcPr>
          <w:p>
            <w:pPr>
              <w:ind w:left="560"/>
              <w:spacing w:after="0" w:line="144" w:lineRule="exact"/>
              <w:rPr>
                <w:sz w:val="20"/>
                <w:szCs w:val="20"/>
                <w:color w:val="auto"/>
              </w:rPr>
            </w:pPr>
            <w:r>
              <w:rPr>
                <w:rFonts w:ascii="Times New Roman" w:cs="Times New Roman" w:eastAsia="Times New Roman" w:hAnsi="Times New Roman"/>
                <w:sz w:val="13"/>
                <w:szCs w:val="13"/>
                <w:b w:val="1"/>
                <w:bCs w:val="1"/>
                <w:color w:val="auto"/>
              </w:rPr>
              <w:t>(Commission</w:t>
            </w:r>
          </w:p>
        </w:tc>
        <w:tc>
          <w:tcPr>
            <w:tcW w:w="1340" w:type="dxa"/>
            <w:vAlign w:val="bottom"/>
          </w:tcPr>
          <w:p>
            <w:pPr>
              <w:spacing w:after="0"/>
              <w:rPr>
                <w:sz w:val="12"/>
                <w:szCs w:val="12"/>
                <w:color w:val="auto"/>
              </w:rPr>
            </w:pPr>
          </w:p>
        </w:tc>
        <w:tc>
          <w:tcPr>
            <w:tcW w:w="1900" w:type="dxa"/>
            <w:vAlign w:val="bottom"/>
          </w:tcPr>
          <w:p>
            <w:pPr>
              <w:jc w:val="center"/>
              <w:ind w:left="844"/>
              <w:spacing w:after="0" w:line="144" w:lineRule="exact"/>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240" w:type="dxa"/>
            <w:vAlign w:val="bottom"/>
          </w:tcPr>
          <w:p>
            <w:pPr>
              <w:jc w:val="center"/>
              <w:ind w:right="884"/>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0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1340" w:type="dxa"/>
            <w:vAlign w:val="bottom"/>
          </w:tcPr>
          <w:p>
            <w:pPr>
              <w:spacing w:after="0"/>
              <w:rPr>
                <w:sz w:val="14"/>
                <w:szCs w:val="14"/>
                <w:color w:val="auto"/>
              </w:rPr>
            </w:pPr>
          </w:p>
        </w:tc>
        <w:tc>
          <w:tcPr>
            <w:tcW w:w="1900" w:type="dxa"/>
            <w:vAlign w:val="bottom"/>
          </w:tcPr>
          <w:p>
            <w:pPr>
              <w:jc w:val="center"/>
              <w:ind w:left="844"/>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442"/>
        </w:trPr>
        <w:tc>
          <w:tcPr>
            <w:tcW w:w="4240" w:type="dxa"/>
            <w:vAlign w:val="bottom"/>
          </w:tcPr>
          <w:p>
            <w:pPr>
              <w:ind w:left="2140"/>
              <w:spacing w:after="0"/>
              <w:rPr>
                <w:sz w:val="20"/>
                <w:szCs w:val="20"/>
                <w:color w:val="auto"/>
              </w:rPr>
            </w:pPr>
            <w:r>
              <w:rPr>
                <w:rFonts w:ascii="Times New Roman" w:cs="Times New Roman" w:eastAsia="Times New Roman" w:hAnsi="Times New Roman"/>
                <w:sz w:val="16"/>
                <w:szCs w:val="16"/>
                <w:b w:val="1"/>
                <w:bCs w:val="1"/>
                <w:color w:val="auto"/>
              </w:rPr>
              <w:t>909 Rose Avenue, Suite 200</w:t>
            </w:r>
          </w:p>
        </w:tc>
        <w:tc>
          <w:tcPr>
            <w:tcW w:w="17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North Bethesda,</w:t>
            </w:r>
          </w:p>
        </w:tc>
        <w:tc>
          <w:tcPr>
            <w:tcW w:w="1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90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20852</w:t>
            </w:r>
          </w:p>
        </w:tc>
      </w:tr>
      <w:tr>
        <w:trPr>
          <w:trHeight w:val="216"/>
        </w:trPr>
        <w:tc>
          <w:tcPr>
            <w:tcW w:w="5940" w:type="dxa"/>
            <w:vAlign w:val="bottom"/>
            <w:gridSpan w:val="2"/>
          </w:tcPr>
          <w:p>
            <w:pPr>
              <w:ind w:left="3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40" w:type="dxa"/>
            <w:vAlign w:val="bottom"/>
          </w:tcPr>
          <w:p>
            <w:pPr>
              <w:spacing w:after="0"/>
              <w:rPr>
                <w:sz w:val="18"/>
                <w:szCs w:val="18"/>
                <w:color w:val="auto"/>
              </w:rPr>
            </w:pPr>
          </w:p>
        </w:tc>
        <w:tc>
          <w:tcPr>
            <w:tcW w:w="190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1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301/998-8100</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36"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460" w:hanging="41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2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0"/>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580" w:type="dxa"/>
            <w:vAlign w:val="bottom"/>
          </w:tcPr>
          <w:p>
            <w:pPr>
              <w:spacing w:after="0"/>
              <w:rPr>
                <w:sz w:val="20"/>
                <w:szCs w:val="20"/>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5"/>
              </w:rPr>
              <w:t>FRT</w:t>
            </w:r>
          </w:p>
        </w:tc>
        <w:tc>
          <w:tcPr>
            <w:tcW w:w="28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4480" w:type="dxa"/>
            <w:vAlign w:val="bottom"/>
            <w:gridSpan w:val="3"/>
          </w:tcPr>
          <w:p>
            <w:pPr>
              <w:jc w:val="center"/>
              <w:ind w:left="99"/>
              <w:spacing w:after="0" w:line="168" w:lineRule="exact"/>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Rights</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24"/>
        </w:trPr>
        <w:tc>
          <w:tcPr>
            <w:tcW w:w="4480" w:type="dxa"/>
            <w:vAlign w:val="bottom"/>
            <w:gridSpan w:val="3"/>
          </w:tcPr>
          <w:p>
            <w:pPr>
              <w:jc w:val="center"/>
              <w:ind w:left="79"/>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580" w:type="dxa"/>
            <w:vAlign w:val="bottom"/>
          </w:tcPr>
          <w:p>
            <w:pPr>
              <w:spacing w:after="0"/>
              <w:rPr>
                <w:sz w:val="24"/>
                <w:szCs w:val="24"/>
                <w:color w:val="auto"/>
              </w:rPr>
            </w:pPr>
          </w:p>
        </w:tc>
        <w:tc>
          <w:tcPr>
            <w:tcW w:w="1960" w:type="dxa"/>
            <w:vAlign w:val="bottom"/>
            <w:gridSpan w:val="2"/>
          </w:tcPr>
          <w:p>
            <w:pPr>
              <w:jc w:val="center"/>
              <w:ind w:right="840"/>
              <w:spacing w:after="0"/>
              <w:rPr>
                <w:sz w:val="20"/>
                <w:szCs w:val="20"/>
                <w:color w:val="auto"/>
              </w:rPr>
            </w:pPr>
            <w:r>
              <w:rPr>
                <w:rFonts w:ascii="Times New Roman" w:cs="Times New Roman" w:eastAsia="Times New Roman" w:hAnsi="Times New Roman"/>
                <w:sz w:val="16"/>
                <w:szCs w:val="16"/>
                <w:color w:val="auto"/>
                <w:w w:val="96"/>
              </w:rPr>
              <w:t>FRT-C</w:t>
            </w:r>
          </w:p>
        </w:tc>
        <w:tc>
          <w:tcPr>
            <w:tcW w:w="280" w:type="dxa"/>
            <w:vAlign w:val="bottom"/>
          </w:tcPr>
          <w:p>
            <w:pPr>
              <w:spacing w:after="0"/>
              <w:rPr>
                <w:sz w:val="24"/>
                <w:szCs w:val="24"/>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r>
        <w:trPr>
          <w:trHeight w:val="168"/>
        </w:trPr>
        <w:tc>
          <w:tcPr>
            <w:tcW w:w="7020" w:type="dxa"/>
            <w:vAlign w:val="bottom"/>
            <w:gridSpan w:val="6"/>
          </w:tcPr>
          <w:p>
            <w:pPr>
              <w:jc w:val="center"/>
              <w:ind w:right="2380"/>
              <w:spacing w:after="0" w:line="168" w:lineRule="exact"/>
              <w:rPr>
                <w:sz w:val="20"/>
                <w:szCs w:val="20"/>
                <w:color w:val="auto"/>
              </w:rPr>
            </w:pPr>
            <w:r>
              <w:rPr>
                <w:rFonts w:ascii="Times New Roman" w:cs="Times New Roman" w:eastAsia="Times New Roman" w:hAnsi="Times New Roman"/>
                <w:sz w:val="16"/>
                <w:szCs w:val="16"/>
                <w:color w:val="auto"/>
              </w:rPr>
              <w:t>of 5.00% Series C Cumulative Redeemable Preferred Stock, $.01 par</w:t>
            </w:r>
          </w:p>
        </w:tc>
        <w:tc>
          <w:tcPr>
            <w:tcW w:w="28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10"/>
        </w:trPr>
        <w:tc>
          <w:tcPr>
            <w:tcW w:w="1680" w:type="dxa"/>
            <w:vAlign w:val="bottom"/>
          </w:tcPr>
          <w:p>
            <w:pPr>
              <w:spacing w:after="0"/>
              <w:rPr>
                <w:sz w:val="18"/>
                <w:szCs w:val="18"/>
                <w:color w:val="auto"/>
              </w:rPr>
            </w:pPr>
          </w:p>
        </w:tc>
        <w:tc>
          <w:tcPr>
            <w:tcW w:w="280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rPr>
              <w:t>value per share</w:t>
            </w: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310"/>
        </w:trPr>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5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Federal Realty OP LP</w:t>
            </w:r>
          </w:p>
        </w:tc>
        <w:tc>
          <w:tcPr>
            <w:tcW w:w="2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182"/>
        </w:trPr>
        <w:tc>
          <w:tcPr>
            <w:tcW w:w="1680" w:type="dxa"/>
            <w:vAlign w:val="bottom"/>
          </w:tcPr>
          <w:p>
            <w:pPr>
              <w:spacing w:after="0"/>
              <w:rPr>
                <w:sz w:val="15"/>
                <w:szCs w:val="15"/>
                <w:color w:val="auto"/>
              </w:rPr>
            </w:pPr>
          </w:p>
        </w:tc>
        <w:tc>
          <w:tcPr>
            <w:tcW w:w="13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Title of Each Class</w:t>
            </w:r>
          </w:p>
        </w:tc>
        <w:tc>
          <w:tcPr>
            <w:tcW w:w="1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Trading Symbol</w:t>
            </w:r>
          </w:p>
        </w:tc>
        <w:tc>
          <w:tcPr>
            <w:tcW w:w="840" w:type="dxa"/>
            <w:vAlign w:val="bottom"/>
          </w:tcPr>
          <w:p>
            <w:pPr>
              <w:spacing w:after="0"/>
              <w:rPr>
                <w:sz w:val="15"/>
                <w:szCs w:val="15"/>
                <w:color w:val="auto"/>
              </w:rPr>
            </w:pPr>
          </w:p>
        </w:tc>
        <w:tc>
          <w:tcPr>
            <w:tcW w:w="3500" w:type="dxa"/>
            <w:vAlign w:val="bottom"/>
            <w:gridSpan w:val="2"/>
          </w:tcPr>
          <w:p>
            <w:pPr>
              <w:jc w:val="center"/>
              <w:ind w:left="199"/>
              <w:spacing w:after="0" w:line="181" w:lineRule="exact"/>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0"/>
        </w:trPr>
        <w:tc>
          <w:tcPr>
            <w:tcW w:w="168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None</w:t>
            </w:r>
          </w:p>
        </w:tc>
        <w:tc>
          <w:tcPr>
            <w:tcW w:w="1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208" w:lineRule="exact"/>
        <w:rPr>
          <w:sz w:val="24"/>
          <w:szCs w:val="24"/>
          <w:color w:val="auto"/>
        </w:rPr>
      </w:pPr>
    </w:p>
    <w:p>
      <w:pPr>
        <w:ind w:left="20" w:right="600"/>
        <w:spacing w:after="0" w:line="242"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59" w:lineRule="exact"/>
        <w:rPr>
          <w:sz w:val="24"/>
          <w:szCs w:val="24"/>
          <w:color w:val="auto"/>
        </w:rPr>
      </w:pPr>
    </w:p>
    <w:p>
      <w:pPr>
        <w:ind w:left="20" w:right="100"/>
        <w:spacing w:after="0" w:line="242" w:lineRule="auto"/>
        <w:rPr>
          <w:sz w:val="20"/>
          <w:szCs w:val="20"/>
          <w:color w:val="auto"/>
        </w:rPr>
      </w:pPr>
      <w:r>
        <w:rPr>
          <w:rFonts w:ascii="Times New Roman" w:cs="Times New Roman" w:eastAsia="Times New Roman" w:hAnsi="Times New Roman"/>
          <w:sz w:val="16"/>
          <w:szCs w:val="16"/>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20"/>
        <w:spacing w:after="0" w:line="184" w:lineRule="exact"/>
        <w:tabs>
          <w:tab w:leader="none" w:pos="3940" w:val="left"/>
        </w:tabs>
        <w:rPr>
          <w:sz w:val="20"/>
          <w:szCs w:val="20"/>
          <w:color w:val="auto"/>
        </w:rPr>
      </w:pPr>
      <w:r>
        <w:rPr>
          <w:rFonts w:ascii="Times New Roman" w:cs="Times New Roman" w:eastAsia="Times New Roman" w:hAnsi="Times New Roman"/>
          <w:sz w:val="16"/>
          <w:szCs w:val="16"/>
          <w:color w:val="auto"/>
        </w:rPr>
        <w:t xml:space="preserve">Federal Realty Investment Trust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Federal Realty OP LP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ind w:firstLine="180"/>
        <w:spacing w:after="0" w:line="268"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91" w:lineRule="exact"/>
        <w:rPr>
          <w:sz w:val="20"/>
          <w:szCs w:val="20"/>
          <w:color w:val="auto"/>
        </w:rPr>
      </w:pPr>
    </w:p>
    <w:p>
      <w:pPr>
        <w:ind w:right="200" w:firstLine="180"/>
        <w:spacing w:after="0" w:line="263" w:lineRule="auto"/>
        <w:rPr>
          <w:sz w:val="20"/>
          <w:szCs w:val="20"/>
          <w:color w:val="auto"/>
        </w:rPr>
      </w:pPr>
      <w:r>
        <w:rPr>
          <w:rFonts w:ascii="Times New Roman" w:cs="Times New Roman" w:eastAsia="Times New Roman" w:hAnsi="Times New Roman"/>
          <w:sz w:val="22"/>
          <w:szCs w:val="22"/>
          <w:color w:val="auto"/>
        </w:rPr>
        <w:t>On August 4, 2022, Federal Realty Investment Trust issued supplemental data pertaining to its operations, as well as a press release, to report its financial results for the quarter ended June 30, 2022. The supplemental data and press release are furnished as Exhibit 99.1 hereto.</w:t>
      </w:r>
    </w:p>
    <w:p>
      <w:pPr>
        <w:spacing w:after="0" w:line="19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51" w:lineRule="exact"/>
        <w:rPr>
          <w:sz w:val="20"/>
          <w:szCs w:val="20"/>
          <w:color w:val="auto"/>
        </w:rPr>
      </w:pPr>
    </w:p>
    <w:p>
      <w:pPr>
        <w:ind w:left="180"/>
        <w:spacing w:after="0"/>
        <w:tabs>
          <w:tab w:leader="none" w:pos="5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47" w:lineRule="exact"/>
        <w:rPr>
          <w:sz w:val="20"/>
          <w:szCs w:val="20"/>
          <w:color w:val="auto"/>
        </w:rPr>
      </w:pPr>
    </w:p>
    <w:p>
      <w:pPr>
        <w:ind w:left="180"/>
        <w:spacing w:after="0"/>
        <w:tabs>
          <w:tab w:leader="none" w:pos="72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June 30, 2022 (including press release dated 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94"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registrants have duly caused this report to be signed on their behalf by the undersigned hereunto duly authorized.</w:t>
      </w:r>
    </w:p>
    <w:p>
      <w:pPr>
        <w:spacing w:after="0" w:line="1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FEDERAL REALTY OP LP</w:t>
      </w:r>
    </w:p>
    <w:p>
      <w:pPr>
        <w:spacing w:after="0" w:line="275" w:lineRule="exact"/>
        <w:rPr>
          <w:sz w:val="20"/>
          <w:szCs w:val="20"/>
          <w:color w:val="auto"/>
        </w:rPr>
      </w:pPr>
    </w:p>
    <w:p>
      <w:pPr>
        <w:ind w:left="40"/>
        <w:spacing w:after="0"/>
        <w:tabs>
          <w:tab w:leader="none" w:pos="840" w:val="left"/>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August 4, 2022</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28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1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980"/>
              <w:spacing w:after="0"/>
              <w:rPr>
                <w:sz w:val="20"/>
                <w:szCs w:val="20"/>
                <w:color w:val="auto"/>
              </w:rPr>
            </w:pPr>
            <w:r>
              <w:rPr>
                <w:rFonts w:ascii="Times New Roman" w:cs="Times New Roman" w:eastAsia="Times New Roman" w:hAnsi="Times New Roman"/>
                <w:sz w:val="22"/>
                <w:szCs w:val="22"/>
                <w:color w:val="auto"/>
              </w:rPr>
              <w:t>EXHIBIT INDEX</w:t>
            </w:r>
          </w:p>
        </w:tc>
      </w:tr>
      <w:tr>
        <w:trPr>
          <w:trHeight w:val="555"/>
        </w:trPr>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3"/>
        </w:trPr>
        <w:tc>
          <w:tcPr>
            <w:tcW w:w="17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15"/>
                <w:szCs w:val="15"/>
                <w:color w:val="auto"/>
              </w:rPr>
            </w:pPr>
          </w:p>
        </w:tc>
        <w:tc>
          <w:tcPr>
            <w:tcW w:w="93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Supplemental Information at June 30, 2022</w:t>
            </w:r>
          </w:p>
        </w:tc>
      </w:tr>
      <w:tr>
        <w:trPr>
          <w:trHeight w:val="304"/>
        </w:trPr>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is embedded within the Inline XBRL document)</w:t>
            </w:r>
          </w:p>
        </w:tc>
      </w:tr>
    </w:tbl>
    <w:p>
      <w:pPr>
        <w:sectPr>
          <w:pgSz w:w="11900" w:h="16838" w:orient="portrait"/>
          <w:cols w:equalWidth="0" w:num="1">
            <w:col w:w="11180"/>
          </w:cols>
          <w:pgMar w:left="360" w:top="895" w:right="35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June 30, 2022</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1</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Quarter 2022 Earnings Press Release</w:t>
            </w:r>
          </w:p>
        </w:tc>
        <w:tc>
          <w:tcPr>
            <w:tcW w:w="18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16"/>
        </w:trPr>
        <w:tc>
          <w:tcPr>
            <w:tcW w:w="460" w:type="dxa"/>
            <w:vAlign w:val="bottom"/>
            <w:tcBorders>
              <w:top w:val="single" w:sz="8" w:color="CCEEFF"/>
            </w:tcBorders>
          </w:tcPr>
          <w:p>
            <w:pPr>
              <w:spacing w:after="0"/>
              <w:rPr>
                <w:sz w:val="18"/>
                <w:szCs w:val="18"/>
                <w:color w:val="auto"/>
              </w:rPr>
            </w:pPr>
          </w:p>
        </w:tc>
        <w:tc>
          <w:tcPr>
            <w:tcW w:w="69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29"/>
        </w:trPr>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2</w:t>
            </w:r>
          </w:p>
        </w:tc>
        <w:tc>
          <w:tcPr>
            <w:tcW w:w="6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Financial Highlights</w:t>
            </w:r>
          </w:p>
        </w:tc>
        <w:tc>
          <w:tcPr>
            <w:tcW w:w="1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18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Consolidated Balance Sheets</w:t>
            </w:r>
          </w:p>
        </w:tc>
        <w:tc>
          <w:tcPr>
            <w:tcW w:w="17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60" w:type="dxa"/>
            <w:vAlign w:val="bottom"/>
            <w:tcBorders>
              <w:bottom w:val="single" w:sz="8" w:color="CCEEFF"/>
            </w:tcBorders>
            <w:shd w:val="clear" w:color="auto" w:fill="CCEEFF"/>
          </w:tcPr>
          <w:p>
            <w:pPr>
              <w:spacing w:after="0"/>
              <w:rPr>
                <w:sz w:val="18"/>
                <w:szCs w:val="18"/>
                <w:color w:val="auto"/>
              </w:rPr>
            </w:pPr>
          </w:p>
        </w:tc>
        <w:tc>
          <w:tcPr>
            <w:tcW w:w="6980" w:type="dxa"/>
            <w:vAlign w:val="bottom"/>
            <w:tcBorders>
              <w:bottom w:val="single" w:sz="8" w:color="CCEEFF"/>
            </w:tcBorders>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Components of Rental Income and Other Information</w:t>
            </w:r>
          </w:p>
        </w:tc>
        <w:tc>
          <w:tcPr>
            <w:tcW w:w="1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11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460" w:type="dxa"/>
            <w:vAlign w:val="bottom"/>
          </w:tcPr>
          <w:p>
            <w:pPr>
              <w:spacing w:after="0"/>
              <w:rPr>
                <w:sz w:val="16"/>
                <w:szCs w:val="16"/>
                <w:color w:val="auto"/>
              </w:rPr>
            </w:pPr>
          </w:p>
        </w:tc>
        <w:tc>
          <w:tcPr>
            <w:tcW w:w="6980" w:type="dxa"/>
            <w:vAlign w:val="bottom"/>
          </w:tcPr>
          <w:p>
            <w:pPr>
              <w:ind w:left="1140"/>
              <w:spacing w:after="0" w:line="189"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18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460" w:type="dxa"/>
            <w:vAlign w:val="bottom"/>
            <w:shd w:val="clear" w:color="auto" w:fill="CCEEFF"/>
          </w:tcPr>
          <w:p>
            <w:pPr>
              <w:spacing w:after="0"/>
              <w:rPr>
                <w:sz w:val="16"/>
                <w:szCs w:val="16"/>
                <w:color w:val="auto"/>
              </w:rPr>
            </w:pPr>
          </w:p>
        </w:tc>
        <w:tc>
          <w:tcPr>
            <w:tcW w:w="6980" w:type="dxa"/>
            <w:vAlign w:val="bottom"/>
            <w:shd w:val="clear" w:color="auto" w:fill="CCEEFF"/>
          </w:tcPr>
          <w:p>
            <w:pPr>
              <w:ind w:left="1140"/>
              <w:spacing w:after="0" w:line="189" w:lineRule="exact"/>
              <w:rPr>
                <w:sz w:val="20"/>
                <w:szCs w:val="20"/>
                <w:color w:val="auto"/>
              </w:rPr>
            </w:pPr>
            <w:r>
              <w:rPr>
                <w:rFonts w:ascii="Times New Roman" w:cs="Times New Roman" w:eastAsia="Times New Roman" w:hAnsi="Times New Roman"/>
                <w:sz w:val="18"/>
                <w:szCs w:val="18"/>
                <w:color w:val="auto"/>
              </w:rPr>
              <w:t>Market Data</w:t>
            </w:r>
          </w:p>
        </w:tc>
        <w:tc>
          <w:tcPr>
            <w:tcW w:w="18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shd w:val="clear" w:color="auto" w:fill="CCEEFF"/>
          </w:tcPr>
          <w:p>
            <w:pPr>
              <w:spacing w:after="0"/>
              <w:rPr>
                <w:sz w:val="16"/>
                <w:szCs w:val="16"/>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800" w:hanging="789"/>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5906135" cy="145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6135"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61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w:t>
            </w: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00" w:type="dxa"/>
            <w:vAlign w:val="bottom"/>
            <w:shd w:val="clear" w:color="auto" w:fill="CCEEFF"/>
          </w:tcPr>
          <w:p>
            <w:pPr>
              <w:spacing w:after="0"/>
              <w:rPr>
                <w:sz w:val="18"/>
                <w:szCs w:val="18"/>
                <w:color w:val="auto"/>
              </w:rPr>
            </w:pPr>
          </w:p>
        </w:tc>
        <w:tc>
          <w:tcPr>
            <w:tcW w:w="6180" w:type="dxa"/>
            <w:vAlign w:val="bottom"/>
            <w:shd w:val="clear" w:color="auto" w:fill="CCEEFF"/>
          </w:tcPr>
          <w:p>
            <w:pPr>
              <w:ind w:left="1100"/>
              <w:spacing w:after="0" w:line="189" w:lineRule="exact"/>
              <w:rPr>
                <w:sz w:val="20"/>
                <w:szCs w:val="20"/>
                <w:color w:val="auto"/>
              </w:rPr>
            </w:pPr>
            <w:r>
              <w:rPr>
                <w:rFonts w:ascii="Times New Roman" w:cs="Times New Roman" w:eastAsia="Times New Roman" w:hAnsi="Times New Roman"/>
                <w:sz w:val="18"/>
                <w:szCs w:val="18"/>
                <w:color w:val="auto"/>
              </w:rPr>
              <w:t>Summary of Debt Maturities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5</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180" w:type="dxa"/>
            <w:vAlign w:val="bottom"/>
            <w:tcBorders>
              <w:top w:val="single" w:sz="8" w:color="CCEEFF"/>
            </w:tcBorders>
          </w:tcPr>
          <w:p>
            <w:pPr>
              <w:spacing w:after="0"/>
              <w:rPr>
                <w:sz w:val="23"/>
                <w:szCs w:val="23"/>
                <w:color w:val="auto"/>
              </w:rPr>
            </w:pPr>
          </w:p>
        </w:tc>
        <w:tc>
          <w:tcPr>
            <w:tcW w:w="24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6</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7</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Property Acquisitions and Other Transaction</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8</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Real Estate Status Report</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Retail Leasing Summary</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Lease Expirations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11</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12</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Summary of Top 25 Tenants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0"/>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13</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270"/>
        </w:trPr>
        <w:tc>
          <w:tcPr>
            <w:tcW w:w="500" w:type="dxa"/>
            <w:vAlign w:val="bottom"/>
            <w:tcBorders>
              <w:top w:val="single" w:sz="8" w:color="CCEEFF"/>
            </w:tcBorders>
          </w:tcPr>
          <w:p>
            <w:pPr>
              <w:spacing w:after="0"/>
              <w:rPr>
                <w:sz w:val="23"/>
                <w:szCs w:val="23"/>
                <w:color w:val="auto"/>
              </w:rPr>
            </w:pPr>
          </w:p>
        </w:tc>
        <w:tc>
          <w:tcPr>
            <w:tcW w:w="6180" w:type="dxa"/>
            <w:vAlign w:val="bottom"/>
            <w:tcBorders>
              <w:top w:val="single" w:sz="8" w:color="CCEEFF"/>
            </w:tcBorders>
          </w:tcPr>
          <w:p>
            <w:pPr>
              <w:spacing w:after="0"/>
              <w:rPr>
                <w:sz w:val="23"/>
                <w:szCs w:val="23"/>
                <w:color w:val="auto"/>
              </w:rPr>
            </w:pPr>
          </w:p>
        </w:tc>
        <w:tc>
          <w:tcPr>
            <w:tcW w:w="24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14</w:t>
            </w:r>
          </w:p>
        </w:tc>
        <w:tc>
          <w:tcPr>
            <w:tcW w:w="6180" w:type="dxa"/>
            <w:vAlign w:val="bottom"/>
            <w:shd w:val="clear" w:color="auto" w:fill="CCEEFF"/>
          </w:tcPr>
          <w:p>
            <w:pPr>
              <w:ind w:left="300"/>
              <w:spacing w:after="0" w:line="189" w:lineRule="exact"/>
              <w:rPr>
                <w:sz w:val="20"/>
                <w:szCs w:val="20"/>
                <w:color w:val="auto"/>
              </w:rPr>
            </w:pPr>
            <w:r>
              <w:rPr>
                <w:rFonts w:ascii="Times New Roman" w:cs="Times New Roman" w:eastAsia="Times New Roman" w:hAnsi="Times New Roman"/>
                <w:sz w:val="18"/>
                <w:szCs w:val="18"/>
                <w:color w:val="auto"/>
              </w:rPr>
              <w:t>Glossary of Terms</w:t>
            </w:r>
          </w:p>
        </w:tc>
        <w:tc>
          <w:tcPr>
            <w:tcW w:w="260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30</w:t>
            </w:r>
          </w:p>
        </w:tc>
        <w:tc>
          <w:tcPr>
            <w:tcW w:w="20" w:type="dxa"/>
            <w:vAlign w:val="bottom"/>
            <w:shd w:val="clear" w:color="auto" w:fill="CCEEFF"/>
          </w:tcPr>
          <w:p>
            <w:pPr>
              <w:spacing w:after="0"/>
              <w:rPr>
                <w:sz w:val="18"/>
                <w:szCs w:val="18"/>
                <w:color w:val="auto"/>
              </w:rPr>
            </w:pPr>
          </w:p>
        </w:tc>
      </w:tr>
      <w:tr>
        <w:trPr>
          <w:trHeight w:val="216"/>
        </w:trPr>
        <w:tc>
          <w:tcPr>
            <w:tcW w:w="500" w:type="dxa"/>
            <w:vAlign w:val="bottom"/>
            <w:tcBorders>
              <w:top w:val="single" w:sz="8" w:color="CCEEFF"/>
            </w:tcBorders>
          </w:tcPr>
          <w:p>
            <w:pPr>
              <w:spacing w:after="0"/>
              <w:rPr>
                <w:sz w:val="18"/>
                <w:szCs w:val="18"/>
                <w:color w:val="auto"/>
              </w:rPr>
            </w:pPr>
          </w:p>
        </w:tc>
        <w:tc>
          <w:tcPr>
            <w:tcW w:w="6180" w:type="dxa"/>
            <w:vAlign w:val="bottom"/>
            <w:tcBorders>
              <w:top w:val="single" w:sz="8" w:color="CCEEFF"/>
            </w:tcBorders>
          </w:tcPr>
          <w:p>
            <w:pPr>
              <w:spacing w:after="0"/>
              <w:rPr>
                <w:sz w:val="18"/>
                <w:szCs w:val="18"/>
                <w:color w:val="auto"/>
              </w:rPr>
            </w:pPr>
          </w:p>
        </w:tc>
        <w:tc>
          <w:tcPr>
            <w:tcW w:w="242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500" w:type="dxa"/>
            <w:vAlign w:val="bottom"/>
            <w:shd w:val="clear" w:color="auto" w:fill="CCEEFF"/>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bl>
    <w:p>
      <w:pPr>
        <w:jc w:val="center"/>
        <w:ind w:right="20"/>
        <w:spacing w:after="0"/>
        <w:rPr>
          <w:sz w:val="20"/>
          <w:szCs w:val="20"/>
          <w:color w:val="auto"/>
        </w:rPr>
      </w:pPr>
      <w:r>
        <w:rPr>
          <w:rFonts w:ascii="Times New Roman" w:cs="Times New Roman" w:eastAsia="Times New Roman" w:hAnsi="Times New Roman"/>
          <w:sz w:val="18"/>
          <w:szCs w:val="18"/>
          <w:color w:val="auto"/>
        </w:rPr>
        <w:t>909 Rose Avenue, Suite 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5906135"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301-998-8100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300"/>
          </w:cols>
          <w:pgMar w:left="1300" w:top="1022" w:right="1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214" w:lineRule="exact"/>
        <w:rPr>
          <w:sz w:val="20"/>
          <w:szCs w:val="20"/>
          <w:color w:val="auto"/>
        </w:rPr>
      </w:pPr>
    </w:p>
    <w:p>
      <w:pPr>
        <w:ind w:left="980" w:right="160" w:hanging="324"/>
        <w:spacing w:after="0" w:line="26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100" w:hanging="324"/>
        <w:spacing w:after="0" w:line="250"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Times New Roman" w:cs="Times New Roman" w:eastAsia="Times New Roman" w:hAnsi="Times New Roman"/>
          <w:sz w:val="18"/>
          <w:szCs w:val="18"/>
          <w:i w:val="1"/>
          <w:iCs w:val="1"/>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general economic conditions, including local economic conditions in our geographic markets;</w:t>
      </w:r>
    </w:p>
    <w:p>
      <w:pPr>
        <w:spacing w:after="0" w:line="9" w:lineRule="exact"/>
        <w:rPr>
          <w:rFonts w:ascii="Times New Roman" w:cs="Times New Roman" w:eastAsia="Times New Roman" w:hAnsi="Times New Roman"/>
          <w:sz w:val="18"/>
          <w:szCs w:val="18"/>
          <w:i w:val="1"/>
          <w:iCs w:val="1"/>
          <w:color w:val="auto"/>
        </w:rPr>
      </w:pPr>
    </w:p>
    <w:p>
      <w:pPr>
        <w:ind w:left="980" w:right="36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jc w:val="both"/>
        <w:ind w:left="980" w:right="420" w:hanging="324"/>
        <w:spacing w:after="0" w:line="250"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Times New Roman" w:cs="Times New Roman" w:eastAsia="Times New Roman" w:hAnsi="Times New Roman"/>
          <w:sz w:val="18"/>
          <w:szCs w:val="18"/>
          <w:color w:val="auto"/>
        </w:rPr>
      </w:pPr>
    </w:p>
    <w:p>
      <w:pPr>
        <w:ind w:left="980" w:right="40" w:hanging="324"/>
        <w:spacing w:after="0" w:line="253" w:lineRule="auto"/>
        <w:tabs>
          <w:tab w:leader="none" w:pos="97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1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87"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757555</wp:posOffset>
            </wp:positionV>
            <wp:extent cx="2451735" cy="960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45173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NEWS RELEASE</w:t>
            </w:r>
          </w:p>
        </w:tc>
        <w:tc>
          <w:tcPr>
            <w:tcW w:w="5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www.federalrealty.com</w:t>
            </w:r>
          </w:p>
        </w:tc>
      </w:tr>
      <w:tr>
        <w:trPr>
          <w:trHeight w:val="321"/>
        </w:trPr>
        <w:tc>
          <w:tcPr>
            <w:tcW w:w="5340" w:type="dxa"/>
            <w:vAlign w:val="bottom"/>
          </w:tcPr>
          <w:p>
            <w:pPr>
              <w:ind w:left="20"/>
              <w:spacing w:after="0"/>
              <w:rPr>
                <w:sz w:val="20"/>
                <w:szCs w:val="20"/>
                <w:color w:val="auto"/>
              </w:rPr>
            </w:pPr>
            <w:r>
              <w:rPr>
                <w:rFonts w:ascii="Arial" w:cs="Arial" w:eastAsia="Arial" w:hAnsi="Arial"/>
                <w:sz w:val="17"/>
                <w:szCs w:val="17"/>
                <w:b w:val="1"/>
                <w:bCs w:val="1"/>
                <w:color w:val="auto"/>
              </w:rPr>
              <w:t>FOR IMMEDIATE RELEASE</w:t>
            </w:r>
          </w:p>
        </w:tc>
        <w:tc>
          <w:tcPr>
            <w:tcW w:w="5540" w:type="dxa"/>
            <w:vAlign w:val="bottom"/>
          </w:tcPr>
          <w:p>
            <w:pPr>
              <w:spacing w:after="0"/>
              <w:rPr>
                <w:sz w:val="24"/>
                <w:szCs w:val="24"/>
                <w:color w:val="auto"/>
              </w:rPr>
            </w:pPr>
          </w:p>
        </w:tc>
      </w:tr>
      <w:tr>
        <w:trPr>
          <w:trHeight w:val="390"/>
        </w:trPr>
        <w:tc>
          <w:tcPr>
            <w:tcW w:w="5340" w:type="dxa"/>
            <w:vAlign w:val="bottom"/>
          </w:tcPr>
          <w:p>
            <w:pPr>
              <w:ind w:left="20"/>
              <w:spacing w:after="0"/>
              <w:rPr>
                <w:sz w:val="20"/>
                <w:szCs w:val="20"/>
                <w:color w:val="auto"/>
              </w:rPr>
            </w:pPr>
            <w:r>
              <w:rPr>
                <w:rFonts w:ascii="Arial" w:cs="Arial" w:eastAsia="Arial" w:hAnsi="Arial"/>
                <w:sz w:val="18"/>
                <w:szCs w:val="18"/>
                <w:i w:val="1"/>
                <w:iCs w:val="1"/>
                <w:color w:val="auto"/>
              </w:rPr>
              <w:t>Investor Inquiries:</w:t>
            </w:r>
          </w:p>
        </w:tc>
        <w:tc>
          <w:tcPr>
            <w:tcW w:w="554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Leah Andress Brady</w:t>
            </w:r>
          </w:p>
        </w:tc>
        <w:tc>
          <w:tcPr>
            <w:tcW w:w="554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Vice President, Investor Relations</w:t>
            </w:r>
          </w:p>
        </w:tc>
        <w:tc>
          <w:tcPr>
            <w:tcW w:w="5540" w:type="dxa"/>
            <w:vAlign w:val="bottom"/>
          </w:tcPr>
          <w:p>
            <w:pPr>
              <w:jc w:val="right"/>
              <w:spacing w:after="0"/>
              <w:rPr>
                <w:sz w:val="20"/>
                <w:szCs w:val="20"/>
                <w:color w:val="auto"/>
              </w:rPr>
            </w:pPr>
            <w:r>
              <w:rPr>
                <w:rFonts w:ascii="Arial" w:cs="Arial" w:eastAsia="Arial" w:hAnsi="Arial"/>
                <w:sz w:val="18"/>
                <w:szCs w:val="18"/>
                <w:color w:val="auto"/>
              </w:rPr>
              <w:t>Director, Corporate Communications</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301.998.8265</w:t>
            </w:r>
          </w:p>
        </w:tc>
        <w:tc>
          <w:tcPr>
            <w:tcW w:w="554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39"/>
        </w:trPr>
        <w:tc>
          <w:tcPr>
            <w:tcW w:w="5340" w:type="dxa"/>
            <w:vAlign w:val="bottom"/>
          </w:tcPr>
          <w:p>
            <w:pPr>
              <w:ind w:left="20"/>
              <w:spacing w:after="0"/>
              <w:rPr>
                <w:sz w:val="20"/>
                <w:szCs w:val="20"/>
                <w:color w:val="auto"/>
              </w:rPr>
            </w:pPr>
            <w:r>
              <w:rPr>
                <w:rFonts w:ascii="Arial" w:cs="Arial" w:eastAsia="Arial" w:hAnsi="Arial"/>
                <w:sz w:val="18"/>
                <w:szCs w:val="18"/>
                <w:color w:val="auto"/>
              </w:rPr>
              <w:t>lbrady@federalrealty.com</w:t>
            </w:r>
          </w:p>
        </w:tc>
        <w:tc>
          <w:tcPr>
            <w:tcW w:w="5540" w:type="dxa"/>
            <w:vAlign w:val="bottom"/>
          </w:tcPr>
          <w:p>
            <w:pPr>
              <w:jc w:val="right"/>
              <w:spacing w:after="0"/>
              <w:rPr>
                <w:sz w:val="20"/>
                <w:szCs w:val="20"/>
                <w:color w:val="auto"/>
              </w:rPr>
            </w:pPr>
            <w:r>
              <w:rPr>
                <w:rFonts w:ascii="Arial" w:cs="Arial" w:eastAsia="Arial" w:hAnsi="Arial"/>
                <w:sz w:val="18"/>
                <w:szCs w:val="18"/>
                <w:color w:val="auto"/>
              </w:rPr>
              <w:t>bpomar@federalrealty.com</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2022 Operating Results and 55th Annual Dividend Increase</w:t>
      </w:r>
    </w:p>
    <w:p>
      <w:pPr>
        <w:spacing w:after="0" w:line="293" w:lineRule="exact"/>
        <w:rPr>
          <w:sz w:val="20"/>
          <w:szCs w:val="20"/>
          <w:color w:val="auto"/>
        </w:rPr>
      </w:pPr>
    </w:p>
    <w:p>
      <w:pPr>
        <w:jc w:val="both"/>
        <w:ind w:right="320"/>
        <w:spacing w:after="0" w:line="386" w:lineRule="auto"/>
        <w:rPr>
          <w:sz w:val="20"/>
          <w:szCs w:val="20"/>
          <w:color w:val="auto"/>
        </w:rPr>
      </w:pPr>
      <w:r>
        <w:rPr>
          <w:rFonts w:ascii="Arial" w:cs="Arial" w:eastAsia="Arial" w:hAnsi="Arial"/>
          <w:sz w:val="18"/>
          <w:szCs w:val="18"/>
          <w:color w:val="auto"/>
        </w:rPr>
        <w:t xml:space="preserve">NORTH BETHESDA, Md. (August 4, 2022)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second quarter ended June 30, 2022. For the three months ended June 30, 2022 and 2021, net income available for common shareholders was $0.75 per diluted share and $0.57 per diluted share,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the quarter and subsequent events include:</w:t>
      </w:r>
    </w:p>
    <w:p>
      <w:pPr>
        <w:spacing w:after="0" w:line="239" w:lineRule="exact"/>
        <w:rPr>
          <w:sz w:val="20"/>
          <w:szCs w:val="20"/>
          <w:color w:val="auto"/>
        </w:rPr>
      </w:pP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record funds from operations available to common shareholders (FFO) per diluted share of $1.65 for the quarter compared to $1.41 for the second quarter 2021.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comparable property operating income (POI) growth of 8.2% for the second quarter.</w:t>
      </w:r>
    </w:p>
    <w:p>
      <w:pPr>
        <w:spacing w:after="0" w:line="103" w:lineRule="exact"/>
        <w:rPr>
          <w:rFonts w:ascii="Arial" w:cs="Arial" w:eastAsia="Arial" w:hAnsi="Arial"/>
          <w:sz w:val="18"/>
          <w:szCs w:val="18"/>
          <w:color w:val="auto"/>
        </w:rPr>
      </w:pPr>
    </w:p>
    <w:p>
      <w:pPr>
        <w:ind w:left="660" w:right="32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record levels of leasing with 132 signed leases for 562,111 square feet of comparable space in the second quarter, our most active quarter on record.</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portfolio was 92.0% occupied and 94.1% leased, representing year-over-year increases of 240 basis points and 140 basis points, respectively.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210 basis point spread between leased and occupied.</w:t>
      </w:r>
    </w:p>
    <w:p>
      <w:pPr>
        <w:spacing w:after="0" w:line="103" w:lineRule="exact"/>
        <w:rPr>
          <w:rFonts w:ascii="Arial" w:cs="Arial" w:eastAsia="Arial" w:hAnsi="Arial"/>
          <w:sz w:val="18"/>
          <w:szCs w:val="18"/>
          <w:color w:val="auto"/>
        </w:rPr>
      </w:pPr>
    </w:p>
    <w:p>
      <w:pPr>
        <w:ind w:left="660" w:right="400" w:hanging="328"/>
        <w:spacing w:after="0" w:line="36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strong small shop leasing, ending the quarter at 89.3% leased, an increase of 360 basis points year over year and an increase of 580 basis points since the COVID-era low.</w:t>
      </w:r>
    </w:p>
    <w:p>
      <w:pPr>
        <w:ind w:left="66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quarter and subsequent to quarter end, acquired 3 assets which total over 1 million square feet on 93 acres of land for a total purchase price of $434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the regular quarterly cash dividend to $1.08 per common share, resulting in an indicated annual rate of $4.32 per common</w:t>
      </w:r>
    </w:p>
    <w:p>
      <w:pPr>
        <w:spacing w:after="0" w:line="101" w:lineRule="exact"/>
        <w:rPr>
          <w:rFonts w:ascii="Arial" w:cs="Arial" w:eastAsia="Arial" w:hAnsi="Arial"/>
          <w:sz w:val="18"/>
          <w:szCs w:val="18"/>
          <w:color w:val="auto"/>
        </w:rPr>
      </w:pPr>
    </w:p>
    <w:p>
      <w:pPr>
        <w:ind w:left="660"/>
        <w:spacing w:after="0" w:line="317" w:lineRule="auto"/>
        <w:rPr>
          <w:rFonts w:ascii="Arial" w:cs="Arial" w:eastAsia="Arial" w:hAnsi="Arial"/>
          <w:sz w:val="18"/>
          <w:szCs w:val="18"/>
          <w:color w:val="auto"/>
        </w:rPr>
      </w:pPr>
      <w:r>
        <w:rPr>
          <w:rFonts w:ascii="Arial" w:cs="Arial" w:eastAsia="Arial" w:hAnsi="Arial"/>
          <w:sz w:val="18"/>
          <w:szCs w:val="18"/>
          <w:color w:val="auto"/>
        </w:rPr>
        <w:t>share. This increase represents the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that Federal Realty has increased its common dividend, the longest record of consecutive annual dividend increases in the REIT sector.</w:t>
      </w:r>
    </w:p>
    <w:p>
      <w:pPr>
        <w:ind w:left="660" w:right="20" w:hanging="328"/>
        <w:spacing w:after="0" w:line="36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2022 earnings per diluted share guidance to $2.50 - $2.65 and increased 2022 FFO per diluted share guidance to $6.10 - $6.25.</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Comparable POI growth expectations to 5.5% - 7.0%.</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the Company's annual Environmental, Social and Governance Report.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jc w:val="both"/>
        <w:spacing w:after="0" w:line="3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“A record quarter for Federal Realty; from funds from operations per share of $1.65, to continued record leasing levels, to celebrating our 55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of increased common dividends,” said Donald C. Wood, Chief Executive Officer. “The quality of our assets, our sector leading demographics and high-barrier markets give us confidence that our multi-faceted business plan is the right one to serve the consumer in today’s economy.”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w:t>
      </w:r>
      <w:r>
        <w:rPr>
          <w:rFonts w:ascii="Arial" w:cs="Arial" w:eastAsia="Arial" w:hAnsi="Arial"/>
          <w:sz w:val="18"/>
          <w:szCs w:val="18"/>
          <w:color w:val="auto"/>
        </w:rPr>
        <w:t>e</w:t>
      </w:r>
    </w:p>
    <w:p>
      <w:pPr>
        <w:spacing w:after="0" w:line="252" w:lineRule="exact"/>
        <w:rPr>
          <w:sz w:val="20"/>
          <w:szCs w:val="20"/>
          <w:color w:val="auto"/>
        </w:rPr>
      </w:pPr>
    </w:p>
    <w:p>
      <w:pPr>
        <w:ind w:right="160"/>
        <w:spacing w:after="0" w:line="396" w:lineRule="auto"/>
        <w:rPr>
          <w:sz w:val="20"/>
          <w:szCs w:val="20"/>
          <w:color w:val="auto"/>
        </w:rPr>
      </w:pPr>
      <w:r>
        <w:rPr>
          <w:rFonts w:ascii="Arial" w:cs="Arial" w:eastAsia="Arial" w:hAnsi="Arial"/>
          <w:sz w:val="18"/>
          <w:szCs w:val="18"/>
          <w:color w:val="auto"/>
        </w:rPr>
        <w:t>Net income available for common shareholders was $59.7 million and earnings per diluted share was $0.75 for second quarter 2022 versus $44.2 million and $0.57 respectively, for second quarter 2021.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FFO</w:t>
      </w:r>
    </w:p>
    <w:p>
      <w:pPr>
        <w:spacing w:after="0" w:line="250" w:lineRule="exact"/>
        <w:rPr>
          <w:sz w:val="20"/>
          <w:szCs w:val="20"/>
          <w:color w:val="auto"/>
        </w:rPr>
      </w:pPr>
    </w:p>
    <w:p>
      <w:pPr>
        <w:ind w:right="360"/>
        <w:spacing w:after="0" w:line="396" w:lineRule="auto"/>
        <w:rPr>
          <w:sz w:val="20"/>
          <w:szCs w:val="20"/>
          <w:color w:val="auto"/>
        </w:rPr>
      </w:pPr>
      <w:r>
        <w:rPr>
          <w:rFonts w:ascii="Arial" w:cs="Arial" w:eastAsia="Arial" w:hAnsi="Arial"/>
          <w:sz w:val="18"/>
          <w:szCs w:val="18"/>
          <w:color w:val="auto"/>
        </w:rPr>
        <w:t>In the second quarter 2022, Federal Realty generated FFO of $131.6 million, or $1.65 per diluted share. This compares to FFO of $110.1 million, or $1.41 per diluted share, in second quarter 2021.</w:t>
      </w:r>
    </w:p>
    <w:p>
      <w:pPr>
        <w:spacing w:after="0" w:line="86" w:lineRule="exact"/>
        <w:rPr>
          <w:sz w:val="20"/>
          <w:szCs w:val="20"/>
          <w:color w:val="auto"/>
        </w:rPr>
      </w:pPr>
    </w:p>
    <w:p>
      <w:pPr>
        <w:ind w:right="620"/>
        <w:spacing w:after="0" w:line="396"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Occupancy</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The portfolio was 92.0% occupied as of June 30, 2022, an increase of 80 basis points quarter-over-quarter and an increase of 240 basis points year-over-year. The portfolio was 94.1% leased as of June 30, 2022, an increase of 40 basis points quarter-over-quarter and an increase of 140 basis points year-over-year. The spread between our leased and occupied percentages was 210 basis points at the end of the second quarter.</w:t>
      </w:r>
    </w:p>
    <w:p>
      <w:pPr>
        <w:spacing w:after="0" w:line="107" w:lineRule="exact"/>
        <w:rPr>
          <w:sz w:val="20"/>
          <w:szCs w:val="20"/>
          <w:color w:val="auto"/>
        </w:rPr>
      </w:pPr>
    </w:p>
    <w:p>
      <w:pPr>
        <w:ind w:right="300"/>
        <w:spacing w:after="0" w:line="396" w:lineRule="auto"/>
        <w:rPr>
          <w:sz w:val="20"/>
          <w:szCs w:val="20"/>
          <w:color w:val="auto"/>
        </w:rPr>
      </w:pPr>
      <w:r>
        <w:rPr>
          <w:rFonts w:ascii="Arial" w:cs="Arial" w:eastAsia="Arial" w:hAnsi="Arial"/>
          <w:sz w:val="18"/>
          <w:szCs w:val="18"/>
          <w:color w:val="auto"/>
        </w:rPr>
        <w:t>Additionally, our comparable residential properties were 98.5% leased as of June 30, 2022, a sequential increase of 100 basis points over first quarter.</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 Activity</w:t>
      </w:r>
    </w:p>
    <w:p>
      <w:pPr>
        <w:spacing w:after="0" w:line="250" w:lineRule="exact"/>
        <w:rPr>
          <w:sz w:val="20"/>
          <w:szCs w:val="20"/>
          <w:color w:val="auto"/>
        </w:rPr>
      </w:pPr>
    </w:p>
    <w:p>
      <w:pPr>
        <w:jc w:val="both"/>
        <w:spacing w:after="0" w:line="377" w:lineRule="auto"/>
        <w:rPr>
          <w:sz w:val="20"/>
          <w:szCs w:val="20"/>
          <w:color w:val="auto"/>
        </w:rPr>
      </w:pPr>
      <w:r>
        <w:rPr>
          <w:rFonts w:ascii="Arial" w:cs="Arial" w:eastAsia="Arial" w:hAnsi="Arial"/>
          <w:sz w:val="18"/>
          <w:szCs w:val="18"/>
          <w:color w:val="auto"/>
        </w:rPr>
        <w:t>During the second quarter 2022, Federal Realty signed 137 leases for 577,338 square feet of retail space. On a comparable space basis (i.e., spaces for which there was a former tenant), Federal Realty leased 562,111 square feet at an average rent of $35.86 per square foot compared to the average contractual rent of $34.29 per square foot for the last year of the prior leases, representing a cash basis rollover growth on those comparable spaces of 5%, 13% on a straight-line basis.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Activity</w:t>
      </w:r>
    </w:p>
    <w:p>
      <w:pPr>
        <w:spacing w:after="0" w:line="250" w:lineRule="exact"/>
        <w:rPr>
          <w:sz w:val="20"/>
          <w:szCs w:val="20"/>
          <w:color w:val="auto"/>
        </w:rPr>
      </w:pPr>
    </w:p>
    <w:p>
      <w:pPr>
        <w:jc w:val="both"/>
        <w:spacing w:after="0" w:line="396" w:lineRule="auto"/>
        <w:rPr>
          <w:sz w:val="20"/>
          <w:szCs w:val="20"/>
          <w:color w:val="auto"/>
        </w:rPr>
      </w:pPr>
      <w:r>
        <w:rPr>
          <w:rFonts w:ascii="Arial" w:cs="Arial" w:eastAsia="Arial" w:hAnsi="Arial"/>
          <w:sz w:val="18"/>
          <w:szCs w:val="18"/>
          <w:color w:val="auto"/>
        </w:rPr>
        <w:t>During the quarter and subsequent to quarter end, we acquired 3 assets which total 1 million square feet on 93 acres of land for a total purchase price of $434 million.</w:t>
      </w:r>
    </w:p>
    <w:p>
      <w:pPr>
        <w:spacing w:after="0" w:line="86" w:lineRule="exact"/>
        <w:rPr>
          <w:sz w:val="20"/>
          <w:szCs w:val="20"/>
          <w:color w:val="auto"/>
        </w:rPr>
      </w:pPr>
    </w:p>
    <w:p>
      <w:pPr>
        <w:ind w:left="660" w:hanging="328"/>
        <w:spacing w:after="0" w:line="39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July 18, 2022 – Federal Realty acquired a 214,000 square foot office building adjacent to Hilton Village in Scottsdale, Arizona at the entrance to the town of Paradise Valley, the most affluent community in the greater</w:t>
      </w:r>
    </w:p>
    <w:p>
      <w:pPr>
        <w:sectPr>
          <w:pgSz w:w="11900" w:h="16838" w:orient="portrait"/>
          <w:cols w:equalWidth="0" w:num="1">
            <w:col w:w="11240"/>
          </w:cols>
          <w:pgMar w:left="320" w:top="1225" w:right="3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225" w:right="339" w:bottom="1440" w:gutter="0" w:footer="0" w:header="0"/>
          <w:type w:val="continuous"/>
        </w:sectPr>
      </w:pPr>
    </w:p>
    <w:bookmarkStart w:id="7" w:name="page8"/>
    <w:bookmarkEnd w:id="7"/>
    <w:p>
      <w:pPr>
        <w:ind w:left="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Phoenix market for $53.6 million. The office building will be integrated into Federal’s existing Hilton Village retail asset.</w:t>
      </w:r>
    </w:p>
    <w:p>
      <w:pPr>
        <w:spacing w:after="0" w:line="104" w:lineRule="exact"/>
        <w:rPr>
          <w:sz w:val="20"/>
          <w:szCs w:val="20"/>
          <w:color w:val="auto"/>
        </w:rPr>
      </w:pPr>
    </w:p>
    <w:p>
      <w:pPr>
        <w:jc w:val="both"/>
        <w:ind w:left="660" w:hanging="328"/>
        <w:spacing w:after="0" w:line="3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July 27, 2022 – Federal Realty acquired The Shops at Pembroke Gardens, a 392,000 square foot super regional shopping center on 41 acres located in Broward County, Florida, adjacent to I-75 at the Pines Boulevard interchange, for $180.5 million. The property is anchored by Nike, Old Navy, DSW and Barnes &amp; Noble with the opportunity to increase value over time through remerchandising, increasing rents and incremental capital investment.</w:t>
      </w:r>
    </w:p>
    <w:p>
      <w:pPr>
        <w:spacing w:after="0" w:line="3" w:lineRule="exact"/>
        <w:rPr>
          <w:rFonts w:ascii="Arial" w:cs="Arial" w:eastAsia="Arial" w:hAnsi="Arial"/>
          <w:sz w:val="18"/>
          <w:szCs w:val="18"/>
          <w:color w:val="auto"/>
        </w:rPr>
      </w:pPr>
    </w:p>
    <w:p>
      <w:pPr>
        <w:jc w:val="both"/>
        <w:ind w:left="660" w:hanging="328"/>
        <w:spacing w:after="0" w:line="3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July 27, 2022 - Federal Realty closed on phase two of the previously announced acquisition of Kingstowne Towne Center in Kingstowne, Virginia, for $100 million representing a total purchase price of $200 million (phase one closed April 2022). Combined, the property comprises 410,000 square feet of retail space on 45 acres of land and is anchored by Safeway, Giant, T.J. Maxx, Ross Dress for Less and HomeGoods.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52" w:lineRule="exact"/>
        <w:rPr>
          <w:sz w:val="20"/>
          <w:szCs w:val="20"/>
          <w:color w:val="auto"/>
        </w:rPr>
      </w:pPr>
    </w:p>
    <w:p>
      <w:pPr>
        <w:ind w:right="500"/>
        <w:spacing w:after="0" w:line="377" w:lineRule="auto"/>
        <w:rPr>
          <w:sz w:val="20"/>
          <w:szCs w:val="20"/>
          <w:color w:val="auto"/>
        </w:rPr>
      </w:pPr>
      <w:r>
        <w:rPr>
          <w:rFonts w:ascii="Arial" w:cs="Arial" w:eastAsia="Arial" w:hAnsi="Arial"/>
          <w:sz w:val="18"/>
          <w:szCs w:val="18"/>
          <w:color w:val="auto"/>
        </w:rPr>
        <w:t>Federal Realty announced today that its Board of Trustees increased the regular quarterly cash dividend to $1.08 per common share, resulting in an indicated annual rate of $4.32 per common share. The regular common dividend will be payable on October 17, 2022 to common shareholders of record as of September 22, 2022. This increase represents the 55th consecutive year that Federal Realty has increased its common dividend, the longest record of consecutive annual dividend increases in the REIT sector.</w:t>
      </w:r>
    </w:p>
    <w:p>
      <w:pPr>
        <w:spacing w:after="0" w:line="103" w:lineRule="exact"/>
        <w:rPr>
          <w:sz w:val="20"/>
          <w:szCs w:val="20"/>
          <w:color w:val="auto"/>
        </w:rPr>
      </w:pPr>
    </w:p>
    <w:p>
      <w:pPr>
        <w:jc w:val="both"/>
        <w:spacing w:after="0" w:line="378" w:lineRule="auto"/>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October 17, 2022 to shareholders of record as of October 3,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w:t>
      </w:r>
    </w:p>
    <w:p>
      <w:pPr>
        <w:spacing w:after="0" w:line="252" w:lineRule="exact"/>
        <w:rPr>
          <w:sz w:val="20"/>
          <w:szCs w:val="20"/>
          <w:color w:val="auto"/>
        </w:rPr>
      </w:pPr>
    </w:p>
    <w:p>
      <w:pPr>
        <w:ind w:left="660" w:hanging="328"/>
        <w:spacing w:after="0" w:line="3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June 1, 2022 – Federal Realty issued its 2021 Environmental, Social and Governance Report highlighting the Company's commitment to its ESG initiatives and accomplishments.</w:t>
      </w:r>
    </w:p>
    <w:p>
      <w:pPr>
        <w:ind w:left="660" w:hanging="328"/>
        <w:spacing w:after="0" w:line="39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June 21, 2022 – Federal Realty was named to The Washington Post’s 2022 Top Workplaces list for its leadership in employee satisfaction and engagement.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52" w:lineRule="exact"/>
        <w:rPr>
          <w:sz w:val="20"/>
          <w:szCs w:val="20"/>
          <w:color w:val="auto"/>
        </w:rPr>
      </w:pPr>
    </w:p>
    <w:p>
      <w:pPr>
        <w:ind w:right="440"/>
        <w:spacing w:after="0" w:line="396" w:lineRule="auto"/>
        <w:rPr>
          <w:sz w:val="20"/>
          <w:szCs w:val="20"/>
          <w:color w:val="auto"/>
        </w:rPr>
      </w:pPr>
      <w:r>
        <w:rPr>
          <w:rFonts w:ascii="Arial" w:cs="Arial" w:eastAsia="Arial" w:hAnsi="Arial"/>
          <w:sz w:val="18"/>
          <w:szCs w:val="18"/>
          <w:color w:val="auto"/>
        </w:rPr>
        <w:t>Federal Realty increased its 2022 guidance for earnings per diluted share to $2.50 - $2.65 from $2.36 - $2.56 and 2022 FFO per diluted share to $6.10 - $6.25 from $5.85 - $6.05.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increased comparable POI growth expectations to 5.5% - 7.0% from 3.5% - 5.0%.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22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Conference Call Information</w:t>
      </w:r>
    </w:p>
    <w:p>
      <w:pPr>
        <w:spacing w:after="0" w:line="252"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Federal Realty’s management team will present an in-depth discussion of Federal Realty’s operating performance on its second quarter 2022 earnings conference call, which is scheduled for Thursday, August 4, 2022 at 11:00 AM ET. To participate, please call 877.407.9208 five to ten minutes prior to the call start time and use the passcode 13729950 (required). The teleconference can also be accessed via a live webcast at www.federalrealty.com in the Investors section. A replay of the webcast will be available on Federal Realty’s website at www.federalrealty.com. A telephonic replay of the conference call will also be available through August 18, 2022 by dialing 844.512.2921; Passcode: 13729950.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39"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105 properties include approximately 3,100 tenants, in 25 million square feet, and approximately 3,400 residential units.</w:t>
      </w:r>
    </w:p>
    <w:p>
      <w:pPr>
        <w:spacing w:after="0" w:line="96" w:lineRule="exact"/>
        <w:rPr>
          <w:sz w:val="20"/>
          <w:szCs w:val="20"/>
          <w:color w:val="auto"/>
        </w:rPr>
      </w:pPr>
    </w:p>
    <w:p>
      <w:pPr>
        <w:ind w:right="120"/>
        <w:spacing w:after="0" w:line="386" w:lineRule="auto"/>
        <w:rPr>
          <w:sz w:val="20"/>
          <w:szCs w:val="20"/>
          <w:color w:val="auto"/>
        </w:rPr>
      </w:pPr>
      <w:r>
        <w:rPr>
          <w:rFonts w:ascii="Arial" w:cs="Arial" w:eastAsia="Arial" w:hAnsi="Arial"/>
          <w:sz w:val="18"/>
          <w:szCs w:val="18"/>
          <w:color w:val="auto"/>
        </w:rPr>
        <w:t>Federal Realty has increased its quarterly dividends to its shareholders for 55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210" w:lineRule="exact"/>
        <w:rPr>
          <w:sz w:val="20"/>
          <w:szCs w:val="20"/>
          <w:color w:val="auto"/>
        </w:rPr>
      </w:pPr>
    </w:p>
    <w:p>
      <w:pPr>
        <w:spacing w:after="0" w:line="259"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2022, and include the following:</w:t>
      </w:r>
    </w:p>
    <w:p>
      <w:pPr>
        <w:spacing w:after="0" w:line="19" w:lineRule="exact"/>
        <w:rPr>
          <w:sz w:val="20"/>
          <w:szCs w:val="20"/>
          <w:color w:val="auto"/>
        </w:rPr>
      </w:pPr>
    </w:p>
    <w:p>
      <w:pPr>
        <w:ind w:left="980" w:right="60" w:hanging="324"/>
        <w:spacing w:after="0" w:line="245" w:lineRule="auto"/>
        <w:tabs>
          <w:tab w:leader="none" w:pos="975" w:val="left"/>
        </w:tabs>
        <w:numPr>
          <w:ilvl w:val="0"/>
          <w:numId w:val="8"/>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 or to fill existing vacancy;</w:t>
      </w:r>
    </w:p>
    <w:p>
      <w:pPr>
        <w:ind w:left="980" w:right="200" w:hanging="324"/>
        <w:spacing w:after="0" w:line="254"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spacing w:after="0" w:line="1" w:lineRule="exact"/>
        <w:rPr>
          <w:rFonts w:ascii="Arial" w:cs="Arial" w:eastAsia="Arial" w:hAnsi="Arial"/>
          <w:sz w:val="14"/>
          <w:szCs w:val="14"/>
          <w:i w:val="1"/>
          <w:iCs w:val="1"/>
          <w:color w:val="auto"/>
        </w:rPr>
      </w:pPr>
    </w:p>
    <w:p>
      <w:pPr>
        <w:ind w:left="980" w:hanging="324"/>
        <w:spacing w:after="0" w:line="257"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Arial" w:cs="Arial" w:eastAsia="Arial" w:hAnsi="Arial"/>
          <w:sz w:val="14"/>
          <w:szCs w:val="14"/>
          <w:i w:val="1"/>
          <w:iCs w:val="1"/>
          <w:color w:val="auto"/>
        </w:rPr>
      </w:pPr>
    </w:p>
    <w:p>
      <w:pPr>
        <w:ind w:left="980" w:hanging="324"/>
        <w:spacing w:after="0"/>
        <w:tabs>
          <w:tab w:leader="none" w:pos="9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4" w:lineRule="exact"/>
        <w:rPr>
          <w:rFonts w:ascii="Arial" w:cs="Arial" w:eastAsia="Arial" w:hAnsi="Arial"/>
          <w:sz w:val="14"/>
          <w:szCs w:val="14"/>
          <w:i w:val="1"/>
          <w:iCs w:val="1"/>
          <w:color w:val="auto"/>
        </w:rPr>
      </w:pPr>
    </w:p>
    <w:p>
      <w:pPr>
        <w:ind w:left="980" w:hanging="324"/>
        <w:spacing w:after="0"/>
        <w:tabs>
          <w:tab w:leader="none" w:pos="980"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4" w:lineRule="exact"/>
        <w:rPr>
          <w:rFonts w:ascii="Arial" w:cs="Arial" w:eastAsia="Arial" w:hAnsi="Arial"/>
          <w:sz w:val="14"/>
          <w:szCs w:val="14"/>
          <w:i w:val="1"/>
          <w:iCs w:val="1"/>
          <w:color w:val="auto"/>
        </w:rPr>
      </w:pPr>
    </w:p>
    <w:p>
      <w:pPr>
        <w:ind w:left="980" w:right="320" w:hanging="324"/>
        <w:spacing w:after="0" w:line="251"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ind w:left="980" w:hanging="324"/>
        <w:spacing w:after="0" w:line="261"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spacing w:after="0" w:line="1" w:lineRule="exact"/>
        <w:rPr>
          <w:rFonts w:ascii="Arial" w:cs="Arial" w:eastAsia="Arial" w:hAnsi="Arial"/>
          <w:sz w:val="14"/>
          <w:szCs w:val="14"/>
          <w:i w:val="1"/>
          <w:iCs w:val="1"/>
          <w:color w:val="auto"/>
        </w:rPr>
      </w:pPr>
    </w:p>
    <w:p>
      <w:pPr>
        <w:ind w:left="980" w:right="40" w:hanging="324"/>
        <w:spacing w:after="0" w:line="262" w:lineRule="auto"/>
        <w:tabs>
          <w:tab w:leader="none" w:pos="976"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28" w:right="339" w:bottom="1440" w:gutter="0" w:footer="0" w:header="0"/>
        </w:sectPr>
      </w:pPr>
    </w:p>
    <w:bookmarkStart w:id="9" w:name="page10"/>
    <w:bookmarkEnd w:id="9"/>
    <w:p>
      <w:pPr>
        <w:spacing w:after="0" w:line="271" w:lineRule="auto"/>
        <w:rPr>
          <w:sz w:val="20"/>
          <w:szCs w:val="20"/>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6534785</wp:posOffset>
            </wp:positionH>
            <wp:positionV relativeFrom="page">
              <wp:posOffset>88900</wp:posOffset>
            </wp:positionV>
            <wp:extent cx="80581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2022 and subsequent quarterly reports on Form 10-Q.</w:t>
      </w:r>
    </w:p>
    <w:p>
      <w:pPr>
        <w:spacing w:after="0" w:line="200" w:lineRule="exact"/>
        <w:rPr>
          <w:sz w:val="20"/>
          <w:szCs w:val="20"/>
          <w:color w:val="auto"/>
        </w:rPr>
      </w:pPr>
    </w:p>
    <w:p>
      <w:pPr>
        <w:spacing w:after="0" w:line="3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320" w:top="1185" w:right="4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210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2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230,795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447,930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Mortgage interest income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520,870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449,786</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92,156</w:t>
            </w: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taxes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58,743</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23,104</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131,549</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170,499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305,552</w:t>
            </w: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50"/>
        </w:trPr>
        <w:tc>
          <w:tcPr>
            <w:tcW w:w="61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161,662</w:t>
            </w:r>
          </w:p>
        </w:tc>
        <w:tc>
          <w:tcPr>
            <w:tcW w:w="0" w:type="dxa"/>
            <w:vAlign w:val="bottom"/>
          </w:tcPr>
          <w:p>
            <w:pPr>
              <w:spacing w:after="0"/>
              <w:rPr>
                <w:sz w:val="1"/>
                <w:szCs w:val="1"/>
                <w:color w:val="auto"/>
              </w:rPr>
            </w:pPr>
          </w:p>
        </w:tc>
      </w:tr>
      <w:tr>
        <w:trPr>
          <w:trHeight w:val="270"/>
        </w:trPr>
        <w:tc>
          <w:tcPr>
            <w:tcW w:w="6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interest income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(63,262)</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94,440</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90,419</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77,160</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1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79,202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77,505</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78,855</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77,162</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560" w:type="dxa"/>
            <w:vAlign w:val="bottom"/>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r>
      <w:tr>
        <w:trPr>
          <w:trHeight w:val="128"/>
        </w:trPr>
        <w:tc>
          <w:tcPr>
            <w:tcW w:w="8560" w:type="dxa"/>
            <w:vAlign w:val="bottom"/>
          </w:tcPr>
          <w:p>
            <w:pPr>
              <w:spacing w:after="0"/>
              <w:rPr>
                <w:sz w:val="11"/>
                <w:szCs w:val="11"/>
                <w:color w:val="auto"/>
              </w:rPr>
            </w:pPr>
          </w:p>
        </w:tc>
        <w:tc>
          <w:tcPr>
            <w:tcW w:w="2620" w:type="dxa"/>
            <w:vAlign w:val="bottom"/>
            <w:gridSpan w:val="5"/>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r>
      <w:tr>
        <w:trPr>
          <w:trHeight w:val="190"/>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r>
      <w:tr>
        <w:trPr>
          <w:trHeight w:val="191"/>
        </w:trPr>
        <w:tc>
          <w:tcPr>
            <w:tcW w:w="8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 estate, at cost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Operating (including $2,219,568 and $2,207,648 of consolidated variable interest entities, respectively)</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9,076,274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8,814,791</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Construction-in-progress (including $24,865 and $18,752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630,287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607,271</w:t>
            </w:r>
          </w:p>
        </w:tc>
      </w:tr>
      <w:tr>
        <w:trPr>
          <w:trHeight w:val="223"/>
        </w:trPr>
        <w:tc>
          <w:tcPr>
            <w:tcW w:w="8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9,422,062</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Less accumulated depreciation and amortization (including $418,633 and $389,950 of consolidated variable</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(2,648,474)</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(2,531,095)</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real estate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7,058,087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6,890,967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162,132</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169,007</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90,743</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Mortgages payable, net (including $317,619 and $335,301 of consolidated variable interest entities,</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339,993</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Notes payable,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301,480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301,466</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3,406,895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3,406,088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235,168</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Dividends payable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86,538</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25,331</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72,661</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72,032</w:t>
            </w:r>
          </w:p>
        </w:tc>
      </w:tr>
      <w:tr>
        <w:trPr>
          <w:trHeight w:val="230"/>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206,187</w:t>
            </w:r>
          </w:p>
        </w:tc>
      </w:tr>
      <w:tr>
        <w:trPr>
          <w:trHeight w:val="223"/>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4,724,702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4,745,464</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213,708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5"/>
        </w:trPr>
        <w:tc>
          <w:tcPr>
            <w:tcW w:w="8560" w:type="dxa"/>
            <w:vAlign w:val="bottom"/>
            <w:shd w:val="clear" w:color="auto" w:fill="CCEEFF"/>
          </w:tcPr>
          <w:p>
            <w:pPr>
              <w:ind w:left="780"/>
              <w:spacing w:after="0" w:line="176" w:lineRule="exact"/>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share), 6,000 shares issued and outstanding</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176"/>
        </w:trPr>
        <w:tc>
          <w:tcPr>
            <w:tcW w:w="8560" w:type="dxa"/>
            <w:vAlign w:val="bottom"/>
          </w:tcPr>
          <w:p>
            <w:pPr>
              <w:ind w:left="780"/>
              <w:spacing w:after="0" w:line="176" w:lineRule="exact"/>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3"/>
        </w:trPr>
        <w:tc>
          <w:tcPr>
            <w:tcW w:w="85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392,878 and 399,896 shares issued and outstanding, respectively</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175"/>
        </w:trPr>
        <w:tc>
          <w:tcPr>
            <w:tcW w:w="856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Common shares of beneficial interest, $.01 par, 100,000,000 shares authorized, 80,896,804 and 78,603,305</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shares issued and outstanding, respectively</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r>
      <w:tr>
        <w:trPr>
          <w:trHeight w:val="230"/>
        </w:trPr>
        <w:tc>
          <w:tcPr>
            <w:tcW w:w="8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3,488,794</w:t>
            </w:r>
          </w:p>
        </w:tc>
      </w:tr>
      <w:tr>
        <w:trPr>
          <w:trHeight w:val="229"/>
        </w:trPr>
        <w:tc>
          <w:tcPr>
            <w:tcW w:w="85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(1,066,932)</w:t>
            </w:r>
          </w:p>
        </w:tc>
      </w:tr>
      <w:tr>
        <w:trPr>
          <w:trHeight w:val="230"/>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2,580,602</w:t>
            </w:r>
          </w:p>
        </w:tc>
      </w:tr>
      <w:tr>
        <w:trPr>
          <w:trHeight w:val="229"/>
        </w:trPr>
        <w:tc>
          <w:tcPr>
            <w:tcW w:w="85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82,546</w:t>
            </w:r>
          </w:p>
        </w:tc>
      </w:tr>
      <w:tr>
        <w:trPr>
          <w:trHeight w:val="223"/>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2,876,427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2,663,148</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7,810,441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7,622,320</w:t>
            </w:r>
          </w:p>
        </w:tc>
      </w:tr>
      <w:tr>
        <w:trPr>
          <w:trHeight w:val="20"/>
        </w:trPr>
        <w:tc>
          <w:tcPr>
            <w:tcW w:w="8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0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80"/>
          </w:cols>
          <w:pgMar w:left="360" w:top="1022" w:right="359" w:bottom="1440" w:gutter="0" w:footer="0" w:header="0"/>
          <w:type w:val="continuous"/>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3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820" w:type="dxa"/>
            <w:vAlign w:val="bottom"/>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64,467</w:t>
            </w: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48,059</w:t>
            </w: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119,195</w:t>
            </w:r>
          </w:p>
        </w:tc>
        <w:tc>
          <w:tcPr>
            <w:tcW w:w="12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CCEEFF"/>
            </w:tcBorders>
          </w:tcPr>
          <w:p>
            <w:pPr>
              <w:jc w:val="right"/>
              <w:ind w:right="131"/>
              <w:spacing w:after="0"/>
              <w:rPr>
                <w:sz w:val="20"/>
                <w:szCs w:val="20"/>
                <w:color w:val="auto"/>
              </w:rPr>
            </w:pPr>
            <w:r>
              <w:rPr>
                <w:rFonts w:ascii="Times New Roman" w:cs="Times New Roman" w:eastAsia="Times New Roman" w:hAnsi="Times New Roman"/>
                <w:sz w:val="18"/>
                <w:szCs w:val="18"/>
                <w:color w:val="auto"/>
              </w:rPr>
              <w:t>97,798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(5,535)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on sale of real estate and change in control of interest</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(17,428)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65,727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128,704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113,534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5,882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11,675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13,925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133,285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111,816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254,039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204,471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preferred shares (2)</w:t>
            </w:r>
          </w:p>
        </w:tc>
        <w:tc>
          <w:tcPr>
            <w:tcW w:w="280" w:type="dxa"/>
            <w:vAlign w:val="bottom"/>
          </w:tcPr>
          <w:p>
            <w:pPr>
              <w:spacing w:after="0"/>
              <w:rPr>
                <w:sz w:val="19"/>
                <w:szCs w:val="19"/>
                <w:color w:val="auto"/>
              </w:rPr>
            </w:pPr>
          </w:p>
        </w:tc>
        <w:tc>
          <w:tcPr>
            <w:tcW w:w="9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downREIT operating partnership units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5"/>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FFO</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131,644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110,147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250,792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201,254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gridSpan w:val="5"/>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diluted (2)(3)</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5820" w:type="dxa"/>
            <w:vAlign w:val="bottom"/>
            <w:gridSpan w:val="5"/>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79,952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78,203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line="176" w:lineRule="exact"/>
              <w:rPr>
                <w:sz w:val="20"/>
                <w:szCs w:val="20"/>
                <w:color w:val="auto"/>
              </w:rPr>
            </w:pPr>
            <w:r>
              <w:rPr>
                <w:rFonts w:ascii="Times New Roman" w:cs="Times New Roman" w:eastAsia="Times New Roman" w:hAnsi="Times New Roman"/>
                <w:sz w:val="18"/>
                <w:szCs w:val="18"/>
                <w:color w:val="auto"/>
              </w:rPr>
              <w:t>79,608</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31"/>
              <w:spacing w:after="0" w:line="176" w:lineRule="exact"/>
              <w:rPr>
                <w:sz w:val="20"/>
                <w:szCs w:val="20"/>
                <w:color w:val="auto"/>
              </w:rPr>
            </w:pPr>
            <w:r>
              <w:rPr>
                <w:rFonts w:ascii="Times New Roman" w:cs="Times New Roman" w:eastAsia="Times New Roman" w:hAnsi="Times New Roman"/>
                <w:sz w:val="18"/>
                <w:szCs w:val="18"/>
                <w:color w:val="auto"/>
              </w:rPr>
              <w:t>77,881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Borders>
              <w:bottom w:val="single" w:sz="8" w:color="CCEEFF"/>
            </w:tcBorders>
            <w:shd w:val="clear" w:color="auto" w:fill="CCEEFF"/>
          </w:tcPr>
          <w:p>
            <w:pPr>
              <w:spacing w:after="0"/>
              <w:rPr>
                <w:sz w:val="18"/>
                <w:szCs w:val="18"/>
                <w:color w:val="auto"/>
              </w:rPr>
            </w:pPr>
          </w:p>
        </w:tc>
        <w:tc>
          <w:tcPr>
            <w:tcW w:w="5820" w:type="dxa"/>
            <w:vAlign w:val="bottom"/>
            <w:tcBorders>
              <w:bottom w:val="single" w:sz="8" w:color="CCEEFF"/>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FFO per diluted share (3)</w:t>
            </w: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Dividends and Payout Ratios</w:t>
            </w:r>
          </w:p>
        </w:tc>
        <w:tc>
          <w:tcPr>
            <w:tcW w:w="3720" w:type="dxa"/>
            <w:vAlign w:val="bottom"/>
            <w:tcBorders>
              <w:bottom w:val="single" w:sz="8" w:color="CCEEFF"/>
            </w:tcBorders>
            <w:gridSpan w:val="4"/>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84,977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82,417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169,173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164,788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46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Summary of Capital Expenditures</w:t>
            </w:r>
          </w:p>
        </w:tc>
        <w:tc>
          <w:tcPr>
            <w:tcW w:w="33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73,428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117,176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145,071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201,877</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19,657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14,081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36,626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26,852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131,257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181,697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228,729</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13,868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101,530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136,608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237,941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6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Noncontrolling Interests Supplemental Information (4)</w:t>
            </w:r>
          </w:p>
        </w:tc>
        <w:tc>
          <w:tcPr>
            <w:tcW w:w="1860" w:type="dxa"/>
            <w:vAlign w:val="bottom"/>
            <w:tcBorders>
              <w:bottom w:val="single" w:sz="8" w:color="CCEEFF"/>
            </w:tcBorders>
            <w:gridSpan w:val="2"/>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4,755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3,088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5,734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8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820" w:type="dxa"/>
            <w:vAlign w:val="bottom"/>
            <w:tcBorders>
              <w:bottom w:val="single" w:sz="8" w:color="CCEEFF"/>
            </w:tcBorders>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82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660" w:right="320" w:hanging="652"/>
        <w:spacing w:after="0" w:line="280"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six months ended June 30, 2022, dividends on our Series 1 preferred stock were not deducted in the calculation of FFO available to common shareholders, as the related shares were dilutive and included in "weighted average common shares, diluted."</w:t>
      </w:r>
    </w:p>
    <w:p>
      <w:pPr>
        <w:spacing w:after="0" w:line="16" w:lineRule="exact"/>
        <w:rPr>
          <w:rFonts w:ascii="Times New Roman" w:cs="Times New Roman" w:eastAsia="Times New Roman" w:hAnsi="Times New Roman"/>
          <w:sz w:val="16"/>
          <w:szCs w:val="16"/>
          <w:color w:val="auto"/>
        </w:rPr>
      </w:pPr>
    </w:p>
    <w:p>
      <w:pPr>
        <w:ind w:left="660" w:right="120" w:hanging="652"/>
        <w:spacing w:after="0" w:line="263"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these periods.</w:t>
      </w:r>
    </w:p>
    <w:p>
      <w:pPr>
        <w:spacing w:after="0" w:line="29" w:lineRule="exact"/>
        <w:rPr>
          <w:rFonts w:ascii="Times New Roman" w:cs="Times New Roman" w:eastAsia="Times New Roman" w:hAnsi="Times New Roman"/>
          <w:sz w:val="16"/>
          <w:szCs w:val="16"/>
          <w:color w:val="auto"/>
        </w:rPr>
      </w:pPr>
    </w:p>
    <w:p>
      <w:pPr>
        <w:ind w:left="660" w:right="280" w:hanging="652"/>
        <w:spacing w:after="0" w:line="280"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downREIT operating partnership units."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00" w:right="3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Components of Rental Income and Other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Components of Rental Income (1)</w:t>
            </w:r>
          </w:p>
        </w:tc>
        <w:tc>
          <w:tcPr>
            <w:tcW w:w="300" w:type="dxa"/>
            <w:vAlign w:val="bottom"/>
          </w:tcPr>
          <w:p>
            <w:pPr>
              <w:spacing w:after="0"/>
              <w:rPr>
                <w:sz w:val="19"/>
                <w:szCs w:val="19"/>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9"/>
                <w:szCs w:val="19"/>
                <w:color w:val="auto"/>
              </w:rPr>
            </w:pPr>
          </w:p>
        </w:tc>
        <w:tc>
          <w:tcPr>
            <w:tcW w:w="210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6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4"/>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Minimum rents (2)</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7"/>
        </w:trPr>
        <w:tc>
          <w:tcPr>
            <w:tcW w:w="6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Commercial</w:t>
            </w:r>
          </w:p>
        </w:tc>
        <w:tc>
          <w:tcPr>
            <w:tcW w:w="3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170,916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340,547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317,301</w:t>
            </w:r>
          </w:p>
        </w:tc>
      </w:tr>
      <w:tr>
        <w:trPr>
          <w:trHeight w:val="226"/>
        </w:trPr>
        <w:tc>
          <w:tcPr>
            <w:tcW w:w="61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38,701</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reimbursements</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42,156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96,769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88,248</w:t>
            </w:r>
          </w:p>
        </w:tc>
      </w:tr>
      <w:tr>
        <w:trPr>
          <w:trHeight w:val="226"/>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Percentage rents</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w:t>
            </w:r>
          </w:p>
        </w:tc>
      </w:tr>
      <w:tr>
        <w:trPr>
          <w:trHeight w:val="23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(3)</w:t>
            </w: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13,358</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21,572</w:t>
            </w:r>
          </w:p>
        </w:tc>
      </w:tr>
      <w:tr>
        <w:trPr>
          <w:trHeight w:val="226"/>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Collectibility related impact (4)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(20,756)</w:t>
            </w:r>
          </w:p>
        </w:tc>
      </w:tr>
      <w:tr>
        <w:trPr>
          <w:trHeight w:val="252"/>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rental income</w:t>
            </w: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520,337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447,930</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75" w:lineRule="exact"/>
        <w:rPr>
          <w:sz w:val="20"/>
          <w:szCs w:val="20"/>
          <w:color w:val="auto"/>
        </w:rPr>
      </w:pPr>
    </w:p>
    <w:p>
      <w:pPr>
        <w:ind w:left="660" w:right="260" w:hanging="652"/>
        <w:spacing w:after="0" w:line="265" w:lineRule="auto"/>
        <w:tabs>
          <w:tab w:leader="none" w:pos="65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spacing w:after="0" w:line="13"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rents include the following:</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212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2"/>
        </w:trPr>
        <w:tc>
          <w:tcPr>
            <w:tcW w:w="6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8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7"/>
                <w:szCs w:val="17"/>
                <w:color w:val="auto"/>
              </w:rPr>
            </w:pPr>
          </w:p>
        </w:tc>
      </w:tr>
      <w:tr>
        <w:trPr>
          <w:trHeight w:val="23"/>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080" w:type="dxa"/>
            <w:vAlign w:val="bottom"/>
          </w:tcPr>
          <w:p>
            <w:pPr>
              <w:spacing w:after="0"/>
              <w:rPr>
                <w:sz w:val="16"/>
                <w:szCs w:val="16"/>
                <w:color w:val="auto"/>
              </w:rPr>
            </w:pPr>
          </w:p>
        </w:tc>
        <w:tc>
          <w:tcPr>
            <w:tcW w:w="8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0"/>
        </w:trPr>
        <w:tc>
          <w:tcPr>
            <w:tcW w:w="6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88"/>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Straight-line rents</w:t>
            </w:r>
          </w:p>
        </w:tc>
        <w:tc>
          <w:tcPr>
            <w:tcW w:w="840" w:type="dxa"/>
            <w:vAlign w:val="bottom"/>
          </w:tcPr>
          <w:p>
            <w:pPr>
              <w:jc w:val="right"/>
              <w:ind w:right="64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4.9</w:t>
            </w:r>
          </w:p>
        </w:tc>
        <w:tc>
          <w:tcPr>
            <w:tcW w:w="900" w:type="dxa"/>
            <w:vAlign w:val="bottom"/>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tcPr>
          <w:p>
            <w:pPr>
              <w:spacing w:after="0"/>
              <w:rPr>
                <w:sz w:val="24"/>
                <w:szCs w:val="24"/>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9.8</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r>
      <w:tr>
        <w:trPr>
          <w:trHeight w:val="237"/>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in-place leases</w:t>
            </w:r>
          </w:p>
        </w:tc>
        <w:tc>
          <w:tcPr>
            <w:tcW w:w="84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2.6</w:t>
            </w:r>
          </w:p>
        </w:tc>
        <w:tc>
          <w:tcPr>
            <w:tcW w:w="90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5.4</w:t>
            </w:r>
          </w:p>
        </w:tc>
        <w:tc>
          <w:tcPr>
            <w:tcW w:w="4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bl>
    <w:p>
      <w:pPr>
        <w:spacing w:after="0" w:line="127" w:lineRule="exact"/>
        <w:rPr>
          <w:sz w:val="20"/>
          <w:szCs w:val="20"/>
          <w:color w:val="auto"/>
        </w:rPr>
      </w:pPr>
    </w:p>
    <w:p>
      <w:pPr>
        <w:ind w:left="660" w:right="280" w:hanging="652"/>
        <w:spacing w:after="0" w:line="264" w:lineRule="auto"/>
        <w:tabs>
          <w:tab w:leader="none" w:pos="6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six months ended June 30, 2021, other rental income includes a $2.8 million net lease termination fee related to a tenant who vacated early in Q2 2021; the $2.8 million is net of the write-off of $8.8 million of a straight-line rent receivable.</w:t>
      </w:r>
    </w:p>
    <w:p>
      <w:pPr>
        <w:spacing w:after="0" w:line="1" w:lineRule="exact"/>
        <w:rPr>
          <w:rFonts w:ascii="Times New Roman" w:cs="Times New Roman" w:eastAsia="Times New Roman" w:hAnsi="Times New Roman"/>
          <w:sz w:val="17"/>
          <w:szCs w:val="17"/>
          <w:color w:val="auto"/>
        </w:rPr>
      </w:pPr>
    </w:p>
    <w:p>
      <w:pPr>
        <w:ind w:left="660" w:right="280" w:hanging="652"/>
        <w:spacing w:after="0" w:line="248" w:lineRule="auto"/>
        <w:tabs>
          <w:tab w:leader="none" w:pos="65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and six months ended June 30, 2022, our collectability related impact includes the collection of approximately $3 million and $5 million, respectively, of prior period rents which were contractually deferred or payment re-negotiated specifically related to the COVID-19 pandemic, and is partially offset by approximately $1 million and $3 million related to the abatement of contractual rents due to COVID-19 for the three and six months ended June 30, 2022, respectively, and cash basis tenants who did not make full contractual rent payments.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Information on Cash Basis Tenants (5)</w:t>
            </w:r>
          </w:p>
        </w:tc>
        <w:tc>
          <w:tcPr>
            <w:tcW w:w="10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0" w:type="dxa"/>
            <w:vAlign w:val="bottom"/>
          </w:tcPr>
          <w:p>
            <w:pPr>
              <w:spacing w:after="0"/>
              <w:rPr>
                <w:sz w:val="1"/>
                <w:szCs w:val="1"/>
                <w:color w:val="auto"/>
              </w:rPr>
            </w:pPr>
          </w:p>
        </w:tc>
      </w:tr>
      <w:tr>
        <w:trPr>
          <w:trHeight w:val="135"/>
        </w:trPr>
        <w:tc>
          <w:tcPr>
            <w:tcW w:w="78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Recognized on a Cash</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Basis</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Active commercial tenant leases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2"/>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Annualized base rent from commercial tenants (in millions) (6)</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48" w:lineRule="exact"/>
        <w:rPr>
          <w:sz w:val="20"/>
          <w:szCs w:val="20"/>
          <w:color w:val="auto"/>
        </w:rPr>
      </w:pPr>
    </w:p>
    <w:p>
      <w:pPr>
        <w:ind w:left="660" w:right="180" w:hanging="652"/>
        <w:spacing w:after="0" w:line="273" w:lineRule="auto"/>
        <w:tabs>
          <w:tab w:leader="none" w:pos="65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Tenants are recognized on a cash basis of accounting when we determine collection of substantially all lease payments during the lease term is not considered probable; revenue is then limited to the lesser of revenue recognized under accrual accounting or cash received. Our full revenue recognition policy with respect to leases can be found in Note 2 of our December 31, 2021 Annual Report on Form 10-K.</w:t>
      </w:r>
    </w:p>
    <w:p>
      <w:pPr>
        <w:spacing w:after="0" w:line="7"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 Glossary of Terms.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COVID-19 Related Rent Deferrals</w:t>
            </w:r>
          </w:p>
        </w:tc>
        <w:tc>
          <w:tcPr>
            <w:tcW w:w="28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9"/>
        </w:trPr>
        <w:tc>
          <w:tcPr>
            <w:tcW w:w="74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Cumulative contractual rent deferred (in millions) (7)</w:t>
            </w:r>
          </w:p>
        </w:tc>
        <w:tc>
          <w:tcPr>
            <w:tcW w:w="280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22"/>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deferral payments collected through June 30, 2022 (in millions) (8)</w:t>
            </w:r>
          </w:p>
        </w:tc>
        <w:tc>
          <w:tcPr>
            <w:tcW w:w="280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61" w:lineRule="exact"/>
        <w:rPr>
          <w:sz w:val="20"/>
          <w:szCs w:val="20"/>
          <w:color w:val="auto"/>
        </w:rPr>
      </w:pPr>
    </w:p>
    <w:p>
      <w:pPr>
        <w:ind w:left="660" w:right="20" w:hanging="652"/>
        <w:spacing w:after="0" w:line="281" w:lineRule="auto"/>
        <w:tabs>
          <w:tab w:leader="none" w:pos="65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contractual rent for April 2020 through June 2022 that has been deferred pursuant to modification agreements signed through June 30, 2022. Accrual basis tenants comprise approximately 50% of this cumulative deferred rent for executed agreements in place as of June 30, 2022.</w:t>
      </w:r>
    </w:p>
    <w:p>
      <w:pPr>
        <w:spacing w:after="0" w:line="1" w:lineRule="exact"/>
        <w:rPr>
          <w:rFonts w:ascii="Times New Roman" w:cs="Times New Roman" w:eastAsia="Times New Roman" w:hAnsi="Times New Roman"/>
          <w:sz w:val="17"/>
          <w:szCs w:val="17"/>
          <w:color w:val="auto"/>
        </w:rPr>
      </w:pPr>
    </w:p>
    <w:p>
      <w:pPr>
        <w:ind w:left="640" w:hanging="632"/>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Deferral payments collected to date represent approximately 90% of the amounts agreed to be repaid by June 30, 2022.</w:t>
      </w:r>
    </w:p>
    <w:p>
      <w:pPr>
        <w:sectPr>
          <w:pgSz w:w="11900" w:h="16838" w:orient="portrait"/>
          <w:cols w:equalWidth="0" w:num="1">
            <w:col w:w="11240"/>
          </w:cols>
          <w:pgMar w:left="320" w:top="1022"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22" w:right="339"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76" w:lineRule="exact"/>
        <w:rPr>
          <w:sz w:val="20"/>
          <w:szCs w:val="20"/>
          <w:color w:val="auto"/>
        </w:rPr>
      </w:pPr>
    </w:p>
    <w:p>
      <w:pPr>
        <w:ind w:left="40" w:right="40"/>
        <w:spacing w:after="0" w:line="221" w:lineRule="auto"/>
        <w:rPr>
          <w:sz w:val="20"/>
          <w:szCs w:val="20"/>
          <w:color w:val="auto"/>
        </w:rPr>
      </w:pPr>
      <w:r>
        <w:rPr>
          <w:rFonts w:ascii="Times New Roman" w:cs="Times New Roman" w:eastAsia="Times New Roman" w:hAnsi="Times New Roman"/>
          <w:sz w:val="16"/>
          <w:szCs w:val="16"/>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Phase 3, CocoWalk, Darien Commons, Pike &amp; Rose Phase 3, Huntington Shopping Center, Willow Grove Shopping Center, and all properties acquired or disposed of from Q2 2021 to Q2 2022. Comparable Property property operating income ("Comparable Property POI") is a non-GAAP measure used by management in evaluating the operating performance of our properties period over period.</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i w:val="1"/>
          <w:iCs w:val="1"/>
          <w:color w:val="auto"/>
        </w:rPr>
        <w:t>Reconciliation of GAAP operating income to Comparable Property POI</w:t>
      </w:r>
    </w:p>
    <w:p>
      <w:pPr>
        <w:spacing w:after="0" w:line="3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income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93,600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78,863</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Add: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74,461</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67,675</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13,604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12,846</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operating income (POI)</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181,665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159,384</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Less: Non-comparable POI - acquisitions/dispositions</w:t>
            </w:r>
          </w:p>
        </w:tc>
        <w:tc>
          <w:tcPr>
            <w:tcW w:w="280" w:type="dxa"/>
            <w:vAlign w:val="bottom"/>
          </w:tcPr>
          <w:p>
            <w:pPr>
              <w:spacing w:after="0"/>
              <w:rPr>
                <w:sz w:val="19"/>
                <w:szCs w:val="19"/>
                <w:color w:val="auto"/>
              </w:rPr>
            </w:pPr>
          </w:p>
        </w:tc>
        <w:tc>
          <w:tcPr>
            <w:tcW w:w="980" w:type="dxa"/>
            <w:vAlign w:val="bottom"/>
          </w:tcPr>
          <w:p>
            <w:pPr>
              <w:jc w:val="right"/>
              <w:ind w:right="100"/>
              <w:spacing w:after="0"/>
              <w:rPr>
                <w:sz w:val="20"/>
                <w:szCs w:val="20"/>
                <w:color w:val="auto"/>
              </w:rPr>
            </w:pPr>
            <w:r>
              <w:rPr>
                <w:rFonts w:ascii="Times New Roman" w:cs="Times New Roman" w:eastAsia="Times New Roman" w:hAnsi="Times New Roman"/>
                <w:sz w:val="17"/>
                <w:szCs w:val="17"/>
                <w:color w:val="auto"/>
              </w:rPr>
              <w:t>(9,414)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(3,875)</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Non-comparable POI - redevelopment, development &amp; other</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(9,494)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(5,091)</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40"/>
              <w:spacing w:after="0"/>
              <w:rPr>
                <w:sz w:val="20"/>
                <w:szCs w:val="20"/>
                <w:color w:val="auto"/>
              </w:rPr>
            </w:pPr>
            <w:r>
              <w:rPr>
                <w:rFonts w:ascii="Times New Roman" w:cs="Times New Roman" w:eastAsia="Times New Roman" w:hAnsi="Times New Roman"/>
                <w:sz w:val="17"/>
                <w:szCs w:val="17"/>
                <w:color w:val="auto"/>
              </w:rPr>
              <w:t>162,757</w:t>
            </w:r>
          </w:p>
        </w:tc>
        <w:tc>
          <w:tcPr>
            <w:tcW w:w="10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150,418</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Additional information regarding the components of Comparable Property POI</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income</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233,715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218,821</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Rental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(42,912)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(40,554)</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Real estate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7"/>
                <w:szCs w:val="17"/>
                <w:color w:val="auto"/>
              </w:rPr>
              <w:t>(28,046)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rPr>
              <w:t>(27,849)</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(70,958)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(68,403)</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Comparable property POI</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162,757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150,418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430"/>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Summary of Capital Expenditures (1)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4"/>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Redevelopment and tenant improvements and incentives</w:t>
            </w: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39,723</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34,581</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Maintenance capital expenditures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rPr>
              <w:t>8,106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rPr>
              <w:t>5,242</w:t>
            </w:r>
          </w:p>
        </w:tc>
        <w:tc>
          <w:tcPr>
            <w:tcW w:w="1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47,829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39,823</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7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Comparable Property - Occupancy Statistics (2)</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GLA - comparable commercial properties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22,142,000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22,155,000</w:t>
            </w: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40" w:type="dxa"/>
            <w:vAlign w:val="bottom"/>
          </w:tcPr>
          <w:p>
            <w:pPr>
              <w:spacing w:after="0"/>
              <w:rPr>
                <w:sz w:val="20"/>
                <w:szCs w:val="20"/>
                <w:color w:val="auto"/>
              </w:rPr>
            </w:pPr>
            <w:r>
              <w:rPr>
                <w:rFonts w:ascii="Times New Roman" w:cs="Times New Roman" w:eastAsia="Times New Roman" w:hAnsi="Times New Roman"/>
                <w:sz w:val="17"/>
                <w:szCs w:val="17"/>
                <w:color w:val="auto"/>
              </w:rPr>
              <w:t>Leased % - comparable commercial properties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92.7 %</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Occupancy % - comparable commercial properties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91.8 %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89.9 %</w:t>
            </w: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0"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10 for "Summary of Capital Expenditures" for our entire portfolio.</w:t>
      </w:r>
    </w:p>
    <w:p>
      <w:pPr>
        <w:spacing w:after="0" w:line="5"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27 for entire portfolio occupancy statistics.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927" w:right="35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4"/>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shares outstanding and downREIT operating partnership units (1)</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81,549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78,455</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95.74</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117.17</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Common equity market capitalization including downREIT operating partnership units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7,807,501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9,192,572</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150,000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9,825</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7,967,326</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9,352,572</w:t>
            </w:r>
          </w:p>
        </w:tc>
      </w:tr>
      <w:tr>
        <w:trPr>
          <w:trHeight w:val="216"/>
        </w:trPr>
        <w:tc>
          <w:tcPr>
            <w:tcW w:w="7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4,030,350</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4,172,933</w:t>
            </w:r>
          </w:p>
        </w:tc>
      </w:tr>
      <w:tr>
        <w:trPr>
          <w:trHeight w:val="229"/>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(176,559)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(304,268)</w:t>
            </w:r>
          </w:p>
        </w:tc>
      </w:tr>
      <w:tr>
        <w:trPr>
          <w:trHeight w:val="223"/>
        </w:trPr>
        <w:tc>
          <w:tcPr>
            <w:tcW w:w="798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Total net debt (3)</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3,853,791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3,868,665</w:t>
            </w:r>
          </w:p>
        </w:tc>
      </w:tr>
      <w:tr>
        <w:trPr>
          <w:trHeight w:val="196"/>
        </w:trPr>
        <w:tc>
          <w:tcPr>
            <w:tcW w:w="7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11,821,117</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13,221,237</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7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4"/>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debt to market capitalization at market price per common share</w:t>
            </w: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652,233 and 694,133 downREIT operating partnership units outstanding at June 30, 2022 and 2021,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ind w:left="660" w:right="40" w:hanging="652"/>
        <w:spacing w:after="0" w:line="298" w:lineRule="auto"/>
        <w:tabs>
          <w:tab w:leader="none" w:pos="6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net debt includes mortgages payable, notes payable, senior notes and debentures, net of premiums/discounts and debt issuance costs and net of cash and cash equivalents from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22" w:right="33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59"/>
              <w:spacing w:after="0" w:line="135"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94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effective rate (6)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Mortgages Payable (1)</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Azalea</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11/1/2025</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Bell Gardens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Plaza El Segundo</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Brook 35</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Hoboken (24 Buildings) (2)</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12/15/2029</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+ 1.95%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55,755</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Various Hoboken (14 Buildings) (3)</w:t>
            </w:r>
          </w:p>
        </w:tc>
        <w:tc>
          <w:tcPr>
            <w:tcW w:w="19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2029</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31,358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Chelsea</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1/15/2031</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323,846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4.00%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Notes payable</w:t>
            </w:r>
          </w:p>
        </w:tc>
        <w:tc>
          <w:tcPr>
            <w:tcW w:w="1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Revolving credit facility (4)</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1/19/2024</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+ 0.825%</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4/16/2024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LIBOR + 0.85%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Various</w:t>
            </w:r>
          </w:p>
        </w:tc>
        <w:tc>
          <w:tcPr>
            <w:tcW w:w="194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Various through 2028</w:t>
            </w: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301,480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2.72%</w:t>
            </w:r>
          </w:p>
        </w:tc>
        <w:tc>
          <w:tcPr>
            <w:tcW w:w="48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4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Senior notes and debentures</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182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21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2.75%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6/1/2023</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3.95%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1/15/2024</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2/15/2026</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7.48% debentures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8/15/2026</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3.25%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7/15/2027</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6.82% medium term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8/1/2027</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3.20%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6/15/2029</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94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3.50% notes</w:t>
            </w:r>
          </w:p>
        </w:tc>
        <w:tc>
          <w:tcPr>
            <w:tcW w:w="1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6/1/2030</w:t>
            </w: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94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4.50% notes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12/1/2044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3.625% notes</w:t>
            </w:r>
          </w:p>
        </w:tc>
        <w:tc>
          <w:tcPr>
            <w:tcW w:w="18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8/1/2046</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3,419,200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5880" w:type="dxa"/>
            <w:vAlign w:val="bottom"/>
            <w:tcBorders>
              <w:bottom w:val="single" w:sz="8" w:color="CCEEFF"/>
            </w:tcBorders>
            <w:gridSpan w:val="6"/>
          </w:tcPr>
          <w:p>
            <w:pPr>
              <w:ind w:left="900"/>
              <w:spacing w:after="0"/>
              <w:rPr>
                <w:sz w:val="20"/>
                <w:szCs w:val="20"/>
                <w:color w:val="auto"/>
              </w:rPr>
            </w:pPr>
            <w:r>
              <w:rPr>
                <w:rFonts w:ascii="Times New Roman" w:cs="Times New Roman" w:eastAsia="Times New Roman" w:hAnsi="Times New Roman"/>
                <w:sz w:val="16"/>
                <w:szCs w:val="16"/>
                <w:color w:val="auto"/>
              </w:rPr>
              <w:t>Net unamortized debt issuance costs and premium</w:t>
            </w: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(12,305)</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3,406,895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3.49%</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3940" w:type="dxa"/>
            <w:vAlign w:val="bottom"/>
            <w:tcBorders>
              <w:bottom w:val="single" w:sz="8" w:color="CCEEFF"/>
            </w:tcBorders>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4,030,350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fixed rate debt, net</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3,731,227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3.54%</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9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6"/>
                <w:szCs w:val="16"/>
                <w:color w:val="auto"/>
              </w:rPr>
              <w:t>Total variable rate debt, net</w:t>
            </w:r>
          </w:p>
        </w:tc>
        <w:tc>
          <w:tcPr>
            <w:tcW w:w="1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299,123</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2.64%</w:t>
            </w:r>
          </w:p>
        </w:tc>
        <w:tc>
          <w:tcPr>
            <w:tcW w:w="480" w:type="dxa"/>
            <w:vAlign w:val="bottom"/>
            <w:tcBorders>
              <w:bottom w:val="single" w:sz="8" w:color="CCEEFF"/>
            </w:tcBorders>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debt, net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4,030,350</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3.47%</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02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840" w:type="dxa"/>
            <w:vAlign w:val="bottom"/>
            <w:gridSpan w:val="4"/>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03"/>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center"/>
              <w:ind w:left="68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7"/>
                <w:szCs w:val="17"/>
                <w:color w:val="auto"/>
              </w:rPr>
            </w:pPr>
          </w:p>
        </w:tc>
      </w:tr>
      <w:tr>
        <w:trPr>
          <w:trHeight w:val="2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960" w:type="dxa"/>
            <w:vAlign w:val="bottom"/>
            <w:gridSpan w:val="2"/>
          </w:tcPr>
          <w:p>
            <w:pPr>
              <w:spacing w:after="0"/>
              <w:rPr>
                <w:sz w:val="2"/>
                <w:szCs w:val="2"/>
                <w:color w:val="auto"/>
              </w:rPr>
            </w:pPr>
          </w:p>
        </w:tc>
        <w:tc>
          <w:tcPr>
            <w:tcW w:w="11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top w:val="single" w:sz="8" w:color="auto"/>
            </w:tcBorders>
          </w:tcPr>
          <w:p>
            <w:pPr>
              <w:jc w:val="right"/>
              <w:ind w:right="30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62"/>
        </w:trPr>
        <w:tc>
          <w:tcPr>
            <w:tcW w:w="20" w:type="dxa"/>
            <w:vAlign w:val="bottom"/>
          </w:tcPr>
          <w:p>
            <w:pPr>
              <w:spacing w:after="0"/>
              <w:rPr>
                <w:sz w:val="14"/>
                <w:szCs w:val="14"/>
                <w:color w:val="auto"/>
              </w:rPr>
            </w:pPr>
          </w:p>
        </w:tc>
        <w:tc>
          <w:tcPr>
            <w:tcW w:w="6680" w:type="dxa"/>
            <w:vAlign w:val="bottom"/>
            <w:gridSpan w:val="2"/>
          </w:tcPr>
          <w:p>
            <w:pPr>
              <w:jc w:val="right"/>
              <w:ind w:right="5280"/>
              <w:spacing w:after="0" w:line="162" w:lineRule="exact"/>
              <w:rPr>
                <w:sz w:val="20"/>
                <w:szCs w:val="20"/>
                <w:color w:val="auto"/>
              </w:rPr>
            </w:pPr>
            <w:r>
              <w:rPr>
                <w:rFonts w:ascii="Times New Roman" w:cs="Times New Roman" w:eastAsia="Times New Roman" w:hAnsi="Times New Roman"/>
                <w:sz w:val="16"/>
                <w:szCs w:val="16"/>
                <w:color w:val="auto"/>
              </w:rPr>
              <w:t>Operational Statistics</w:t>
            </w:r>
          </w:p>
        </w:tc>
        <w:tc>
          <w:tcPr>
            <w:tcW w:w="6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360" w:type="dxa"/>
            <w:vAlign w:val="bottom"/>
            <w:gridSpan w:val="3"/>
            <w:shd w:val="clear" w:color="auto" w:fill="CCEEFF"/>
          </w:tcPr>
          <w:p>
            <w:pPr>
              <w:jc w:val="right"/>
              <w:ind w:right="1828"/>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 share dividends (8)</w:t>
            </w:r>
          </w:p>
        </w:tc>
        <w:tc>
          <w:tcPr>
            <w:tcW w:w="11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6"/>
                <w:szCs w:val="16"/>
                <w:color w:val="auto"/>
                <w:w w:val="94"/>
              </w:rPr>
              <w:t>4.31x</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3.62x</w:t>
            </w:r>
          </w:p>
        </w:tc>
        <w:tc>
          <w:tcPr>
            <w:tcW w:w="146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4.17x</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3.34x</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340" w:hanging="652"/>
        <w:spacing w:after="0" w:line="301" w:lineRule="auto"/>
        <w:tabs>
          <w:tab w:leader="none" w:pos="6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debt on our unconsolidated real estate partnerships. At June 30, 2022, our share of unconsolidated debt was approximately $28.2 million. At June 30, 2022, our noncontrolling interests' share of mortgages payable was $43.0 million.</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two interest rate swap agreements that fix the interest rate on the mortgage loan at 3.67%.</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 rates on these mortgages range from 3.91% to 5.00%.</w:t>
      </w:r>
    </w:p>
    <w:p>
      <w:pPr>
        <w:spacing w:after="0" w:line="68" w:lineRule="exact"/>
        <w:rPr>
          <w:rFonts w:ascii="Times New Roman" w:cs="Times New Roman" w:eastAsia="Times New Roman" w:hAnsi="Times New Roman"/>
          <w:sz w:val="14"/>
          <w:szCs w:val="14"/>
          <w:color w:val="auto"/>
        </w:rPr>
      </w:pPr>
    </w:p>
    <w:p>
      <w:pPr>
        <w:jc w:val="both"/>
        <w:ind w:left="660" w:right="100" w:hanging="652"/>
        <w:spacing w:after="0" w:line="271" w:lineRule="auto"/>
        <w:tabs>
          <w:tab w:leader="none" w:pos="6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revolving credit facility has a borrowing capacity of $1.0 billion. The maximum amount drawn under our revolving credit facility during the three and six months ended June 30, 2022 was $114.0 million. The weighted average interest rate on borrowing under our credit facility, before amortization of debt fees, for the three and six months ended June 30, 2022 was 2.0% and 1.9%, respectively.</w:t>
      </w:r>
    </w:p>
    <w:p>
      <w:pPr>
        <w:spacing w:after="0" w:line="2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mortgages payable, notes payable, and senior notes and debentures is approximately 8 years.</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7.</w:t>
      </w:r>
    </w:p>
    <w:p>
      <w:pPr>
        <w:spacing w:after="0" w:line="6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$0.7 million in quarterly financing fees and quarterly debt fee amortization on our revolving credit facility.</w:t>
      </w:r>
    </w:p>
    <w:p>
      <w:pPr>
        <w:spacing w:after="0" w:line="55" w:lineRule="exact"/>
        <w:rPr>
          <w:rFonts w:ascii="Times New Roman" w:cs="Times New Roman" w:eastAsia="Times New Roman" w:hAnsi="Times New Roman"/>
          <w:sz w:val="14"/>
          <w:szCs w:val="14"/>
          <w:color w:val="auto"/>
        </w:rPr>
      </w:pPr>
    </w:p>
    <w:p>
      <w:pPr>
        <w:ind w:left="660" w:right="200" w:hanging="652"/>
        <w:spacing w:after="0" w:line="302" w:lineRule="auto"/>
        <w:tabs>
          <w:tab w:leader="none" w:pos="658"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25" w:right="3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660" w:type="dxa"/>
            <w:vAlign w:val="bottom"/>
            <w:vMerge w:val="restart"/>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vMerge w:val="continue"/>
          </w:tcPr>
          <w:p>
            <w:pPr>
              <w:spacing w:after="0"/>
              <w:rPr>
                <w:sz w:val="14"/>
                <w:szCs w:val="14"/>
                <w:color w:val="auto"/>
              </w:rPr>
            </w:pPr>
          </w:p>
        </w:tc>
        <w:tc>
          <w:tcPr>
            <w:tcW w:w="15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Percent of Debt</w:t>
            </w: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6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Average Rate (3)</w:t>
            </w:r>
          </w:p>
        </w:tc>
        <w:tc>
          <w:tcPr>
            <w:tcW w:w="0" w:type="dxa"/>
            <w:vAlign w:val="bottom"/>
          </w:tcPr>
          <w:p>
            <w:pPr>
              <w:spacing w:after="0"/>
              <w:rPr>
                <w:sz w:val="1"/>
                <w:szCs w:val="1"/>
                <w:color w:val="auto"/>
              </w:rPr>
            </w:pPr>
          </w:p>
        </w:tc>
      </w:tr>
      <w:tr>
        <w:trPr>
          <w:trHeight w:val="192"/>
        </w:trPr>
        <w:tc>
          <w:tcPr>
            <w:tcW w:w="15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278,954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5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903,981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29.2 %</w:t>
            </w:r>
          </w:p>
        </w:tc>
        <w:tc>
          <w:tcPr>
            <w:tcW w:w="16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 xml:space="preserve">3.3 % </w:t>
            </w: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44,298</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48,036</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30.4 %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452,450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455,515</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41.7 %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690,570</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693,213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58.8 %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58.9 %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458,105</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460,432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70.3 %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400,681</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80.2 %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30"/>
        </w:trPr>
        <w:tc>
          <w:tcPr>
            <w:tcW w:w="1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80.2 %</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29"/>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5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100.0 %</w:t>
            </w:r>
          </w:p>
        </w:tc>
        <w:tc>
          <w:tcPr>
            <w:tcW w:w="16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23"/>
        </w:trPr>
        <w:tc>
          <w:tcPr>
            <w:tcW w:w="1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4,020,423</w:t>
            </w:r>
          </w:p>
        </w:tc>
        <w:tc>
          <w:tcPr>
            <w:tcW w:w="5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4,045,446</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(2)</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$300.0 million term loan matures on April 16, 2024, plus two one-year extensions at our option.</w:t>
      </w:r>
    </w:p>
    <w:p>
      <w:pPr>
        <w:spacing w:after="0" w:line="59" w:lineRule="exact"/>
        <w:rPr>
          <w:rFonts w:ascii="Times New Roman" w:cs="Times New Roman" w:eastAsia="Times New Roman" w:hAnsi="Times New Roman"/>
          <w:sz w:val="16"/>
          <w:szCs w:val="16"/>
          <w:color w:val="auto"/>
        </w:rPr>
      </w:pPr>
    </w:p>
    <w:p>
      <w:pPr>
        <w:ind w:left="660" w:right="120" w:hanging="652"/>
        <w:spacing w:after="0" w:line="290"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debt issuance costs and unamortized net premium/discount on certain mortgage loans, notes payable, and senior notes as of June 30, 2022.</w:t>
      </w:r>
    </w:p>
    <w:p>
      <w:pPr>
        <w:ind w:left="660" w:hanging="652"/>
        <w:spacing w:after="0"/>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72" w:lineRule="exact"/>
        <w:rPr>
          <w:rFonts w:ascii="Times New Roman" w:cs="Times New Roman" w:eastAsia="Times New Roman" w:hAnsi="Times New Roman"/>
          <w:sz w:val="16"/>
          <w:szCs w:val="16"/>
          <w:color w:val="auto"/>
        </w:rPr>
      </w:pPr>
    </w:p>
    <w:p>
      <w:pPr>
        <w:ind w:left="660" w:right="60" w:hanging="652"/>
        <w:spacing w:after="0" w:line="280" w:lineRule="auto"/>
        <w:tabs>
          <w:tab w:leader="none" w:pos="6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$0.7 million in quarterly financing fees and quarterly debt fee amortization on our $1.0 billion revolving credit facility, which had no balance outstanding at June 30, 2022. Our revolving credit facility matures on January 19, 2024, plus two six-month extensions at our option.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20"/>
          </w:cols>
          <w:pgMar w:left="320" w:top="1022" w:right="35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The following redevelopment opportunities have received or will shortly receive all necessary approvals to proceed and are actively being worked on by the Trust. (1)</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Impacts of Current Environment:</w:t>
      </w:r>
    </w:p>
    <w:p>
      <w:pPr>
        <w:spacing w:after="0" w:line="44" w:lineRule="exact"/>
        <w:rPr>
          <w:sz w:val="20"/>
          <w:szCs w:val="20"/>
          <w:color w:val="auto"/>
        </w:rPr>
      </w:pPr>
    </w:p>
    <w:p>
      <w:pPr>
        <w:ind w:left="20" w:right="100"/>
        <w:spacing w:after="0" w:line="241" w:lineRule="auto"/>
        <w:rPr>
          <w:sz w:val="20"/>
          <w:szCs w:val="20"/>
          <w:color w:val="auto"/>
        </w:rPr>
      </w:pPr>
      <w:r>
        <w:rPr>
          <w:rFonts w:ascii="Times New Roman" w:cs="Times New Roman" w:eastAsia="Times New Roman" w:hAnsi="Times New Roman"/>
          <w:sz w:val="14"/>
          <w:szCs w:val="14"/>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currently affecting the broader economy.</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8"/>
        </w:trPr>
        <w:tc>
          <w:tcPr>
            <w:tcW w:w="134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6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5140" w:type="dxa"/>
            <w:vAlign w:val="bottom"/>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514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(in millions) (in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Darien Commons</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Darien, CT</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 of</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$110 - $120</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new retail space, 122 rental apartments, and 720 parking spaces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3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CocoWalk (4)</w:t>
            </w:r>
          </w:p>
        </w:tc>
        <w:tc>
          <w:tcPr>
            <w:tcW w:w="1460" w:type="dxa"/>
            <w:vAlign w:val="bottom"/>
            <w:shd w:val="clear" w:color="auto" w:fill="CCEEFF"/>
          </w:tcPr>
          <w:p>
            <w:pPr>
              <w:ind w:left="260"/>
              <w:spacing w:after="0" w:line="142" w:lineRule="exact"/>
              <w:rPr>
                <w:sz w:val="20"/>
                <w:szCs w:val="20"/>
                <w:color w:val="auto"/>
              </w:rPr>
            </w:pPr>
            <w:r>
              <w:rPr>
                <w:rFonts w:ascii="Times New Roman" w:cs="Times New Roman" w:eastAsia="Times New Roman" w:hAnsi="Times New Roman"/>
                <w:sz w:val="14"/>
                <w:szCs w:val="14"/>
                <w:color w:val="auto"/>
              </w:rPr>
              <w:t>Coconut Grove, FL</w:t>
            </w:r>
          </w:p>
        </w:tc>
        <w:tc>
          <w:tcPr>
            <w:tcW w:w="514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Entire shopping center redevelopment to include: demolition of three story east wing</w:t>
            </w: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6 %</w:t>
            </w:r>
          </w:p>
        </w:tc>
        <w:tc>
          <w:tcPr>
            <w:tcW w:w="84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$93 - $97</w:t>
            </w: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of the property and construction of a 107,000 square foot 5-story office/retail building</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with 22,000 square feet of retail; complete renovation of the west wing</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3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Huntington</w:t>
            </w:r>
          </w:p>
        </w:tc>
        <w:tc>
          <w:tcPr>
            <w:tcW w:w="1460" w:type="dxa"/>
            <w:vAlign w:val="bottom"/>
          </w:tcPr>
          <w:p>
            <w:pPr>
              <w:ind w:left="260"/>
              <w:spacing w:after="0" w:line="135" w:lineRule="exact"/>
              <w:rPr>
                <w:sz w:val="20"/>
                <w:szCs w:val="20"/>
                <w:color w:val="auto"/>
              </w:rPr>
            </w:pPr>
            <w:r>
              <w:rPr>
                <w:rFonts w:ascii="Times New Roman" w:cs="Times New Roman" w:eastAsia="Times New Roman" w:hAnsi="Times New Roman"/>
                <w:sz w:val="14"/>
                <w:szCs w:val="14"/>
                <w:color w:val="auto"/>
              </w:rPr>
              <w:t>Huntington, NY</w:t>
            </w:r>
          </w:p>
        </w:tc>
        <w:tc>
          <w:tcPr>
            <w:tcW w:w="514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Demolition of the main two level building consisting of 161,000 square feet of anchor</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$80 - $85</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140" w:type="dxa"/>
            <w:vAlign w:val="bottom"/>
          </w:tcPr>
          <w:p>
            <w:pPr>
              <w:ind w:left="100"/>
              <w:spacing w:after="0" w:line="139" w:lineRule="exact"/>
              <w:rPr>
                <w:sz w:val="20"/>
                <w:szCs w:val="20"/>
                <w:color w:val="auto"/>
              </w:rPr>
            </w:pPr>
            <w:r>
              <w:rPr>
                <w:rFonts w:ascii="Times New Roman" w:cs="Times New Roman" w:eastAsia="Times New Roman" w:hAnsi="Times New Roman"/>
                <w:sz w:val="14"/>
                <w:szCs w:val="14"/>
                <w:color w:val="auto"/>
              </w:rPr>
              <w:t>and small shop space to construct 102,000 square feet of new ground-level anchor and</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 shop retail space</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3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Lawrence Park</w:t>
            </w:r>
          </w:p>
        </w:tc>
        <w:tc>
          <w:tcPr>
            <w:tcW w:w="1460" w:type="dxa"/>
            <w:vAlign w:val="bottom"/>
            <w:shd w:val="clear" w:color="auto" w:fill="CCEEFF"/>
          </w:tcPr>
          <w:p>
            <w:pPr>
              <w:ind w:left="260"/>
              <w:spacing w:after="0" w:line="135" w:lineRule="exact"/>
              <w:rPr>
                <w:sz w:val="20"/>
                <w:szCs w:val="20"/>
                <w:color w:val="auto"/>
              </w:rPr>
            </w:pPr>
            <w:r>
              <w:rPr>
                <w:rFonts w:ascii="Times New Roman" w:cs="Times New Roman" w:eastAsia="Times New Roman" w:hAnsi="Times New Roman"/>
                <w:sz w:val="14"/>
                <w:szCs w:val="14"/>
                <w:color w:val="auto"/>
              </w:rPr>
              <w:t>Broomall, PA</w:t>
            </w:r>
          </w:p>
        </w:tc>
        <w:tc>
          <w:tcPr>
            <w:tcW w:w="514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4"/>
                <w:szCs w:val="14"/>
                <w:color w:val="auto"/>
              </w:rPr>
              <w:t>Full shopping center redevelopment to include expansion of Main Line Health into</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8 %</w:t>
            </w:r>
          </w:p>
        </w:tc>
        <w:tc>
          <w:tcPr>
            <w:tcW w:w="840" w:type="dxa"/>
            <w:vAlign w:val="bottom"/>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4"/>
                <w:szCs w:val="14"/>
                <w:color w:val="auto"/>
              </w:rPr>
              <w:t>$15</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4"/>
                <w:szCs w:val="14"/>
                <w:color w:val="auto"/>
              </w:rPr>
              <w:t>$12</w:t>
            </w:r>
          </w:p>
        </w:tc>
        <w:tc>
          <w:tcPr>
            <w:tcW w:w="9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39"/>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vacant lower level space, creation of 17,800 square feet of small shop space converted</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51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from vacated anchor space, a new 2,000 square foot bank pad building, and a façade</w:t>
            </w: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4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renovation for the entire center</w:t>
            </w:r>
          </w:p>
        </w:tc>
        <w:tc>
          <w:tcPr>
            <w:tcW w:w="7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Azalea</w:t>
            </w:r>
          </w:p>
        </w:tc>
        <w:tc>
          <w:tcPr>
            <w:tcW w:w="14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Southgate, CA</w:t>
            </w:r>
          </w:p>
        </w:tc>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Development of a new 3,000 square foot single tenant pad building</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210"/>
        </w:trPr>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Flourtown</w:t>
            </w:r>
          </w:p>
        </w:tc>
        <w:tc>
          <w:tcPr>
            <w:tcW w:w="1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Flourtown, PA</w:t>
            </w:r>
          </w:p>
        </w:tc>
        <w:tc>
          <w:tcPr>
            <w:tcW w:w="5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of a new 2,450 square foot bank pad building</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0"/>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Active Redevelopment projects (5)</w:t>
            </w:r>
          </w:p>
        </w:tc>
        <w:tc>
          <w:tcPr>
            <w:tcW w:w="5140" w:type="dxa"/>
            <w:vAlign w:val="bottom"/>
          </w:tcPr>
          <w:p>
            <w:pPr>
              <w:spacing w:after="0"/>
              <w:rPr>
                <w:sz w:val="16"/>
                <w:szCs w:val="16"/>
                <w:color w:val="auto"/>
              </w:rPr>
            </w:pPr>
          </w:p>
        </w:tc>
        <w:tc>
          <w:tcPr>
            <w:tcW w:w="16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6 % $303 - $322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13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Active Property Improvement Projects (6)</w:t>
            </w:r>
          </w:p>
        </w:tc>
        <w:tc>
          <w:tcPr>
            <w:tcW w:w="5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3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color w:val="auto"/>
              </w:rPr>
              <w:t>Various Properties</w:t>
            </w:r>
          </w:p>
        </w:tc>
        <w:tc>
          <w:tcPr>
            <w:tcW w:w="1460" w:type="dxa"/>
            <w:vAlign w:val="bottom"/>
            <w:shd w:val="clear" w:color="auto" w:fill="CCEEFF"/>
          </w:tcPr>
          <w:p>
            <w:pPr>
              <w:spacing w:after="0"/>
              <w:rPr>
                <w:sz w:val="10"/>
                <w:szCs w:val="10"/>
                <w:color w:val="auto"/>
              </w:rPr>
            </w:pPr>
          </w:p>
        </w:tc>
        <w:tc>
          <w:tcPr>
            <w:tcW w:w="5140" w:type="dxa"/>
            <w:vAlign w:val="bottom"/>
            <w:shd w:val="clear" w:color="auto" w:fill="CCEEFF"/>
          </w:tcPr>
          <w:p>
            <w:pPr>
              <w:ind w:left="100"/>
              <w:spacing w:after="0" w:line="121" w:lineRule="exact"/>
              <w:rPr>
                <w:sz w:val="20"/>
                <w:szCs w:val="20"/>
                <w:color w:val="auto"/>
              </w:rPr>
            </w:pPr>
            <w:r>
              <w:rPr>
                <w:rFonts w:ascii="Times New Roman" w:cs="Times New Roman" w:eastAsia="Times New Roman" w:hAnsi="Times New Roman"/>
                <w:sz w:val="14"/>
                <w:szCs w:val="14"/>
                <w:color w:val="auto"/>
              </w:rPr>
              <w:t>Ongoing improvements at 25 properties to better position those properties to capture a</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- 13%</w:t>
            </w: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3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disproportionate amount of retail demand post-COVID</w:t>
            </w: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120" w:hanging="652"/>
        <w:spacing w:after="0" w:line="267" w:lineRule="auto"/>
        <w:tabs>
          <w:tab w:leader="none" w:pos="65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5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ind w:left="660" w:hanging="652"/>
        <w:spacing w:after="0"/>
        <w:tabs>
          <w:tab w:leader="none" w:pos="6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Stabilization is generally the year in which 90% physical occupancy of the redeveloped space is achieved. Economic stabilization may occur at a later point in time.</w:t>
      </w:r>
    </w:p>
    <w:p>
      <w:pPr>
        <w:spacing w:after="0" w:line="12" w:lineRule="exact"/>
        <w:rPr>
          <w:rFonts w:ascii="Times New Roman" w:cs="Times New Roman" w:eastAsia="Times New Roman" w:hAnsi="Times New Roman"/>
          <w:sz w:val="13"/>
          <w:szCs w:val="13"/>
          <w:color w:val="auto"/>
        </w:rPr>
      </w:pPr>
    </w:p>
    <w:p>
      <w:pPr>
        <w:ind w:left="660" w:right="100" w:hanging="652"/>
        <w:spacing w:after="0" w:line="260" w:lineRule="auto"/>
        <w:tabs>
          <w:tab w:leader="none" w:pos="65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CocoWalk is expected to stabilize from an economic perspective during 2022, with a full year of stabilized POI of approximately $11 million in 2023. 2022 is expected to generate approximately 75-80% of this amount.</w:t>
      </w:r>
    </w:p>
    <w:p>
      <w:pPr>
        <w:ind w:left="660" w:hanging="652"/>
        <w:spacing w:after="0"/>
        <w:tabs>
          <w:tab w:leader="none" w:pos="66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subtotals and totals reflect cost weighted-average ROIs.</w:t>
      </w:r>
    </w:p>
    <w:p>
      <w:pPr>
        <w:spacing w:after="0" w:line="12" w:lineRule="exact"/>
        <w:rPr>
          <w:rFonts w:ascii="Times New Roman" w:cs="Times New Roman" w:eastAsia="Times New Roman" w:hAnsi="Times New Roman"/>
          <w:sz w:val="13"/>
          <w:szCs w:val="13"/>
          <w:color w:val="auto"/>
        </w:rPr>
      </w:pPr>
    </w:p>
    <w:p>
      <w:pPr>
        <w:ind w:left="660" w:right="40" w:hanging="652"/>
        <w:spacing w:after="0" w:line="266" w:lineRule="auto"/>
        <w:tabs>
          <w:tab w:leader="none" w:pos="655"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028"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Impacts of Current Environment:</w:t>
      </w:r>
    </w:p>
    <w:p>
      <w:pPr>
        <w:spacing w:after="0" w:line="34" w:lineRule="exact"/>
        <w:rPr>
          <w:sz w:val="20"/>
          <w:szCs w:val="20"/>
          <w:color w:val="auto"/>
        </w:rPr>
      </w:pPr>
    </w:p>
    <w:p>
      <w:pPr>
        <w:ind w:left="20" w:right="40"/>
        <w:spacing w:after="0" w:line="232" w:lineRule="auto"/>
        <w:rPr>
          <w:sz w:val="20"/>
          <w:szCs w:val="20"/>
          <w:color w:val="auto"/>
        </w:rPr>
      </w:pPr>
      <w:r>
        <w:rPr>
          <w:rFonts w:ascii="Times New Roman" w:cs="Times New Roman" w:eastAsia="Times New Roman" w:hAnsi="Times New Roman"/>
          <w:sz w:val="16"/>
          <w:szCs w:val="16"/>
          <w:color w:val="auto"/>
        </w:rPr>
        <w:t>Information provided below reflects management’s best estimate based on current available information, however the completion of construction, final costs, return on investment, and timing of stabilization may be impacted by the current environment, including the impacts of COVID-19 and supply chain disruptions affecting the broader economy.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Projected POI Delivered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320" w:type="dxa"/>
            <w:vAlign w:val="bottom"/>
            <w:vMerge w:val="restart"/>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vMerge w:val="restart"/>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Costs to</w:t>
            </w:r>
          </w:p>
        </w:tc>
        <w:tc>
          <w:tcPr>
            <w:tcW w:w="202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For Year Ended December 31,</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23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320" w:type="dxa"/>
            <w:vAlign w:val="bottom"/>
            <w:tcBorders>
              <w:bottom w:val="single" w:sz="8" w:color="auto"/>
            </w:tcBorders>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(3)</w:t>
            </w:r>
          </w:p>
        </w:tc>
        <w:tc>
          <w:tcPr>
            <w:tcW w:w="94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Borders>
              <w:bottom w:val="single" w:sz="8" w:color="auto"/>
            </w:tcBorders>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2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7"/>
                <w:szCs w:val="17"/>
                <w:color w:val="auto"/>
              </w:rPr>
            </w:pPr>
          </w:p>
        </w:tc>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color w:val="auto"/>
              </w:rPr>
              <w:t>(in</w:t>
            </w:r>
          </w:p>
        </w:tc>
        <w:tc>
          <w:tcPr>
            <w:tcW w:w="940" w:type="dxa"/>
            <w:vAlign w:val="bottom"/>
          </w:tcPr>
          <w:p>
            <w:pPr>
              <w:jc w:val="center"/>
              <w:ind w:right="169"/>
              <w:spacing w:after="0" w:line="136" w:lineRule="exact"/>
              <w:rPr>
                <w:sz w:val="20"/>
                <w:szCs w:val="20"/>
                <w:color w:val="auto"/>
              </w:rPr>
            </w:pPr>
            <w:r>
              <w:rPr>
                <w:rFonts w:ascii="Times New Roman" w:cs="Times New Roman" w:eastAsia="Times New Roman" w:hAnsi="Times New Roman"/>
                <w:sz w:val="13"/>
                <w:szCs w:val="13"/>
                <w:color w:val="auto"/>
                <w:w w:val="96"/>
              </w:rPr>
              <w:t>(in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millions)</w:t>
            </w: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13"/>
                <w:szCs w:val="13"/>
                <w:color w:val="auto"/>
              </w:rPr>
              <w:t>millions)</w:t>
            </w: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Phase III</w:t>
            </w:r>
          </w:p>
        </w:tc>
        <w:tc>
          <w:tcPr>
            <w:tcW w:w="232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4"/>
                <w:szCs w:val="14"/>
                <w:color w:val="auto"/>
              </w:rPr>
              <w:t>- 277,000 SF of office</w:t>
            </w:r>
          </w:p>
        </w:tc>
        <w:tc>
          <w:tcPr>
            <w:tcW w:w="1320" w:type="dxa"/>
            <w:vAlign w:val="bottom"/>
            <w:shd w:val="clear" w:color="auto" w:fill="CCEEFF"/>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$465 - 485</w:t>
            </w:r>
          </w:p>
        </w:tc>
        <w:tc>
          <w:tcPr>
            <w:tcW w:w="9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4"/>
                <w:szCs w:val="14"/>
                <w:color w:val="auto"/>
              </w:rPr>
              <w:t>$471</w:t>
            </w:r>
          </w:p>
        </w:tc>
        <w:tc>
          <w:tcPr>
            <w:tcW w:w="820" w:type="dxa"/>
            <w:vAlign w:val="bottom"/>
            <w:shd w:val="clear" w:color="auto" w:fill="CCEEFF"/>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65 - 75%</w:t>
            </w:r>
          </w:p>
        </w:tc>
        <w:tc>
          <w:tcPr>
            <w:tcW w:w="1120" w:type="dxa"/>
            <w:vAlign w:val="bottom"/>
            <w:shd w:val="clear" w:color="auto" w:fill="CCEEFF"/>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80" w:type="dxa"/>
            <w:vAlign w:val="bottom"/>
            <w:shd w:val="clear" w:color="auto" w:fill="CCEEFF"/>
          </w:tcPr>
          <w:p>
            <w:pPr>
              <w:spacing w:after="0"/>
              <w:rPr>
                <w:sz w:val="11"/>
                <w:szCs w:val="11"/>
                <w:color w:val="auto"/>
              </w:rPr>
            </w:pPr>
          </w:p>
        </w:tc>
        <w:tc>
          <w:tcPr>
            <w:tcW w:w="22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244,000 square feet of office space</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39" w:lineRule="exact"/>
              <w:rPr>
                <w:sz w:val="20"/>
                <w:szCs w:val="20"/>
                <w:color w:val="auto"/>
              </w:rPr>
            </w:pPr>
            <w:r>
              <w:rPr>
                <w:rFonts w:ascii="Times New Roman" w:cs="Times New Roman" w:eastAsia="Times New Roman" w:hAnsi="Times New Roman"/>
                <w:sz w:val="14"/>
                <w:szCs w:val="14"/>
                <w:color w:val="auto"/>
              </w:rPr>
              <w:t>- 500 residential units</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leased</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320" w:type="dxa"/>
            <w:vAlign w:val="bottom"/>
            <w:gridSpan w:val="4"/>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- 56,000 SF of retail</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Residential units delivered Q3/Q4</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First retail tenants opened in Q2 2021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- 1.5M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- 326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680" w:type="dxa"/>
            <w:vAlign w:val="bottom"/>
            <w:gridSpan w:val="2"/>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208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184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909 Rose Avenue (Phase</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-212,000 SF of office</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$128 - 135</w:t>
            </w:r>
          </w:p>
        </w:tc>
        <w:tc>
          <w:tcPr>
            <w:tcW w:w="94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$124   (4)</w:t>
            </w:r>
          </w:p>
        </w:tc>
        <w:tc>
          <w:tcPr>
            <w:tcW w:w="82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60 - 70%</w:t>
            </w:r>
          </w:p>
        </w:tc>
        <w:tc>
          <w:tcPr>
            <w:tcW w:w="112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color w:val="auto"/>
              </w:rPr>
              <w:t>90 - 95%</w:t>
            </w:r>
          </w:p>
        </w:tc>
        <w:tc>
          <w:tcPr>
            <w:tcW w:w="80" w:type="dxa"/>
            <w:vAlign w:val="bottom"/>
          </w:tcPr>
          <w:p>
            <w:pPr>
              <w:spacing w:after="0"/>
              <w:rPr>
                <w:sz w:val="11"/>
                <w:szCs w:val="11"/>
                <w:color w:val="auto"/>
              </w:rPr>
            </w:pPr>
          </w:p>
        </w:tc>
        <w:tc>
          <w:tcPr>
            <w:tcW w:w="22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Opening began in Q3 2020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III)</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-7,000 SF of retail</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201,000 square feet leased</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915 Meeting Street (Phase</w:t>
            </w:r>
          </w:p>
        </w:tc>
        <w:tc>
          <w:tcPr>
            <w:tcW w:w="2320" w:type="dxa"/>
            <w:vAlign w:val="bottom"/>
            <w:gridSpan w:val="4"/>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-266,000 SF of office</w:t>
            </w:r>
          </w:p>
        </w:tc>
        <w:tc>
          <w:tcPr>
            <w:tcW w:w="1320" w:type="dxa"/>
            <w:vAlign w:val="bottom"/>
            <w:shd w:val="clear" w:color="auto" w:fill="CCEEFF"/>
          </w:tcPr>
          <w:p>
            <w:pPr>
              <w:jc w:val="center"/>
              <w:ind w:left="488"/>
              <w:spacing w:after="0" w:line="142" w:lineRule="exact"/>
              <w:rPr>
                <w:sz w:val="20"/>
                <w:szCs w:val="20"/>
                <w:color w:val="auto"/>
              </w:rPr>
            </w:pPr>
            <w:r>
              <w:rPr>
                <w:rFonts w:ascii="Times New Roman" w:cs="Times New Roman" w:eastAsia="Times New Roman" w:hAnsi="Times New Roman"/>
                <w:sz w:val="14"/>
                <w:szCs w:val="14"/>
                <w:color w:val="auto"/>
              </w:rPr>
              <w:t>6%</w:t>
            </w:r>
          </w:p>
        </w:tc>
        <w:tc>
          <w:tcPr>
            <w:tcW w:w="8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$185 - 200</w:t>
            </w:r>
          </w:p>
        </w:tc>
        <w:tc>
          <w:tcPr>
            <w:tcW w:w="940" w:type="dxa"/>
            <w:vAlign w:val="bottom"/>
            <w:shd w:val="clear" w:color="auto" w:fill="CCEEFF"/>
          </w:tcPr>
          <w:p>
            <w:pPr>
              <w:jc w:val="center"/>
              <w:ind w:right="169"/>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820" w:type="dxa"/>
            <w:vAlign w:val="bottom"/>
            <w:shd w:val="clear" w:color="auto" w:fill="CCEEFF"/>
          </w:tcPr>
          <w:p>
            <w:pPr>
              <w:jc w:val="center"/>
              <w:ind w:lef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105,000 SF of office space pre-leased</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IV)</w:t>
            </w:r>
          </w:p>
        </w:tc>
        <w:tc>
          <w:tcPr>
            <w:tcW w:w="23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-10,000 SF of retail</w:t>
            </w:r>
          </w:p>
        </w:tc>
        <w:tc>
          <w:tcPr>
            <w:tcW w:w="1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0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4"/>
                <w:szCs w:val="14"/>
                <w:color w:val="auto"/>
              </w:rPr>
              <w:t>- 530,000 SF of commercial</w:t>
            </w:r>
          </w:p>
        </w:tc>
        <w:tc>
          <w:tcPr>
            <w:tcW w:w="1320" w:type="dxa"/>
            <w:vAlign w:val="bottom"/>
          </w:tcPr>
          <w:p>
            <w:pPr>
              <w:jc w:val="center"/>
              <w:ind w:left="48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- 741 residential units</w:t>
            </w:r>
          </w:p>
        </w:tc>
        <w:tc>
          <w:tcPr>
            <w:tcW w:w="1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9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13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4"/>
                <w:szCs w:val="14"/>
                <w:color w:val="auto"/>
              </w:rPr>
              <w:t>Santana West</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4"/>
                <w:szCs w:val="14"/>
                <w:color w:val="auto"/>
              </w:rPr>
              <w:t>- 376,000 SF of office</w:t>
            </w:r>
          </w:p>
        </w:tc>
        <w:tc>
          <w:tcPr>
            <w:tcW w:w="1320" w:type="dxa"/>
            <w:vAlign w:val="bottom"/>
          </w:tcPr>
          <w:p>
            <w:pPr>
              <w:jc w:val="center"/>
              <w:ind w:left="488"/>
              <w:spacing w:after="0"/>
              <w:rPr>
                <w:sz w:val="20"/>
                <w:szCs w:val="20"/>
                <w:color w:val="auto"/>
              </w:rPr>
            </w:pPr>
            <w:r>
              <w:rPr>
                <w:rFonts w:ascii="Times New Roman" w:cs="Times New Roman" w:eastAsia="Times New Roman" w:hAnsi="Times New Roman"/>
                <w:sz w:val="14"/>
                <w:szCs w:val="14"/>
                <w:color w:val="auto"/>
              </w:rPr>
              <w:t>6-7%</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$300 - 315</w:t>
            </w:r>
          </w:p>
        </w:tc>
        <w:tc>
          <w:tcPr>
            <w:tcW w:w="9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$200</w:t>
            </w:r>
          </w:p>
        </w:tc>
        <w:tc>
          <w:tcPr>
            <w:tcW w:w="82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TBD</w:t>
            </w: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Future Phases</w:t>
            </w:r>
          </w:p>
        </w:tc>
        <w:tc>
          <w:tcPr>
            <w:tcW w:w="2320" w:type="dxa"/>
            <w:vAlign w:val="bottom"/>
            <w:gridSpan w:val="4"/>
          </w:tcPr>
          <w:p>
            <w:pPr>
              <w:ind w:left="60"/>
              <w:spacing w:after="0" w:line="156" w:lineRule="exact"/>
              <w:rPr>
                <w:sz w:val="20"/>
                <w:szCs w:val="20"/>
                <w:color w:val="auto"/>
              </w:rPr>
            </w:pPr>
            <w:r>
              <w:rPr>
                <w:rFonts w:ascii="Times New Roman" w:cs="Times New Roman" w:eastAsia="Times New Roman" w:hAnsi="Times New Roman"/>
                <w:sz w:val="14"/>
                <w:szCs w:val="14"/>
                <w:color w:val="auto"/>
              </w:rPr>
              <w:t>-321,000 SF of commercial</w:t>
            </w:r>
          </w:p>
        </w:tc>
        <w:tc>
          <w:tcPr>
            <w:tcW w:w="1320" w:type="dxa"/>
            <w:vAlign w:val="bottom"/>
          </w:tcPr>
          <w:p>
            <w:pPr>
              <w:jc w:val="center"/>
              <w:ind w:left="488"/>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8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w w:val="99"/>
              </w:rPr>
              <w:t>TBD</w:t>
            </w: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23430" cy="403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403225"/>
                    </a:xfrm>
                    <a:prstGeom prst="rect">
                      <a:avLst/>
                    </a:prstGeom>
                    <a:noFill/>
                  </pic:spPr>
                </pic:pic>
              </a:graphicData>
            </a:graphic>
          </wp:anchor>
        </w:drawing>
      </w:r>
    </w:p>
    <w:p>
      <w:pPr>
        <w:ind w:left="1680"/>
        <w:spacing w:after="0" w:line="221" w:lineRule="auto"/>
        <w:rPr>
          <w:sz w:val="20"/>
          <w:szCs w:val="20"/>
          <w:color w:val="auto"/>
        </w:rPr>
      </w:pPr>
      <w:r>
        <w:rPr>
          <w:rFonts w:ascii="Times New Roman" w:cs="Times New Roman" w:eastAsia="Times New Roman" w:hAnsi="Times New Roman"/>
          <w:sz w:val="14"/>
          <w:szCs w:val="14"/>
          <w:color w:val="auto"/>
        </w:rPr>
        <w:t>-395 residential units</w:t>
      </w:r>
    </w:p>
    <w:p>
      <w:pPr>
        <w:ind w:left="1680"/>
        <w:spacing w:after="0" w:line="221" w:lineRule="auto"/>
        <w:rPr>
          <w:sz w:val="20"/>
          <w:szCs w:val="20"/>
          <w:color w:val="auto"/>
        </w:rPr>
      </w:pPr>
      <w:r>
        <w:rPr>
          <w:rFonts w:ascii="Times New Roman" w:cs="Times New Roman" w:eastAsia="Times New Roman" w:hAnsi="Times New Roman"/>
          <w:sz w:val="14"/>
          <w:szCs w:val="14"/>
          <w:color w:val="auto"/>
        </w:rPr>
        <w:t>-604,000 SF of commercial across from</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4"/>
          <w:szCs w:val="14"/>
          <w:color w:val="auto"/>
        </w:rPr>
        <w:t>Santana Row</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7" w:lineRule="exact"/>
        <w:rPr>
          <w:sz w:val="20"/>
          <w:szCs w:val="20"/>
          <w:color w:val="auto"/>
        </w:rPr>
      </w:pPr>
    </w:p>
    <w:p>
      <w:pPr>
        <w:ind w:left="660" w:right="20" w:hanging="652"/>
        <w:spacing w:after="0" w:line="261"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opening dates, total cost, and projected return on investment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1" w:lineRule="exact"/>
        <w:rPr>
          <w:rFonts w:ascii="Times New Roman" w:cs="Times New Roman" w:eastAsia="Times New Roman" w:hAnsi="Times New Roman"/>
          <w:sz w:val="14"/>
          <w:szCs w:val="14"/>
          <w:color w:val="auto"/>
        </w:rPr>
      </w:pPr>
    </w:p>
    <w:p>
      <w:pPr>
        <w:ind w:left="660" w:right="180" w:hanging="652"/>
        <w:spacing w:after="0" w:line="251"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 Projected POI delivered includes straight-line rent.</w:t>
      </w:r>
    </w:p>
    <w:p>
      <w:pPr>
        <w:ind w:left="660" w:right="120" w:hanging="652"/>
        <w:spacing w:after="0" w:line="261"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costs for Assembly Row and Pike &amp; Rose include an allocation of infrastructure costs for the entire project. Phase I of Santana West includes an allocation of infrastructure for the Santana West site.</w:t>
      </w:r>
    </w:p>
    <w:p>
      <w:pPr>
        <w:ind w:left="660" w:right="200" w:hanging="652"/>
        <w:spacing w:after="0" w:line="263" w:lineRule="auto"/>
        <w:tabs>
          <w:tab w:leader="none" w:pos="6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Realty Investment Trust is leasing 45,000 square feet of office space at a market rent in Pike &amp; Rose Phase III delivered in August 2020. Revenue related to this rent will be eliminated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907" w:right="35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7"/>
          <w:szCs w:val="17"/>
          <w:b w:val="1"/>
          <w:bCs w:val="1"/>
          <w:color w:val="auto"/>
        </w:rPr>
        <w:t>Federal Realty Investment Trust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Future Redevelopment Opportunities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June 30, 2022</w:t>
      </w:r>
    </w:p>
    <w:p>
      <w:pPr>
        <w:spacing w:after="0" w:line="289" w:lineRule="exact"/>
        <w:rPr>
          <w:sz w:val="20"/>
          <w:szCs w:val="20"/>
          <w:color w:val="auto"/>
        </w:rPr>
      </w:pPr>
    </w:p>
    <w:p>
      <w:pPr>
        <w:ind w:left="20" w:right="700"/>
        <w:spacing w:after="0" w:line="22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w:t>
      </w:r>
    </w:p>
    <w:p>
      <w:pPr>
        <w:spacing w:after="0" w:line="1" w:lineRule="exact"/>
        <w:rPr>
          <w:sz w:val="20"/>
          <w:szCs w:val="20"/>
          <w:color w:val="auto"/>
        </w:rPr>
      </w:pPr>
    </w:p>
    <w:p>
      <w:pPr>
        <w:ind w:left="20" w:right="420"/>
        <w:spacing w:after="0" w:line="233" w:lineRule="auto"/>
        <w:rPr>
          <w:sz w:val="20"/>
          <w:szCs w:val="20"/>
          <w:color w:val="auto"/>
        </w:rPr>
      </w:pPr>
      <w:r>
        <w:rPr>
          <w:rFonts w:ascii="Times New Roman" w:cs="Times New Roman" w:eastAsia="Times New Roman" w:hAnsi="Times New Roman"/>
          <w:sz w:val="17"/>
          <w:szCs w:val="17"/>
          <w:b w:val="1"/>
          <w:bCs w:val="1"/>
          <w:i w:val="1"/>
          <w:iCs w:val="1"/>
          <w:color w:val="auto"/>
        </w:rPr>
        <w:t>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gridSpan w:val="2"/>
            <w:shd w:val="clear" w:color="auto" w:fill="DBDBDB"/>
          </w:tcPr>
          <w:p>
            <w:pPr>
              <w:ind w:left="2020"/>
              <w:spacing w:after="0"/>
              <w:rPr>
                <w:sz w:val="20"/>
                <w:szCs w:val="20"/>
                <w:color w:val="auto"/>
              </w:rPr>
            </w:pPr>
            <w:r>
              <w:rPr>
                <w:rFonts w:ascii="Times New Roman" w:cs="Times New Roman" w:eastAsia="Times New Roman" w:hAnsi="Times New Roman"/>
                <w:sz w:val="17"/>
                <w:szCs w:val="17"/>
                <w:b w:val="1"/>
                <w:bCs w:val="1"/>
                <w:color w:val="auto"/>
              </w:rPr>
              <w:t>Redevelopment Opportunities</w:t>
            </w:r>
          </w:p>
        </w:tc>
        <w:tc>
          <w:tcPr>
            <w:tcW w:w="2000" w:type="dxa"/>
            <w:vAlign w:val="bottom"/>
            <w:tcBorders>
              <w:bottom w:val="single" w:sz="8" w:color="auto"/>
            </w:tcBorders>
            <w:shd w:val="clear" w:color="auto" w:fill="DBDBDB"/>
          </w:tcPr>
          <w:p>
            <w:pPr>
              <w:spacing w:after="0"/>
              <w:rPr>
                <w:sz w:val="19"/>
                <w:szCs w:val="19"/>
                <w:color w:val="auto"/>
              </w:rPr>
            </w:pPr>
          </w:p>
        </w:tc>
      </w:tr>
      <w:tr>
        <w:trPr>
          <w:trHeight w:val="221"/>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color w:val="auto"/>
              </w:rPr>
              <w:t>Location</w:t>
            </w:r>
          </w:p>
        </w:tc>
        <w:tc>
          <w:tcPr>
            <w:tcW w:w="23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Expansion/Conversion (4)</w:t>
            </w:r>
          </w:p>
        </w:tc>
        <w:tc>
          <w:tcPr>
            <w:tcW w:w="19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7"/>
                <w:szCs w:val="17"/>
                <w:b w:val="1"/>
                <w:bCs w:val="1"/>
                <w:color w:val="auto"/>
              </w:rPr>
              <w:t>Residential (5)</w:t>
            </w:r>
          </w:p>
        </w:tc>
        <w:tc>
          <w:tcPr>
            <w:tcW w:w="2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Mixed Use - Long Term</w:t>
            </w:r>
          </w:p>
        </w:tc>
      </w:tr>
      <w:tr>
        <w:trPr>
          <w:trHeight w:val="279"/>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Assembly Row (1)</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Somerville, MA</w:t>
            </w:r>
          </w:p>
        </w:tc>
        <w:tc>
          <w:tcPr>
            <w:tcW w:w="234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2000" w:type="dxa"/>
            <w:vAlign w:val="bottom"/>
            <w:shd w:val="clear" w:color="auto" w:fill="CCEEFF"/>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8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 Cynwyd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Bala Cynwyd, PA</w:t>
            </w:r>
          </w:p>
        </w:tc>
        <w:tc>
          <w:tcPr>
            <w:tcW w:w="2340" w:type="dxa"/>
            <w:vAlign w:val="bottom"/>
          </w:tcPr>
          <w:p>
            <w:pPr>
              <w:spacing w:after="0"/>
              <w:rPr>
                <w:sz w:val="24"/>
                <w:szCs w:val="24"/>
                <w:color w:val="auto"/>
              </w:rPr>
            </w:pPr>
          </w:p>
        </w:tc>
        <w:tc>
          <w:tcPr>
            <w:tcW w:w="1920" w:type="dxa"/>
            <w:vAlign w:val="bottom"/>
          </w:tcPr>
          <w:p>
            <w:pPr>
              <w:jc w:val="center"/>
              <w:ind w:right="157"/>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8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Barracks Road</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Charlottesville, VA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jc w:val="center"/>
              <w:ind w:right="157"/>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shd w:val="clear" w:color="auto" w:fill="CCEEFF"/>
          </w:tcPr>
          <w:p>
            <w:pPr>
              <w:spacing w:after="0"/>
              <w:rPr>
                <w:sz w:val="24"/>
                <w:szCs w:val="24"/>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Bethesda Row</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Chelsea Commons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Chelsea, MA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Dedham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Dedham, MA</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Escondido Promenade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Escondido, CA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Fairfax Junction</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8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Federal Plaza</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Rockville, MD</w:t>
            </w:r>
          </w:p>
        </w:tc>
        <w:tc>
          <w:tcPr>
            <w:tcW w:w="2340" w:type="dxa"/>
            <w:vAlign w:val="bottom"/>
            <w:shd w:val="clear" w:color="auto" w:fill="CCEEFF"/>
          </w:tcPr>
          <w:p>
            <w:pPr>
              <w:spacing w:after="0"/>
              <w:rPr>
                <w:sz w:val="24"/>
                <w:szCs w:val="24"/>
                <w:color w:val="auto"/>
              </w:rPr>
            </w:pPr>
          </w:p>
        </w:tc>
        <w:tc>
          <w:tcPr>
            <w:tcW w:w="1920" w:type="dxa"/>
            <w:vAlign w:val="bottom"/>
            <w:shd w:val="clear" w:color="auto" w:fill="CCEEFF"/>
          </w:tcPr>
          <w:p>
            <w:pPr>
              <w:jc w:val="center"/>
              <w:ind w:right="157"/>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shd w:val="clear" w:color="auto" w:fill="CCEEFF"/>
          </w:tcPr>
          <w:p>
            <w:pPr>
              <w:spacing w:after="0"/>
              <w:rPr>
                <w:sz w:val="24"/>
                <w:szCs w:val="24"/>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Fourth Street</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Berkeley, CA</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8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Fresh Meadows</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Queens, NY</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Friendship Center</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Washington, DC</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Grossmont Center</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La Mesa, CA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Hastings Ranch Plaza</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Pasadena, CA</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Huntington</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Huntington, NY</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Mercer Mall</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Lawrenceville, NJ</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Pan Am</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Fairfax, VA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Pike &amp; Rose (2)</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North Bethesda, MD</w:t>
            </w:r>
          </w:p>
        </w:tc>
        <w:tc>
          <w:tcPr>
            <w:tcW w:w="2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Pike 7 Plaza</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Vienna, VA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Riverpoint Center</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Chicago, IL</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Santana Row (3)</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Santana Row - Santana West (3)</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San Jose, CA</w:t>
            </w:r>
          </w:p>
        </w:tc>
        <w:tc>
          <w:tcPr>
            <w:tcW w:w="234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00" w:type="dxa"/>
            <w:vAlign w:val="bottom"/>
          </w:tcPr>
          <w:p>
            <w:pPr>
              <w:jc w:val="center"/>
              <w:ind w:right="35"/>
              <w:spacing w:after="0" w:line="221" w:lineRule="exact"/>
              <w:rPr>
                <w:sz w:val="20"/>
                <w:szCs w:val="20"/>
                <w:color w:val="auto"/>
              </w:rPr>
            </w:pPr>
            <w:r>
              <w:rPr>
                <w:rFonts w:ascii="MS PGothic" w:cs="MS PGothic" w:eastAsia="MS PGothic" w:hAnsi="MS PGothic"/>
                <w:sz w:val="22"/>
                <w:szCs w:val="22"/>
                <w:color w:val="auto"/>
                <w:highlight w:val="black"/>
                <w:w w:val="81"/>
              </w:rPr>
              <w:t>✔</w:t>
            </w: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Village at Shirlington</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Arlington, VA</w:t>
            </w:r>
          </w:p>
        </w:tc>
        <w:tc>
          <w:tcPr>
            <w:tcW w:w="2340" w:type="dxa"/>
            <w:vAlign w:val="bottom"/>
            <w:shd w:val="clear" w:color="auto" w:fill="CCEEFF"/>
          </w:tcPr>
          <w:p>
            <w:pPr>
              <w:spacing w:after="0"/>
              <w:rPr>
                <w:sz w:val="23"/>
                <w:szCs w:val="23"/>
                <w:color w:val="auto"/>
              </w:rPr>
            </w:pPr>
          </w:p>
        </w:tc>
        <w:tc>
          <w:tcPr>
            <w:tcW w:w="1920" w:type="dxa"/>
            <w:vAlign w:val="bottom"/>
            <w:shd w:val="clear" w:color="auto" w:fill="CCEEFF"/>
          </w:tcPr>
          <w:p>
            <w:pPr>
              <w:jc w:val="center"/>
              <w:ind w:right="157"/>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2000" w:type="dxa"/>
            <w:vAlign w:val="bottom"/>
            <w:shd w:val="clear" w:color="auto" w:fill="CCEEFF"/>
          </w:tcPr>
          <w:p>
            <w:pPr>
              <w:spacing w:after="0"/>
              <w:rPr>
                <w:sz w:val="23"/>
                <w:szCs w:val="23"/>
                <w:color w:val="auto"/>
              </w:rPr>
            </w:pPr>
          </w:p>
        </w:tc>
      </w:tr>
      <w:tr>
        <w:trPr>
          <w:trHeight w:val="27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Wildwood</w:t>
            </w:r>
          </w:p>
        </w:tc>
        <w:tc>
          <w:tcPr>
            <w:tcW w:w="19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Bethesda, MD</w:t>
            </w:r>
          </w:p>
        </w:tc>
        <w:tc>
          <w:tcPr>
            <w:tcW w:w="2340" w:type="dxa"/>
            <w:vAlign w:val="bottom"/>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Willow Grove</w:t>
            </w:r>
          </w:p>
        </w:tc>
        <w:tc>
          <w:tcPr>
            <w:tcW w:w="1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Willow Grove, PA</w:t>
            </w:r>
          </w:p>
        </w:tc>
        <w:tc>
          <w:tcPr>
            <w:tcW w:w="2340" w:type="dxa"/>
            <w:vAlign w:val="bottom"/>
            <w:shd w:val="clear" w:color="auto" w:fill="CCEEFF"/>
          </w:tcPr>
          <w:p>
            <w:pPr>
              <w:jc w:val="center"/>
              <w:ind w:right="14"/>
              <w:spacing w:after="0" w:line="221" w:lineRule="exact"/>
              <w:rPr>
                <w:sz w:val="20"/>
                <w:szCs w:val="20"/>
                <w:color w:val="auto"/>
              </w:rPr>
            </w:pPr>
            <w:r>
              <w:rPr>
                <w:rFonts w:ascii="MS PGothic" w:cs="MS PGothic" w:eastAsia="MS PGothic" w:hAnsi="MS PGothic"/>
                <w:sz w:val="22"/>
                <w:szCs w:val="22"/>
                <w:color w:val="auto"/>
                <w:highlight w:val="black"/>
                <w:w w:val="81"/>
              </w:rPr>
              <w:t>✔</w:t>
            </w:r>
          </w:p>
        </w:tc>
        <w:tc>
          <w:tcPr>
            <w:tcW w:w="19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bl>
    <w:p>
      <w:pPr>
        <w:spacing w:after="0" w:line="248" w:lineRule="exact"/>
        <w:rPr>
          <w:sz w:val="20"/>
          <w:szCs w:val="20"/>
          <w:color w:val="auto"/>
        </w:rPr>
      </w:pPr>
    </w:p>
    <w:p>
      <w:pPr>
        <w:ind w:left="320" w:hanging="303"/>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Assembly Row after Phase III include approximately 1.5 million square feet of commercial-use buildings.</w:t>
      </w:r>
    </w:p>
    <w:p>
      <w:pPr>
        <w:spacing w:after="0" w:line="34" w:lineRule="exact"/>
        <w:rPr>
          <w:rFonts w:ascii="Times New Roman" w:cs="Times New Roman" w:eastAsia="Times New Roman" w:hAnsi="Times New Roman"/>
          <w:sz w:val="17"/>
          <w:szCs w:val="17"/>
          <w:color w:val="auto"/>
        </w:rPr>
      </w:pPr>
    </w:p>
    <w:p>
      <w:pPr>
        <w:ind w:left="320" w:right="180" w:hanging="303"/>
        <w:spacing w:after="0" w:line="23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Pike &amp; Rose after Phase IV include approximately 530,000 square feet of commercial-use buildings, and 741 residential units.</w:t>
      </w:r>
    </w:p>
    <w:p>
      <w:pPr>
        <w:spacing w:after="0" w:line="8" w:lineRule="exact"/>
        <w:rPr>
          <w:rFonts w:ascii="Times New Roman" w:cs="Times New Roman" w:eastAsia="Times New Roman" w:hAnsi="Times New Roman"/>
          <w:sz w:val="17"/>
          <w:szCs w:val="17"/>
          <w:color w:val="auto"/>
        </w:rPr>
      </w:pPr>
    </w:p>
    <w:p>
      <w:pPr>
        <w:ind w:left="320" w:right="620" w:hanging="303"/>
        <w:spacing w:after="0" w:line="23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Remaining entitlements at Santana Row include approximately 321,000 square feet of commercial space and 395 residential units, as well as approximately 604,000 square feet of commercial space across from Santana Row.</w:t>
      </w:r>
    </w:p>
    <w:p>
      <w:pPr>
        <w:spacing w:after="0" w:line="8" w:lineRule="exact"/>
        <w:rPr>
          <w:rFonts w:ascii="Times New Roman" w:cs="Times New Roman" w:eastAsia="Times New Roman" w:hAnsi="Times New Roman"/>
          <w:sz w:val="17"/>
          <w:szCs w:val="17"/>
          <w:color w:val="auto"/>
        </w:rPr>
      </w:pPr>
    </w:p>
    <w:p>
      <w:pPr>
        <w:ind w:left="320" w:right="320" w:hanging="303"/>
        <w:spacing w:after="0" w:line="235" w:lineRule="auto"/>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expansion/conversion includes opportunities at successful retail properties to convert previously underutilized land into new GLA, to convert other existing uses into more productive uses for the property, and/or to add both single tenant and muti-tenant stand alone pad buildings.</w:t>
      </w:r>
    </w:p>
    <w:p>
      <w:pPr>
        <w:spacing w:after="0" w:line="8" w:lineRule="exact"/>
        <w:rPr>
          <w:rFonts w:ascii="Times New Roman" w:cs="Times New Roman" w:eastAsia="Times New Roman" w:hAnsi="Times New Roman"/>
          <w:sz w:val="17"/>
          <w:szCs w:val="17"/>
          <w:color w:val="auto"/>
        </w:rPr>
      </w:pPr>
    </w:p>
    <w:p>
      <w:pPr>
        <w:ind w:left="320" w:hanging="303"/>
        <w:spacing w:after="0"/>
        <w:tabs>
          <w:tab w:leader="none" w:pos="3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Residential includes opportunities to add residential units to existing retail and mixed-use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660" w:top="1018" w:right="65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Acquisitions &amp; Other Transaction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Property Acquisition</w:t>
            </w:r>
          </w:p>
        </w:tc>
        <w:tc>
          <w:tcPr>
            <w:tcW w:w="23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2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Property</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City/State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GLA</w:t>
            </w:r>
          </w:p>
        </w:tc>
        <w:tc>
          <w:tcPr>
            <w:tcW w:w="160" w:type="dxa"/>
            <w:vAlign w:val="bottom"/>
          </w:tcPr>
          <w:p>
            <w:pPr>
              <w:spacing w:after="0"/>
              <w:rPr>
                <w:sz w:val="24"/>
                <w:szCs w:val="24"/>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8"/>
              </w:rPr>
              <w:t>Purchase</w:t>
            </w:r>
          </w:p>
        </w:tc>
        <w:tc>
          <w:tcPr>
            <w:tcW w:w="3340" w:type="dxa"/>
            <w:vAlign w:val="bottom"/>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Principal Tenants</w:t>
            </w:r>
          </w:p>
        </w:tc>
        <w:tc>
          <w:tcPr>
            <w:tcW w:w="0" w:type="dxa"/>
            <w:vAlign w:val="bottom"/>
          </w:tcPr>
          <w:p>
            <w:pPr>
              <w:spacing w:after="0"/>
              <w:rPr>
                <w:sz w:val="1"/>
                <w:szCs w:val="1"/>
                <w:color w:val="auto"/>
              </w:rPr>
            </w:pPr>
          </w:p>
        </w:tc>
      </w:tr>
      <w:tr>
        <w:trPr>
          <w:trHeight w:val="227"/>
        </w:trPr>
        <w:tc>
          <w:tcPr>
            <w:tcW w:w="1180" w:type="dxa"/>
            <w:vAlign w:val="bottom"/>
            <w:tcBorders>
              <w:bottom w:val="single" w:sz="8" w:color="auto"/>
            </w:tcBorders>
            <w:vMerge w:val="continue"/>
          </w:tcPr>
          <w:p>
            <w:pPr>
              <w:spacing w:after="0"/>
              <w:rPr>
                <w:sz w:val="19"/>
                <w:szCs w:val="19"/>
                <w:color w:val="auto"/>
              </w:rPr>
            </w:pPr>
          </w:p>
        </w:tc>
        <w:tc>
          <w:tcPr>
            <w:tcW w:w="2660" w:type="dxa"/>
            <w:vAlign w:val="bottom"/>
            <w:tcBorders>
              <w:bottom w:val="single" w:sz="8" w:color="auto"/>
            </w:tcBorders>
            <w:gridSpan w:val="2"/>
            <w:vMerge w:val="continue"/>
          </w:tcPr>
          <w:p>
            <w:pPr>
              <w:spacing w:after="0"/>
              <w:rPr>
                <w:sz w:val="19"/>
                <w:szCs w:val="19"/>
                <w:color w:val="auto"/>
              </w:rPr>
            </w:pPr>
          </w:p>
        </w:tc>
        <w:tc>
          <w:tcPr>
            <w:tcW w:w="19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rPr>
              <w:t>Price</w:t>
            </w:r>
          </w:p>
        </w:tc>
        <w:tc>
          <w:tcPr>
            <w:tcW w:w="33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7"/>
                <w:szCs w:val="17"/>
                <w:b w:val="1"/>
                <w:bCs w:val="1"/>
                <w:color w:val="auto"/>
                <w:w w:val="98"/>
              </w:rPr>
              <w:t>(in square</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 millions)</w:t>
            </w: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feet)</w:t>
            </w:r>
          </w:p>
        </w:tc>
        <w:tc>
          <w:tcPr>
            <w:tcW w:w="1040" w:type="dxa"/>
            <w:vAlign w:val="bottom"/>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40" w:type="dxa"/>
            <w:vAlign w:val="bottom"/>
            <w:gridSpan w:val="3"/>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April 20, 2022 &amp;  Kingstowne Towne Center</w:t>
            </w:r>
          </w:p>
        </w:tc>
        <w:tc>
          <w:tcPr>
            <w:tcW w:w="1900" w:type="dxa"/>
            <w:vAlign w:val="bottom"/>
            <w:shd w:val="clear" w:color="auto" w:fill="CCEEFF"/>
          </w:tcPr>
          <w:p>
            <w:pPr>
              <w:ind w:left="60"/>
              <w:spacing w:after="0" w:line="168" w:lineRule="exact"/>
              <w:rPr>
                <w:sz w:val="20"/>
                <w:szCs w:val="20"/>
                <w:color w:val="auto"/>
              </w:rPr>
            </w:pPr>
            <w:r>
              <w:rPr>
                <w:rFonts w:ascii="Times New Roman" w:cs="Times New Roman" w:eastAsia="Times New Roman" w:hAnsi="Times New Roman"/>
                <w:sz w:val="17"/>
                <w:szCs w:val="17"/>
                <w:color w:val="auto"/>
              </w:rPr>
              <w:t>Kingstowne, Virginia</w:t>
            </w:r>
          </w:p>
        </w:tc>
        <w:tc>
          <w:tcPr>
            <w:tcW w:w="112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410,000</w:t>
            </w:r>
          </w:p>
        </w:tc>
        <w:tc>
          <w:tcPr>
            <w:tcW w:w="1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5"/>
              <w:spacing w:after="0" w:line="168" w:lineRule="exact"/>
              <w:rPr>
                <w:sz w:val="20"/>
                <w:szCs w:val="20"/>
                <w:color w:val="auto"/>
              </w:rPr>
            </w:pPr>
            <w:r>
              <w:rPr>
                <w:rFonts w:ascii="Times New Roman" w:cs="Times New Roman" w:eastAsia="Times New Roman" w:hAnsi="Times New Roman"/>
                <w:sz w:val="17"/>
                <w:szCs w:val="17"/>
                <w:color w:val="auto"/>
              </w:rPr>
              <w:t>200.0</w:t>
            </w:r>
          </w:p>
        </w:tc>
        <w:tc>
          <w:tcPr>
            <w:tcW w:w="3340" w:type="dxa"/>
            <w:vAlign w:val="bottom"/>
            <w:shd w:val="clear" w:color="auto" w:fill="CCEEFF"/>
          </w:tcPr>
          <w:p>
            <w:pPr>
              <w:ind w:left="80"/>
              <w:spacing w:after="0" w:line="168" w:lineRule="exact"/>
              <w:rPr>
                <w:sz w:val="20"/>
                <w:szCs w:val="20"/>
                <w:color w:val="auto"/>
              </w:rPr>
            </w:pPr>
            <w:r>
              <w:rPr>
                <w:rFonts w:ascii="Times New Roman" w:cs="Times New Roman" w:eastAsia="Times New Roman" w:hAnsi="Times New Roman"/>
                <w:sz w:val="17"/>
                <w:szCs w:val="17"/>
                <w:color w:val="auto"/>
              </w:rPr>
              <w:t>Safeway / Giant / TJ Maxx / Ross Dress for</w:t>
            </w:r>
          </w:p>
        </w:tc>
        <w:tc>
          <w:tcPr>
            <w:tcW w:w="0" w:type="dxa"/>
            <w:vAlign w:val="bottom"/>
          </w:tcPr>
          <w:p>
            <w:pPr>
              <w:spacing w:after="0"/>
              <w:rPr>
                <w:sz w:val="1"/>
                <w:szCs w:val="1"/>
                <w:color w:val="auto"/>
              </w:rPr>
            </w:pPr>
          </w:p>
        </w:tc>
      </w:tr>
      <w:tr>
        <w:trPr>
          <w:trHeight w:val="224"/>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27, 2022</w:t>
            </w:r>
          </w:p>
        </w:tc>
        <w:tc>
          <w:tcPr>
            <w:tcW w:w="36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Less / Homegoods / Five Below</w:t>
            </w:r>
          </w:p>
        </w:tc>
        <w:tc>
          <w:tcPr>
            <w:tcW w:w="0" w:type="dxa"/>
            <w:vAlign w:val="bottom"/>
          </w:tcPr>
          <w:p>
            <w:pPr>
              <w:spacing w:after="0"/>
              <w:rPr>
                <w:sz w:val="1"/>
                <w:szCs w:val="1"/>
                <w:color w:val="auto"/>
              </w:rPr>
            </w:pPr>
          </w:p>
        </w:tc>
      </w:tr>
      <w:tr>
        <w:trPr>
          <w:trHeight w:val="226"/>
        </w:trPr>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July 18, 2022</w:t>
            </w:r>
          </w:p>
        </w:tc>
        <w:tc>
          <w:tcPr>
            <w:tcW w:w="26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Hilton Village (office building) (1)</w:t>
            </w:r>
          </w:p>
        </w:tc>
        <w:tc>
          <w:tcPr>
            <w:tcW w:w="1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Scottsdale, Arizona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53.6</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27, 2022</w:t>
            </w:r>
          </w:p>
        </w:tc>
        <w:tc>
          <w:tcPr>
            <w:tcW w:w="2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The Shops at Pembroke Gardens</w:t>
            </w:r>
          </w:p>
        </w:tc>
        <w:tc>
          <w:tcPr>
            <w:tcW w:w="1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Pembroke Pines, Florida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180.5</w:t>
            </w:r>
          </w:p>
        </w:tc>
        <w:tc>
          <w:tcPr>
            <w:tcW w:w="3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Nike / DSW / Old Navy / Barnes &amp; Noble</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The land is controlled under a long-term ground lease that expires on September 30, 2075.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Transaction</w:t>
      </w:r>
    </w:p>
    <w:p>
      <w:pPr>
        <w:spacing w:after="0" w:line="10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On July 13, 2022, we acquired the 21.8% redeemable noncontrolling interest in the partnership that owns our Plaza El Segundo Shopping Center for $23.6 million, bringing our ownership interest to 100%.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022"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vMerge w:val="continue"/>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0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40" w:type="dxa"/>
            <w:vAlign w:val="bottom"/>
          </w:tcPr>
          <w:p>
            <w:pPr>
              <w:spacing w:after="0"/>
              <w:rPr>
                <w:sz w:val="9"/>
                <w:szCs w:val="9"/>
                <w:color w:val="auto"/>
              </w:rPr>
            </w:pPr>
          </w:p>
        </w:tc>
        <w:tc>
          <w:tcPr>
            <w:tcW w:w="880" w:type="dxa"/>
            <w:vAlign w:val="bottom"/>
            <w:vMerge w:val="restart"/>
          </w:tcPr>
          <w:p>
            <w:pPr>
              <w:jc w:val="center"/>
              <w:ind w:right="59"/>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California</w:t>
            </w:r>
          </w:p>
        </w:tc>
        <w:tc>
          <w:tcPr>
            <w:tcW w:w="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3"/>
                <w:szCs w:val="13"/>
                <w:color w:val="auto"/>
              </w:rPr>
              <w:t>Azalea</w:t>
            </w:r>
          </w:p>
        </w:tc>
        <w:tc>
          <w:tcPr>
            <w:tcW w:w="5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tcBorders>
              <w:top w:val="single" w:sz="8" w:color="CCEEFF"/>
            </w:tcBorders>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  109,166</w:t>
            </w:r>
          </w:p>
        </w:tc>
        <w:tc>
          <w:tcPr>
            <w:tcW w:w="1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40,000</w:t>
            </w:r>
          </w:p>
        </w:tc>
        <w:tc>
          <w:tcPr>
            <w:tcW w:w="4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top w:val="single" w:sz="8" w:color="CCEEFF"/>
            </w:tcBorders>
          </w:tcPr>
          <w:p>
            <w:pPr>
              <w:spacing w:after="0"/>
              <w:rPr>
                <w:sz w:val="10"/>
                <w:szCs w:val="10"/>
                <w:color w:val="auto"/>
              </w:rPr>
            </w:pPr>
          </w:p>
        </w:tc>
        <w:tc>
          <w:tcPr>
            <w:tcW w:w="64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Borders>
              <w:top w:val="single" w:sz="8" w:color="CCEEFF"/>
            </w:tcBorders>
          </w:tcPr>
          <w:p>
            <w:pPr>
              <w:spacing w:after="0"/>
              <w:rPr>
                <w:sz w:val="10"/>
                <w:szCs w:val="10"/>
                <w:color w:val="auto"/>
              </w:rPr>
            </w:pPr>
          </w:p>
        </w:tc>
        <w:tc>
          <w:tcPr>
            <w:tcW w:w="540" w:type="dxa"/>
            <w:vAlign w:val="bottom"/>
            <w:tcBorders>
              <w:top w:val="single" w:sz="8" w:color="CCEEFF"/>
            </w:tcBorders>
          </w:tcPr>
          <w:p>
            <w:pPr>
              <w:spacing w:after="0"/>
              <w:rPr>
                <w:sz w:val="10"/>
                <w:szCs w:val="10"/>
                <w:color w:val="auto"/>
              </w:rPr>
            </w:pPr>
          </w:p>
        </w:tc>
        <w:tc>
          <w:tcPr>
            <w:tcW w:w="820" w:type="dxa"/>
            <w:vAlign w:val="bottom"/>
            <w:tcBorders>
              <w:top w:val="single" w:sz="8" w:color="CCEEFF"/>
            </w:tcBorders>
          </w:tcPr>
          <w:p>
            <w:pPr>
              <w:spacing w:after="0"/>
              <w:rPr>
                <w:sz w:val="10"/>
                <w:szCs w:val="10"/>
                <w:color w:val="auto"/>
              </w:rPr>
            </w:pPr>
          </w:p>
        </w:tc>
        <w:tc>
          <w:tcPr>
            <w:tcW w:w="2000" w:type="dxa"/>
            <w:vAlign w:val="bottom"/>
            <w:tcBorders>
              <w:top w:val="single" w:sz="8" w:color="CCEEFF"/>
            </w:tcBorders>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Marshalls / Ross Dress for Less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Michaels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Bell Gardens</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116,669</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11,983</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67,000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Bob's Discount 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Colorado Blvd</w:t>
            </w: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Banana Republic / True Food Kitchen</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Crow Canyon</w:t>
            </w:r>
          </w:p>
        </w:tc>
        <w:tc>
          <w:tcPr>
            <w:tcW w:w="3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90,752</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243,000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32,000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Sprouts</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Total Wine &amp; More / Rite Aid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Commons</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Alamo Ace Hardware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East Bay Bridge</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179,576</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440,000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59,000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Pak-N-Save</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 Depot / Target / Nordstrom</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Rack</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Escondido</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54,922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Dick’s Sporting 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Promenade</w:t>
            </w: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Ross Dress For Less / Bob's Discount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Furniture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Fourth Street</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27,235</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CB2</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Freedom Plaza</w:t>
            </w:r>
          </w:p>
        </w:tc>
        <w:tc>
          <w:tcPr>
            <w:tcW w:w="32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44,009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w w:val="96"/>
              </w:rPr>
              <w:t>Smart &amp; Final</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Nike / Blink Fitness / Ross Dress For</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Grossmont Center</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Diego-Carlsbad,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176,190</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Walmart / Macy's / CVS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Hastings Ranch</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25,710</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HomeGoods / CVS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Sears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Hollywood Blvd</w:t>
            </w: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61,886</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Target / Marshalls / L.A. Fitness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Kings Court</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11,631</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31,000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Lunardi's</w:t>
            </w: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Old Town Center</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40,157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Anthropologie / Sephora / Teleferic</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Barcelona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Olivo at Mission</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82,379</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Target / 24 Hour Fitness / Ross Dress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Hills</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Plaza Del Sol</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Plaza El Segundo /</w:t>
            </w:r>
          </w:p>
        </w:tc>
        <w:tc>
          <w:tcPr>
            <w:tcW w:w="320" w:type="dxa"/>
            <w:vAlign w:val="bottom"/>
            <w:shd w:val="clear" w:color="auto" w:fill="CCEEFF"/>
          </w:tcPr>
          <w:p>
            <w:pPr>
              <w:jc w:val="right"/>
              <w:ind w:right="17"/>
              <w:spacing w:after="0" w:line="128"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300,979</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125,000</w:t>
            </w: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501,000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66,000</w:t>
            </w:r>
          </w:p>
        </w:tc>
        <w:tc>
          <w:tcPr>
            <w:tcW w:w="82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Whole Foods</w:t>
            </w: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Nordstrom Rack / HomeGoods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Point</w:t>
            </w:r>
          </w:p>
        </w:tc>
        <w:tc>
          <w:tcPr>
            <w:tcW w:w="3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Dick's Sporting Goods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San Antonio Center</w:t>
            </w:r>
          </w:p>
        </w:tc>
        <w:tc>
          <w:tcPr>
            <w:tcW w:w="3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49,819</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Walmart / 24 Hour Fitness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Santana Row</w:t>
            </w:r>
          </w:p>
        </w:tc>
        <w:tc>
          <w:tcPr>
            <w:tcW w:w="32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1,262,116</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1,205,000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662</w:t>
            </w: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Crate &amp; Barrel / CB2 / H&amp;M / Best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Buy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Sylmar Towne</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46,210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43,000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Food 4 Less</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Third Street</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88,795</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adidas / Madewell / Patagonia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Promenade</w:t>
            </w:r>
          </w:p>
        </w:tc>
        <w:tc>
          <w:tcPr>
            <w:tcW w:w="3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Westgate Center</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158,307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Target / Nordstrom Rack / Nike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Factory / TJ Maxx</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80"/>
              <w:spacing w:after="0" w:line="146" w:lineRule="exact"/>
              <w:rPr>
                <w:sz w:val="20"/>
                <w:szCs w:val="20"/>
                <w:color w:val="auto"/>
              </w:rPr>
            </w:pPr>
            <w:r>
              <w:rPr>
                <w:rFonts w:ascii="Times New Roman" w:cs="Times New Roman" w:eastAsia="Times New Roman" w:hAnsi="Times New Roman"/>
                <w:sz w:val="13"/>
                <w:szCs w:val="13"/>
                <w:b w:val="1"/>
                <w:bCs w:val="1"/>
                <w:color w:val="auto"/>
              </w:rPr>
              <w:t>Total California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2,958,321</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6,451,000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20" w:type="dxa"/>
            <w:vAlign w:val="bottom"/>
            <w:gridSpan w:val="3"/>
          </w:tcPr>
          <w:p>
            <w:pPr>
              <w:spacing w:after="0"/>
              <w:rPr>
                <w:sz w:val="9"/>
                <w:szCs w:val="9"/>
                <w:color w:val="auto"/>
              </w:rPr>
            </w:pPr>
          </w:p>
        </w:tc>
        <w:tc>
          <w:tcPr>
            <w:tcW w:w="20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740" w:type="dxa"/>
            <w:vAlign w:val="bottom"/>
            <w:gridSpan w:val="5"/>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Barcroft Plaza</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50,287</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Bethesda Row</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251,716</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529,000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180</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Apple / Equinox / Anthropologie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Birch &amp; Broad</w:t>
            </w:r>
          </w:p>
        </w:tc>
        <w:tc>
          <w:tcPr>
            <w:tcW w:w="320" w:type="dxa"/>
            <w:vAlign w:val="bottom"/>
          </w:tcPr>
          <w:p>
            <w:pPr>
              <w:spacing w:after="0"/>
              <w:rPr>
                <w:sz w:val="10"/>
                <w:szCs w:val="10"/>
                <w:color w:val="auto"/>
              </w:rPr>
            </w:pP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24,563</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Chesterbrook</w:t>
            </w:r>
          </w:p>
        </w:tc>
        <w:tc>
          <w:tcPr>
            <w:tcW w:w="320" w:type="dxa"/>
            <w:vAlign w:val="bottom"/>
            <w:shd w:val="clear" w:color="auto" w:fill="CCEEFF"/>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38,640</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78 %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Starbucks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Congressional Plaza</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(4)</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109,963</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194</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The Fresh</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Buy Buy Baby / Ulta / Barnes &amp;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0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 / Container Store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Courthouse Center</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7,083</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69 %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gridSpan w:val="2"/>
          </w:tcPr>
          <w:p>
            <w:pPr>
              <w:spacing w:after="0" w:line="122" w:lineRule="exact"/>
              <w:rPr>
                <w:sz w:val="20"/>
                <w:szCs w:val="20"/>
                <w:color w:val="auto"/>
              </w:rPr>
            </w:pPr>
            <w:r>
              <w:rPr>
                <w:rFonts w:ascii="Times New Roman" w:cs="Times New Roman" w:eastAsia="Times New Roman" w:hAnsi="Times New Roman"/>
                <w:sz w:val="13"/>
                <w:szCs w:val="13"/>
                <w:color w:val="auto"/>
              </w:rPr>
              <w:t>Fairfax Junction</w:t>
            </w:r>
          </w:p>
        </w:tc>
        <w:tc>
          <w:tcPr>
            <w:tcW w:w="32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300" w:type="dxa"/>
            <w:vAlign w:val="bottom"/>
            <w:gridSpan w:val="2"/>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42,373</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23,000</w:t>
            </w:r>
          </w:p>
        </w:tc>
        <w:tc>
          <w:tcPr>
            <w:tcW w:w="82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200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Federal Plaza</w:t>
            </w:r>
          </w:p>
        </w:tc>
        <w:tc>
          <w:tcPr>
            <w:tcW w:w="320" w:type="dxa"/>
            <w:vAlign w:val="bottom"/>
            <w:shd w:val="clear" w:color="auto" w:fill="CCEEFF"/>
          </w:tcPr>
          <w:p>
            <w:pPr>
              <w:spacing w:after="0"/>
              <w:rPr>
                <w:sz w:val="10"/>
                <w:szCs w:val="10"/>
                <w:color w:val="auto"/>
              </w:rPr>
            </w:pPr>
          </w:p>
        </w:tc>
        <w:tc>
          <w:tcPr>
            <w:tcW w:w="230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Washington-Arlington-Alexandria, DC-</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72,912</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249,000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20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TJ Maxx / Micro Center / Ross Dress</w:t>
            </w: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VA-MD-WV</w:t>
            </w: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For Less</w:t>
            </w:r>
          </w:p>
        </w:tc>
        <w:tc>
          <w:tcPr>
            <w:tcW w:w="0" w:type="dxa"/>
            <w:vAlign w:val="bottom"/>
          </w:tcPr>
          <w:p>
            <w:pPr>
              <w:spacing w:after="0"/>
              <w:rPr>
                <w:sz w:val="1"/>
                <w:szCs w:val="1"/>
                <w:color w:val="auto"/>
              </w:rPr>
            </w:pPr>
          </w:p>
        </w:tc>
      </w:tr>
      <w:tr>
        <w:trPr>
          <w:trHeight w:val="25"/>
        </w:trPr>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028"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Anchor</w:t>
            </w:r>
          </w:p>
        </w:tc>
        <w:tc>
          <w:tcPr>
            <w:tcW w:w="8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thousands)</w:t>
            </w:r>
          </w:p>
        </w:tc>
        <w:tc>
          <w:tcPr>
            <w:tcW w:w="10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Friendship Center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36,735</w:t>
            </w:r>
          </w:p>
        </w:tc>
        <w:tc>
          <w:tcPr>
            <w:tcW w:w="1020" w:type="dxa"/>
            <w:vAlign w:val="bottom"/>
          </w:tcPr>
          <w:p>
            <w:pPr>
              <w:spacing w:after="0"/>
              <w:rPr>
                <w:sz w:val="12"/>
                <w:szCs w:val="12"/>
                <w:color w:val="auto"/>
              </w:rPr>
            </w:pPr>
          </w:p>
        </w:tc>
        <w:tc>
          <w:tcPr>
            <w:tcW w:w="4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2"/>
                <w:szCs w:val="12"/>
                <w:color w:val="auto"/>
              </w:rPr>
            </w:pP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78,000</w:t>
            </w: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Marshalls / DSW / Maggiano's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Gaithersburg</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38,303</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208,000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Ross Dress For Less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Square</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Ashley Furniture HomeStore / CVS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Graham Park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24,695</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58,000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Idylwood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17,691</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30,000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w w:val="99"/>
              </w:rPr>
              <w:t>Kingstowne Towne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104,856</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66,000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TJ Maxx / HomeGoods / Five Below</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Center</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Laurel</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60,460</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L.A. Fitness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Montrose Crossing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172,137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73,000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Home Depot Design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Center / Old Navy / Burlington</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Mount</w:t>
            </w:r>
          </w:p>
        </w:tc>
        <w:tc>
          <w:tcPr>
            <w:tcW w:w="42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(5)</w:t>
            </w: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93,811</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565,000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62,000</w:t>
            </w:r>
          </w:p>
        </w:tc>
        <w:tc>
          <w:tcPr>
            <w:tcW w:w="282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Shoppers Food TJ Maxx / Home Depot / Bed, Bath</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Vernon/South</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MD-WV</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&amp; Beyond / Results Fitness</w:t>
            </w:r>
          </w:p>
        </w:tc>
        <w:tc>
          <w:tcPr>
            <w:tcW w:w="0" w:type="dxa"/>
            <w:vAlign w:val="bottom"/>
          </w:tcPr>
          <w:p>
            <w:pPr>
              <w:spacing w:after="0"/>
              <w:rPr>
                <w:sz w:val="1"/>
                <w:szCs w:val="1"/>
                <w:color w:val="auto"/>
              </w:rPr>
            </w:pPr>
          </w:p>
        </w:tc>
      </w:tr>
      <w:tr>
        <w:trPr>
          <w:trHeight w:val="130"/>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Valley/7770</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Richmond Hwy</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Old Keene Mill</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13,359</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91,000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Pan Am</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31,237</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95 %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65,000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Micro Center / CVS / Michaels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Pentagon Row</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109,835</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Ulta</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Pike &amp; Rose</w:t>
            </w:r>
          </w:p>
        </w:tc>
        <w:tc>
          <w:tcPr>
            <w:tcW w:w="42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(6)</w:t>
            </w: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756,555</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636,000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765</w:t>
            </w: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9"/>
              </w:rPr>
              <w:t>Porsche / Uniqlo / REI / H&amp;M / L.L.</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Bean / Multiple 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Pike 7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51,512</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172,000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DSW / Crunch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Plaza del Mercado</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46,917</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116,000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Quince Orchard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41,410</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19,000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Aldi</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HomeGoods / L.A. Fitness / Staples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Rockville Town</w:t>
            </w:r>
          </w:p>
        </w:tc>
        <w:tc>
          <w:tcPr>
            <w:tcW w:w="42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49,623</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4,355</w:t>
            </w: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25,000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Dawson's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Gold's Gym / Multiple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Square</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Rollingwood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14,017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720" w:type="dxa"/>
            <w:vAlign w:val="bottom"/>
            <w:gridSpan w:val="2"/>
          </w:tcPr>
          <w:p>
            <w:pPr>
              <w:ind w:left="400"/>
              <w:spacing w:after="0" w:line="122" w:lineRule="exact"/>
              <w:rPr>
                <w:sz w:val="20"/>
                <w:szCs w:val="20"/>
                <w:color w:val="auto"/>
              </w:rPr>
            </w:pPr>
            <w:r>
              <w:rPr>
                <w:rFonts w:ascii="Times New Roman" w:cs="Times New Roman" w:eastAsia="Times New Roman" w:hAnsi="Times New Roman"/>
                <w:sz w:val="13"/>
                <w:szCs w:val="13"/>
                <w:color w:val="auto"/>
              </w:rPr>
              <w:t>N/A</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282</w:t>
            </w: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Apartments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Tower Shopping</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22,959</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111,000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86 %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26,000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L.A. Mart</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Talbots / Total Wine &amp; More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Center</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Twinbrooke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35,617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35,000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Safeway</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Shopping Centre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Tyson's Station</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6,263</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Village at</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(7)</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71,332</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6,942</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267,000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83 %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28,000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Harris Teeter</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AMC / Carlyle Grand Café</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Shirlington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Wildwood</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5"/>
              </w:rPr>
              <w:t>Washington-Arlington-Alexandria, DC-VA-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27,528</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20,000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Balducci's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Multiple Restaurants</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MD-WV</w:t>
            </w:r>
          </w:p>
        </w:tc>
        <w:tc>
          <w:tcPr>
            <w:tcW w:w="6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2,424,389</w:t>
            </w:r>
          </w:p>
        </w:tc>
        <w:tc>
          <w:tcPr>
            <w:tcW w:w="1020" w:type="dxa"/>
            <w:vAlign w:val="bottom"/>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6,244,000</w:t>
            </w: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shd w:val="clear" w:color="auto" w:fill="CCEEFF"/>
          </w:tcPr>
          <w:p>
            <w:pPr>
              <w:spacing w:after="0"/>
              <w:rPr>
                <w:sz w:val="9"/>
                <w:szCs w:val="9"/>
                <w:color w:val="auto"/>
              </w:rPr>
            </w:pPr>
          </w:p>
        </w:tc>
        <w:tc>
          <w:tcPr>
            <w:tcW w:w="1260" w:type="dxa"/>
            <w:vAlign w:val="bottom"/>
            <w:gridSpan w:val="2"/>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NY Metro/New Jersey</w:t>
            </w:r>
          </w:p>
        </w:tc>
        <w:tc>
          <w:tcPr>
            <w:tcW w:w="2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Brick Plaza</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105,594</w:t>
            </w:r>
          </w:p>
        </w:tc>
        <w:tc>
          <w:tcPr>
            <w:tcW w:w="102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407,000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14,000</w:t>
            </w:r>
          </w:p>
        </w:tc>
        <w:tc>
          <w:tcPr>
            <w:tcW w:w="8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HomeGoods / Ulta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Brook 35</w:t>
            </w:r>
          </w:p>
        </w:tc>
        <w:tc>
          <w:tcPr>
            <w:tcW w:w="4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color w:val="auto"/>
              </w:rPr>
              <w:t>(4) (5)</w:t>
            </w: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50,569</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11,500</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Banana Republic / Gap / Williams-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Darien Commons</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118,465</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w:t>
            </w: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Equinox / Walgreens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Fresh Meadows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94,025</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Island of Gold</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AMC / Kohl's / Michaels</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Georgetowne</w:t>
            </w: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84,490</w:t>
            </w:r>
          </w:p>
        </w:tc>
        <w:tc>
          <w:tcPr>
            <w:tcW w:w="10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146,000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87 %</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shd w:val="clear" w:color="auto" w:fill="CCEEFF"/>
          </w:tcPr>
          <w:p>
            <w:pPr>
              <w:ind w:left="80"/>
              <w:spacing w:after="0" w:line="128" w:lineRule="exact"/>
              <w:rPr>
                <w:sz w:val="20"/>
                <w:szCs w:val="20"/>
                <w:color w:val="auto"/>
              </w:rPr>
            </w:pPr>
            <w:r>
              <w:rPr>
                <w:rFonts w:ascii="Times New Roman" w:cs="Times New Roman" w:eastAsia="Times New Roman" w:hAnsi="Times New Roman"/>
                <w:sz w:val="13"/>
                <w:szCs w:val="13"/>
                <w:color w:val="auto"/>
              </w:rPr>
              <w:t>Foodway</w:t>
            </w:r>
          </w:p>
        </w:tc>
        <w:tc>
          <w:tcPr>
            <w:tcW w:w="19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Five Below / IHOP</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Shopping Center</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tcPr>
          <w:p>
            <w:pPr>
              <w:spacing w:after="0" w:line="122" w:lineRule="exact"/>
              <w:rPr>
                <w:sz w:val="20"/>
                <w:szCs w:val="20"/>
                <w:color w:val="auto"/>
              </w:rPr>
            </w:pPr>
            <w:r>
              <w:rPr>
                <w:rFonts w:ascii="Times New Roman" w:cs="Times New Roman" w:eastAsia="Times New Roman" w:hAnsi="Times New Roman"/>
                <w:sz w:val="13"/>
                <w:szCs w:val="13"/>
                <w:color w:val="auto"/>
              </w:rPr>
              <w:t>Greenlawn Plaza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33,347</w:t>
            </w:r>
          </w:p>
        </w:tc>
        <w:tc>
          <w:tcPr>
            <w:tcW w:w="10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92 %</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tcPr>
          <w:p>
            <w:pPr>
              <w:ind w:left="80"/>
              <w:spacing w:after="0" w:line="122" w:lineRule="exact"/>
              <w:rPr>
                <w:sz w:val="20"/>
                <w:szCs w:val="20"/>
                <w:color w:val="auto"/>
              </w:rPr>
            </w:pPr>
            <w:r>
              <w:rPr>
                <w:rFonts w:ascii="Times New Roman" w:cs="Times New Roman" w:eastAsia="Times New Roman" w:hAnsi="Times New Roman"/>
                <w:sz w:val="13"/>
                <w:szCs w:val="13"/>
                <w:color w:val="auto"/>
              </w:rPr>
              <w:t>Greenlawn</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Tuesday Morning / Planet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Farms</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Greenwich Avenue</w:t>
            </w: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23,748</w:t>
            </w: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Saks Fifth Avenue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Hauppauge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35,193</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Hoboken</w:t>
            </w:r>
          </w:p>
        </w:tc>
        <w:tc>
          <w:tcPr>
            <w:tcW w:w="420" w:type="dxa"/>
            <w:vAlign w:val="bottom"/>
            <w:gridSpan w:val="2"/>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(4) (8)</w:t>
            </w:r>
          </w:p>
        </w:tc>
        <w:tc>
          <w:tcPr>
            <w:tcW w:w="22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216,615</w:t>
            </w:r>
          </w:p>
        </w:tc>
        <w:tc>
          <w:tcPr>
            <w:tcW w:w="10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87,113</w:t>
            </w: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171,000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129</w:t>
            </w: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9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CVS / New York Sports Club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Sephora / Multiple 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auto"/>
              </w:rPr>
              <w:t>Huntington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7"/>
              </w:rPr>
              <w:t>New York-Newark-Jersey City, NY-NJ-PA</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67,046</w:t>
            </w:r>
          </w:p>
        </w:tc>
        <w:tc>
          <w:tcPr>
            <w:tcW w:w="10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Petsmart / Michaels / Ulta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028"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1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(3)</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64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color w:val="auto"/>
                <w:w w:val="97"/>
              </w:rPr>
              <w:t>(in</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10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Huntington Square</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13,716</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Barnes &amp; Noble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Melville Mall</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104,920</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Uncle</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Dick's Sporting Goods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Giuseppe's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Macy's Backstage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Marketplace</w:t>
            </w: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Mercer Mall</w:t>
            </w:r>
          </w:p>
        </w:tc>
        <w:tc>
          <w:tcPr>
            <w:tcW w:w="4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(7)</w:t>
            </w: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Trenton, 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131,062</w:t>
            </w:r>
          </w:p>
        </w:tc>
        <w:tc>
          <w:tcPr>
            <w:tcW w:w="10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55,150</w:t>
            </w: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551,000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Shop Rite</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Ferguson Bath, Kitchen, &amp; Lighting /</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9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Ross Dress For Less / Nordstrom</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Rack / REI / Tesla</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5"/>
              </w:rPr>
              <w:t>(4) (5)</w:t>
            </w: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129,402</w:t>
            </w:r>
          </w:p>
        </w:tc>
        <w:tc>
          <w:tcPr>
            <w:tcW w:w="10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43,600</w:t>
            </w: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193,000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Lululemon / Anthropologie / Pottery</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Barn / Williams-Sonoma</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Troy</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6"/>
              </w:rPr>
              <w:t>New York-Newark-Jersey City, NY-NJ-PA</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41,285</w:t>
            </w:r>
          </w:p>
        </w:tc>
        <w:tc>
          <w:tcPr>
            <w:tcW w:w="10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Target / L.A. Fitness / Michaels</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1,249,477</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2,988,000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gridSpan w:val="3"/>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gridSpan w:val="6"/>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Andorra</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33,606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270,000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24,000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TJ Maxx / Kohl's / L.A. Fitness / Five</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Below</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Bala Cynwyd</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68,677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94 %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87</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Michaels / L.A. Fitness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Ellisburg</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36,827</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260,000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47,000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Whole Foods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Buy Buy Baby / RH Outlet</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Flourtown</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17,301</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Movie Tavern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Langhorne Square</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24,086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223,000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55,000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Redner's</w:t>
            </w: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Planet Fitness</w:t>
            </w: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DE-MD</w:t>
            </w:r>
          </w:p>
        </w:tc>
        <w:tc>
          <w:tcPr>
            <w:tcW w:w="6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Markets</w:t>
            </w: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Lawrence Park</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55,687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356,000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w w:val="98"/>
              </w:rPr>
              <w:t>Acme Markets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HomeGoods / Barnes &amp;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Noble</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Northeast</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34,493</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214,000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81 %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Ulta / Skechers / Crunch</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Fitness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Town Center of</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17,073</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90 %</w:t>
            </w:r>
          </w:p>
        </w:tc>
        <w:tc>
          <w:tcPr>
            <w:tcW w:w="66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36,000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Rite Aid / Dollar Tree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New Britain</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Willow Grove</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33,316</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105,000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Marshalls / Five Below</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Wynnewood</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Philadelphia-Camden-Wilmington, PA-NJ-</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43,007</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1"/>
              </w:rPr>
              <w:t>9</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98,000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Giant Food</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Bed, Bath &amp; Beyond / Old Navy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364,073</w:t>
            </w: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2,130,000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 England</w:t>
            </w:r>
          </w:p>
        </w:tc>
        <w:tc>
          <w:tcPr>
            <w:tcW w:w="2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9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9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Assembly Row /</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w:t>
            </w: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1,109,935</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1,148,000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947</w:t>
            </w: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4"/>
              </w:rPr>
              <w:t>18,000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TJ Maxx / AMC / Nike / Multiple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Assembly Square</w:t>
            </w: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Marketplace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Campus Plaza</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30,555</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Chelsea Commons</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30,871</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4,650</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Home Depot / Planet Fitness / CVS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Dedham Plaza</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47,427</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80,000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Star Market</w:t>
            </w:r>
          </w:p>
        </w:tc>
        <w:tc>
          <w:tcPr>
            <w:tcW w:w="1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Planet Fitness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Linden Square</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154,999</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Roche Bros.</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CVS</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North Dartmouth</w:t>
            </w: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Providence-Warwick, RI-MA</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9,369</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48,000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3"/>
                <w:szCs w:val="13"/>
                <w:color w:val="auto"/>
              </w:rPr>
              <w:t>Queen Anne Plaza</w:t>
            </w:r>
          </w:p>
        </w:tc>
        <w:tc>
          <w:tcPr>
            <w:tcW w:w="42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19,055</w:t>
            </w:r>
          </w:p>
        </w:tc>
        <w:tc>
          <w:tcPr>
            <w:tcW w:w="10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149,000</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99 %</w:t>
            </w:r>
          </w:p>
        </w:tc>
        <w:tc>
          <w:tcPr>
            <w:tcW w:w="6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3"/>
                <w:szCs w:val="13"/>
                <w:color w:val="auto"/>
                <w:w w:val="94"/>
              </w:rPr>
              <w:t>50,000</w:t>
            </w:r>
          </w:p>
        </w:tc>
        <w:tc>
          <w:tcPr>
            <w:tcW w:w="8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Big Y Foods</w:t>
            </w:r>
          </w:p>
        </w:tc>
        <w:tc>
          <w:tcPr>
            <w:tcW w:w="1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TJ Maxx / HomeGoods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New England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1,402,211</w:t>
            </w: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2,150,000</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6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Baltimore</w:t>
            </w: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Governor Plaza</w:t>
            </w:r>
          </w:p>
        </w:tc>
        <w:tc>
          <w:tcPr>
            <w:tcW w:w="420" w:type="dxa"/>
            <w:vAlign w:val="bottom"/>
          </w:tcPr>
          <w:p>
            <w:pPr>
              <w:spacing w:after="0"/>
              <w:rPr>
                <w:sz w:val="14"/>
                <w:szCs w:val="14"/>
                <w:color w:val="auto"/>
              </w:rPr>
            </w:pPr>
          </w:p>
        </w:tc>
        <w:tc>
          <w:tcPr>
            <w:tcW w:w="22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29,892</w:t>
            </w: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242,000</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16,500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Aldi</w:t>
            </w:r>
          </w:p>
        </w:tc>
        <w:tc>
          <w:tcPr>
            <w:tcW w:w="19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Dick's Sporting Goods / Petco</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Perring Plaza</w:t>
            </w:r>
          </w:p>
        </w:tc>
        <w:tc>
          <w:tcPr>
            <w:tcW w:w="420" w:type="dxa"/>
            <w:vAlign w:val="bottom"/>
            <w:shd w:val="clear" w:color="auto" w:fill="CCEEFF"/>
          </w:tcPr>
          <w:p>
            <w:pPr>
              <w:spacing w:after="0"/>
              <w:rPr>
                <w:sz w:val="11"/>
                <w:szCs w:val="11"/>
                <w:color w:val="auto"/>
              </w:rPr>
            </w:pPr>
          </w:p>
        </w:tc>
        <w:tc>
          <w:tcPr>
            <w:tcW w:w="2260" w:type="dxa"/>
            <w:vAlign w:val="bottom"/>
            <w:gridSpan w:val="2"/>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35,071</w:t>
            </w: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398,000</w:t>
            </w: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71 %</w:t>
            </w:r>
          </w:p>
        </w:tc>
        <w:tc>
          <w:tcPr>
            <w:tcW w:w="660" w:type="dxa"/>
            <w:vAlign w:val="bottom"/>
            <w:shd w:val="clear" w:color="auto" w:fill="CCEEFF"/>
          </w:tcPr>
          <w:p>
            <w:pPr>
              <w:spacing w:after="0"/>
              <w:rPr>
                <w:sz w:val="11"/>
                <w:szCs w:val="11"/>
                <w:color w:val="auto"/>
              </w:rPr>
            </w:pPr>
          </w:p>
        </w:tc>
        <w:tc>
          <w:tcPr>
            <w:tcW w:w="56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4"/>
              </w:rPr>
              <w:t>58,000</w:t>
            </w:r>
          </w:p>
        </w:tc>
        <w:tc>
          <w:tcPr>
            <w:tcW w:w="8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w w:val="96"/>
              </w:rPr>
              <w:t>Shoppers Food</w:t>
            </w:r>
          </w:p>
        </w:tc>
        <w:tc>
          <w:tcPr>
            <w:tcW w:w="198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Home Depot / Micro Center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Warehouse</w:t>
            </w:r>
          </w:p>
        </w:tc>
        <w:tc>
          <w:tcPr>
            <w:tcW w:w="1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Burlington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rPr>
              <w:t>THE AVENUE at</w:t>
            </w:r>
          </w:p>
        </w:tc>
        <w:tc>
          <w:tcPr>
            <w:tcW w:w="4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(5)</w:t>
            </w: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124,564</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315,000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88 %</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AMC / Ulta / Old Navy / Nike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White Marsh</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The Shoppes at</w:t>
            </w:r>
          </w:p>
        </w:tc>
        <w:tc>
          <w:tcPr>
            <w:tcW w:w="420" w:type="dxa"/>
            <w:vAlign w:val="bottom"/>
            <w:shd w:val="clear" w:color="auto" w:fill="CCEEFF"/>
          </w:tcPr>
          <w:p>
            <w:pPr>
              <w:spacing w:after="0"/>
              <w:rPr>
                <w:sz w:val="10"/>
                <w:szCs w:val="10"/>
                <w:color w:val="auto"/>
              </w:rPr>
            </w:pPr>
          </w:p>
        </w:tc>
        <w:tc>
          <w:tcPr>
            <w:tcW w:w="22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19,457</w:t>
            </w:r>
          </w:p>
        </w:tc>
        <w:tc>
          <w:tcPr>
            <w:tcW w:w="10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33,000</w:t>
            </w: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Nottingham Square</w:t>
            </w:r>
          </w:p>
        </w:tc>
        <w:tc>
          <w:tcPr>
            <w:tcW w:w="4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3"/>
          </w:tcPr>
          <w:p>
            <w:pPr>
              <w:spacing w:after="0" w:line="122" w:lineRule="exact"/>
              <w:rPr>
                <w:sz w:val="20"/>
                <w:szCs w:val="20"/>
                <w:color w:val="auto"/>
              </w:rPr>
            </w:pPr>
            <w:r>
              <w:rPr>
                <w:rFonts w:ascii="Times New Roman" w:cs="Times New Roman" w:eastAsia="Times New Roman" w:hAnsi="Times New Roman"/>
                <w:sz w:val="13"/>
                <w:szCs w:val="13"/>
                <w:color w:val="auto"/>
                <w:w w:val="98"/>
              </w:rPr>
              <w:t>Towson Residential</w:t>
            </w:r>
          </w:p>
        </w:tc>
        <w:tc>
          <w:tcPr>
            <w:tcW w:w="420" w:type="dxa"/>
            <w:vAlign w:val="bottom"/>
          </w:tcPr>
          <w:p>
            <w:pPr>
              <w:spacing w:after="0"/>
              <w:rPr>
                <w:sz w:val="10"/>
                <w:szCs w:val="10"/>
                <w:color w:val="auto"/>
              </w:rPr>
            </w:pPr>
          </w:p>
        </w:tc>
        <w:tc>
          <w:tcPr>
            <w:tcW w:w="22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color w:val="auto"/>
              </w:rPr>
              <w:t>Baltimore-Columbia-Towson, MD</w:t>
            </w: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22,449</w:t>
            </w:r>
          </w:p>
        </w:tc>
        <w:tc>
          <w:tcPr>
            <w:tcW w:w="10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4,000</w:t>
            </w:r>
          </w:p>
        </w:tc>
        <w:tc>
          <w:tcPr>
            <w:tcW w:w="8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100 %</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w w:val="92"/>
              </w:rPr>
              <w:t>105</w:t>
            </w: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(Flats @ 703)</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028"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 Estate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Mortgage/Finance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Residential</w:t>
            </w: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Grocery</w:t>
            </w:r>
          </w:p>
        </w:tc>
        <w:tc>
          <w:tcPr>
            <w:tcW w:w="8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2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37"/>
              <w:spacing w:after="0" w:line="122" w:lineRule="exact"/>
              <w:rPr>
                <w:sz w:val="20"/>
                <w:szCs w:val="20"/>
                <w:color w:val="auto"/>
              </w:rPr>
            </w:pPr>
            <w:r>
              <w:rPr>
                <w:rFonts w:ascii="Times New Roman" w:cs="Times New Roman" w:eastAsia="Times New Roman" w:hAnsi="Times New Roman"/>
                <w:sz w:val="13"/>
                <w:szCs w:val="13"/>
                <w:b w:val="1"/>
                <w:bCs w:val="1"/>
                <w:color w:val="auto"/>
              </w:rPr>
              <w:t>Leased</w:t>
            </w:r>
          </w:p>
        </w:tc>
        <w:tc>
          <w:tcPr>
            <w:tcW w:w="660" w:type="dxa"/>
            <w:vAlign w:val="bottom"/>
            <w:vMerge w:val="continue"/>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40" w:type="dxa"/>
            <w:vAlign w:val="bottom"/>
            <w:vMerge w:val="continue"/>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(in thousands)</w:t>
            </w:r>
          </w:p>
        </w:tc>
        <w:tc>
          <w:tcPr>
            <w:tcW w:w="140" w:type="dxa"/>
            <w:vAlign w:val="bottom"/>
          </w:tcPr>
          <w:p>
            <w:pPr>
              <w:spacing w:after="0"/>
              <w:rPr>
                <w:sz w:val="12"/>
                <w:szCs w:val="12"/>
                <w:color w:val="auto"/>
              </w:rPr>
            </w:pPr>
          </w:p>
        </w:tc>
        <w:tc>
          <w:tcPr>
            <w:tcW w:w="880" w:type="dxa"/>
            <w:vAlign w:val="bottom"/>
          </w:tcPr>
          <w:p>
            <w:pPr>
              <w:jc w:val="center"/>
              <w:ind w:right="59"/>
              <w:spacing w:after="0"/>
              <w:rPr>
                <w:sz w:val="20"/>
                <w:szCs w:val="20"/>
                <w:color w:val="auto"/>
              </w:rPr>
            </w:pPr>
            <w:r>
              <w:rPr>
                <w:rFonts w:ascii="Times New Roman" w:cs="Times New Roman" w:eastAsia="Times New Roman" w:hAnsi="Times New Roman"/>
                <w:sz w:val="11"/>
                <w:szCs w:val="11"/>
                <w:color w:val="auto"/>
                <w:w w:val="95"/>
              </w:rPr>
              <w:t>(in thousands)</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White Marsh Plaza</w:t>
            </w: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26,662</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3"/>
                <w:szCs w:val="13"/>
                <w:color w:val="auto"/>
              </w:rPr>
              <w:t>White Marsh Other</w:t>
            </w:r>
          </w:p>
        </w:tc>
        <w:tc>
          <w:tcPr>
            <w:tcW w:w="4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28,993</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56,000</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Baltimore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287,088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auto"/>
            </w:tcBorders>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South Florida</w:t>
            </w: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22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CocoWalk</w:t>
            </w:r>
          </w:p>
        </w:tc>
        <w:tc>
          <w:tcPr>
            <w:tcW w:w="4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(4) (9)</w:t>
            </w: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195,859</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257,000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99</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Cinepolis Theaters / Youfit Health</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Club / Multiple Restaurants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Del Mar Village</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74,417</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187,000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44,000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Winn Dixie</w:t>
            </w: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CVS / L.A. Fitness</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Tower Shops</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Miami-Fort Lauderdale-West Palm Beach,</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101,694</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430,000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12,000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Trader Joe's</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TJ Maxx / Ross Dress For Less / Best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Buy / Ulta</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6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South Florida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371,970</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874,000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Chicago</w:t>
            </w:r>
          </w:p>
        </w:tc>
        <w:tc>
          <w:tcPr>
            <w:tcW w:w="400" w:type="dxa"/>
            <w:vAlign w:val="bottom"/>
            <w:shd w:val="clear" w:color="auto" w:fill="CCEEFF"/>
          </w:tcPr>
          <w:p>
            <w:pPr>
              <w:spacing w:after="0"/>
              <w:rPr>
                <w:sz w:val="11"/>
                <w:szCs w:val="11"/>
                <w:color w:val="auto"/>
              </w:rPr>
            </w:pPr>
          </w:p>
        </w:tc>
        <w:tc>
          <w:tcPr>
            <w:tcW w:w="2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Crossroads</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36,094</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168,000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L.A. Fitness / Ulta / Binny's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w w:val="98"/>
              </w:rPr>
              <w:t>Ferguson's Bath, Kitchen &amp; Lighting</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Gallery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Finley Square</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41,900</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281,000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92</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6"/>
              </w:rPr>
              <w:t>Bed, Bath &amp; Beyond / Buy Buy Baby</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Michaels / Portillo's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Garden Market</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15,000</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139,000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97</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63,000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Mariano's</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Walgreens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Fresh Market</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Riverpoint Center</w:t>
            </w: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121,947</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211,000</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86,000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Jewel Osco</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Old Navy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Chicago</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214,941</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4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104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3"/>
                <w:szCs w:val="13"/>
                <w:color w:val="auto"/>
              </w:rPr>
              <w:t>Barracks Road</w:t>
            </w:r>
          </w:p>
        </w:tc>
        <w:tc>
          <w:tcPr>
            <w:tcW w:w="400" w:type="dxa"/>
            <w:vAlign w:val="bottom"/>
            <w:shd w:val="clear" w:color="auto" w:fill="CCEEFF"/>
          </w:tcPr>
          <w:p>
            <w:pPr>
              <w:spacing w:after="0"/>
              <w:rPr>
                <w:sz w:val="10"/>
                <w:szCs w:val="10"/>
                <w:color w:val="auto"/>
              </w:rPr>
            </w:pPr>
          </w:p>
        </w:tc>
        <w:tc>
          <w:tcPr>
            <w:tcW w:w="22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70,655</w:t>
            </w: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498,000</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0"/>
                <w:szCs w:val="10"/>
                <w:color w:val="auto"/>
              </w:rPr>
            </w:pP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3"/>
                <w:szCs w:val="13"/>
                <w:color w:val="auto"/>
              </w:rPr>
              <w:t>99,000</w:t>
            </w:r>
          </w:p>
        </w:tc>
        <w:tc>
          <w:tcPr>
            <w:tcW w:w="84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3"/>
                <w:szCs w:val="13"/>
                <w:color w:val="auto"/>
              </w:rPr>
              <w:t>Harris Teeter /</w:t>
            </w:r>
          </w:p>
        </w:tc>
        <w:tc>
          <w:tcPr>
            <w:tcW w:w="196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3"/>
                <w:szCs w:val="13"/>
                <w:color w:val="auto"/>
                <w:w w:val="97"/>
              </w:rPr>
              <w:t>Anthropologie / Bed, Bath &amp; Beyond</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Kroger</w:t>
            </w: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Old Navy / Ulta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Bristol Plaza</w:t>
            </w:r>
          </w:p>
        </w:tc>
        <w:tc>
          <w:tcPr>
            <w:tcW w:w="400" w:type="dxa"/>
            <w:vAlign w:val="bottom"/>
          </w:tcPr>
          <w:p>
            <w:pPr>
              <w:spacing w:after="0"/>
              <w:rPr>
                <w:sz w:val="14"/>
                <w:szCs w:val="14"/>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Hartford-West Hartford-East Hartford, CT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35,434</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74,000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Stop &amp; Shop</w:t>
            </w: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TJ Maxx / Burlington</w:t>
            </w: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1040" w:type="dxa"/>
            <w:vAlign w:val="bottom"/>
            <w:gridSpan w:val="4"/>
            <w:shd w:val="clear" w:color="auto" w:fill="CCEEFF"/>
          </w:tcPr>
          <w:p>
            <w:pPr>
              <w:spacing w:after="0" w:line="128" w:lineRule="exact"/>
              <w:rPr>
                <w:sz w:val="20"/>
                <w:szCs w:val="20"/>
                <w:color w:val="auto"/>
              </w:rPr>
            </w:pPr>
            <w:r>
              <w:rPr>
                <w:rFonts w:ascii="Times New Roman" w:cs="Times New Roman" w:eastAsia="Times New Roman" w:hAnsi="Times New Roman"/>
                <w:sz w:val="13"/>
                <w:szCs w:val="13"/>
                <w:color w:val="auto"/>
              </w:rPr>
              <w:t>Camelback</w:t>
            </w:r>
          </w:p>
        </w:tc>
        <w:tc>
          <w:tcPr>
            <w:tcW w:w="40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w w:val="92"/>
              </w:rPr>
              <w:t>(4)</w:t>
            </w:r>
          </w:p>
        </w:tc>
        <w:tc>
          <w:tcPr>
            <w:tcW w:w="22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Phoenix-Mesa-Chandler, AZ</w:t>
            </w:r>
          </w:p>
        </w:tc>
        <w:tc>
          <w:tcPr>
            <w:tcW w:w="68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179,676</w:t>
            </w: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642,000</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CEEFF"/>
          </w:tcPr>
          <w:p>
            <w:pPr>
              <w:jc w:val="right"/>
              <w:spacing w:after="0" w:line="128"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28" w:lineRule="exact"/>
              <w:rPr>
                <w:sz w:val="20"/>
                <w:szCs w:val="20"/>
                <w:color w:val="auto"/>
              </w:rPr>
            </w:pPr>
            <w:r>
              <w:rPr>
                <w:rFonts w:ascii="Times New Roman" w:cs="Times New Roman" w:eastAsia="Times New Roman" w:hAnsi="Times New Roman"/>
                <w:sz w:val="13"/>
                <w:szCs w:val="13"/>
                <w:color w:val="auto"/>
              </w:rPr>
              <w:t>82,000</w:t>
            </w:r>
          </w:p>
        </w:tc>
        <w:tc>
          <w:tcPr>
            <w:tcW w:w="840" w:type="dxa"/>
            <w:vAlign w:val="bottom"/>
            <w:shd w:val="clear" w:color="auto" w:fill="CCEEFF"/>
          </w:tcPr>
          <w:p>
            <w:pPr>
              <w:ind w:left="60"/>
              <w:spacing w:after="0" w:line="128" w:lineRule="exact"/>
              <w:rPr>
                <w:sz w:val="20"/>
                <w:szCs w:val="20"/>
                <w:color w:val="auto"/>
              </w:rPr>
            </w:pPr>
            <w:r>
              <w:rPr>
                <w:rFonts w:ascii="Times New Roman" w:cs="Times New Roman" w:eastAsia="Times New Roman" w:hAnsi="Times New Roman"/>
                <w:sz w:val="13"/>
                <w:szCs w:val="13"/>
                <w:color w:val="auto"/>
              </w:rPr>
              <w:t>Fry's Food &amp;</w:t>
            </w:r>
          </w:p>
        </w:tc>
        <w:tc>
          <w:tcPr>
            <w:tcW w:w="1960" w:type="dxa"/>
            <w:vAlign w:val="bottom"/>
            <w:shd w:val="clear" w:color="auto" w:fill="CCEEFF"/>
          </w:tcPr>
          <w:p>
            <w:pPr>
              <w:ind w:left="40"/>
              <w:spacing w:after="0" w:line="128" w:lineRule="exact"/>
              <w:rPr>
                <w:sz w:val="20"/>
                <w:szCs w:val="20"/>
                <w:color w:val="auto"/>
              </w:rPr>
            </w:pPr>
            <w:r>
              <w:rPr>
                <w:rFonts w:ascii="Times New Roman" w:cs="Times New Roman" w:eastAsia="Times New Roman" w:hAnsi="Times New Roman"/>
                <w:sz w:val="13"/>
                <w:szCs w:val="13"/>
                <w:color w:val="auto"/>
              </w:rPr>
              <w:t>Floor &amp; Décor / Marshalls /</w:t>
            </w:r>
          </w:p>
        </w:tc>
        <w:tc>
          <w:tcPr>
            <w:tcW w:w="0" w:type="dxa"/>
            <w:vAlign w:val="bottom"/>
          </w:tcPr>
          <w:p>
            <w:pPr>
              <w:spacing w:after="0"/>
              <w:rPr>
                <w:sz w:val="1"/>
                <w:szCs w:val="1"/>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Colonnade</w:t>
            </w:r>
          </w:p>
        </w:tc>
        <w:tc>
          <w:tcPr>
            <w:tcW w:w="400" w:type="dxa"/>
            <w:vAlign w:val="bottom"/>
            <w:tcBorders>
              <w:bottom w:val="single" w:sz="8" w:color="CCEEFF"/>
            </w:tcBorders>
            <w:shd w:val="clear" w:color="auto" w:fill="CCEEFF"/>
          </w:tcPr>
          <w:p>
            <w:pPr>
              <w:spacing w:after="0"/>
              <w:rPr>
                <w:sz w:val="14"/>
                <w:szCs w:val="14"/>
                <w:color w:val="auto"/>
              </w:rPr>
            </w:pPr>
          </w:p>
        </w:tc>
        <w:tc>
          <w:tcPr>
            <w:tcW w:w="22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Drug</w:t>
            </w:r>
          </w:p>
        </w:tc>
        <w:tc>
          <w:tcPr>
            <w:tcW w:w="1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Nordstrom Last Chance / Best Buy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Gratiot Plaza</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Detroit-Warren-Dearborn, MI</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20,524</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215,000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69,000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Bed, Bath &amp; Beyond / Best Buy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DSW</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Hilton Village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Phoenix-Mesa-Chandler, AZ</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40,144</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 / Houston's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Lancaster</w:t>
            </w:r>
          </w:p>
        </w:tc>
        <w:tc>
          <w:tcPr>
            <w:tcW w:w="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(7)</w:t>
            </w:r>
          </w:p>
        </w:tc>
        <w:tc>
          <w:tcPr>
            <w:tcW w:w="22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Lancaster, PA</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13,411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4,907</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126,000</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Giant Food</w:t>
            </w: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AutoZone</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29th Place</w:t>
            </w:r>
          </w:p>
        </w:tc>
        <w:tc>
          <w:tcPr>
            <w:tcW w:w="400" w:type="dxa"/>
            <w:vAlign w:val="bottom"/>
            <w:shd w:val="clear" w:color="auto" w:fill="CCEEFF"/>
          </w:tcPr>
          <w:p>
            <w:pPr>
              <w:spacing w:after="0"/>
              <w:rPr>
                <w:sz w:val="15"/>
                <w:szCs w:val="15"/>
                <w:color w:val="auto"/>
              </w:rPr>
            </w:pPr>
          </w:p>
        </w:tc>
        <w:tc>
          <w:tcPr>
            <w:tcW w:w="2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40,638</w:t>
            </w: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32,000</w:t>
            </w:r>
          </w:p>
        </w:tc>
        <w:tc>
          <w:tcPr>
            <w:tcW w:w="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Lidl</w:t>
            </w:r>
          </w:p>
        </w:tc>
        <w:tc>
          <w:tcPr>
            <w:tcW w:w="1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HomeGoods / DSW / Staples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40" w:type="dxa"/>
            <w:vAlign w:val="bottom"/>
            <w:gridSpan w:val="4"/>
          </w:tcPr>
          <w:p>
            <w:pPr>
              <w:spacing w:after="0" w:line="122" w:lineRule="exact"/>
              <w:rPr>
                <w:sz w:val="20"/>
                <w:szCs w:val="20"/>
                <w:color w:val="auto"/>
              </w:rPr>
            </w:pPr>
            <w:r>
              <w:rPr>
                <w:rFonts w:ascii="Times New Roman" w:cs="Times New Roman" w:eastAsia="Times New Roman" w:hAnsi="Times New Roman"/>
                <w:sz w:val="13"/>
                <w:szCs w:val="13"/>
                <w:color w:val="auto"/>
              </w:rPr>
              <w:t>Willow Lawn</w:t>
            </w:r>
          </w:p>
        </w:tc>
        <w:tc>
          <w:tcPr>
            <w:tcW w:w="400" w:type="dxa"/>
            <w:vAlign w:val="bottom"/>
          </w:tcPr>
          <w:p>
            <w:pPr>
              <w:spacing w:after="0"/>
              <w:rPr>
                <w:sz w:val="10"/>
                <w:szCs w:val="10"/>
                <w:color w:val="auto"/>
              </w:rPr>
            </w:pPr>
          </w:p>
        </w:tc>
        <w:tc>
          <w:tcPr>
            <w:tcW w:w="22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Richmond, VA</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105,468</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463,000</w:t>
            </w:r>
          </w:p>
        </w:tc>
        <w:tc>
          <w:tcPr>
            <w:tcW w:w="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96</w:t>
            </w:r>
          </w:p>
        </w:tc>
        <w:tc>
          <w:tcPr>
            <w:tcW w:w="160" w:type="dxa"/>
            <w:vAlign w:val="bottom"/>
          </w:tcPr>
          <w:p>
            <w:pPr>
              <w:jc w:val="right"/>
              <w:spacing w:after="0" w:line="122"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color w:val="auto"/>
              </w:rPr>
              <w:t>66,000</w:t>
            </w:r>
          </w:p>
        </w:tc>
        <w:tc>
          <w:tcPr>
            <w:tcW w:w="840" w:type="dxa"/>
            <w:vAlign w:val="bottom"/>
          </w:tcPr>
          <w:p>
            <w:pPr>
              <w:ind w:left="60"/>
              <w:spacing w:after="0" w:line="122" w:lineRule="exact"/>
              <w:rPr>
                <w:sz w:val="20"/>
                <w:szCs w:val="20"/>
                <w:color w:val="auto"/>
              </w:rPr>
            </w:pPr>
            <w:r>
              <w:rPr>
                <w:rFonts w:ascii="Times New Roman" w:cs="Times New Roman" w:eastAsia="Times New Roman" w:hAnsi="Times New Roman"/>
                <w:sz w:val="13"/>
                <w:szCs w:val="13"/>
                <w:color w:val="auto"/>
              </w:rPr>
              <w:t>Kroger</w:t>
            </w:r>
          </w:p>
        </w:tc>
        <w:tc>
          <w:tcPr>
            <w:tcW w:w="1960" w:type="dxa"/>
            <w:vAlign w:val="bottom"/>
          </w:tcPr>
          <w:p>
            <w:pPr>
              <w:ind w:left="40"/>
              <w:spacing w:after="0" w:line="122" w:lineRule="exact"/>
              <w:rPr>
                <w:sz w:val="20"/>
                <w:szCs w:val="20"/>
                <w:color w:val="auto"/>
              </w:rPr>
            </w:pPr>
            <w:r>
              <w:rPr>
                <w:rFonts w:ascii="Times New Roman" w:cs="Times New Roman" w:eastAsia="Times New Roman" w:hAnsi="Times New Roman"/>
                <w:sz w:val="13"/>
                <w:szCs w:val="13"/>
                <w:color w:val="auto"/>
              </w:rPr>
              <w:t>Old Navy / Ross Dress For Less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99"/>
              </w:rPr>
              <w:t>Gold's Gym / Dick's Sporting Goods</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60" w:type="dxa"/>
            <w:vAlign w:val="bottom"/>
            <w:shd w:val="clear" w:color="auto" w:fill="CCEEFF"/>
          </w:tcPr>
          <w:p>
            <w:pPr>
              <w:ind w:left="40"/>
              <w:spacing w:after="0" w:line="146" w:lineRule="exact"/>
              <w:rPr>
                <w:sz w:val="20"/>
                <w:szCs w:val="20"/>
                <w:color w:val="auto"/>
              </w:rPr>
            </w:pPr>
            <w:r>
              <w:rPr>
                <w:rFonts w:ascii="Times New Roman" w:cs="Times New Roman" w:eastAsia="Times New Roman" w:hAnsi="Times New Roman"/>
                <w:sz w:val="13"/>
                <w:szCs w:val="13"/>
                <w:b w:val="1"/>
                <w:bCs w:val="1"/>
                <w:color w:val="auto"/>
              </w:rPr>
              <w:t>Total Other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505,950</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40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$ 9,778,420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395,200</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2,010</w:t>
            </w: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25,234,000</w:t>
            </w:r>
          </w:p>
        </w:tc>
        <w:tc>
          <w:tcPr>
            <w:tcW w:w="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94 %</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3,369</w:t>
            </w:r>
          </w:p>
        </w:tc>
        <w:tc>
          <w:tcPr>
            <w:tcW w:w="5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196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1" w:lineRule="exact"/>
        <w:rPr>
          <w:sz w:val="20"/>
          <w:szCs w:val="20"/>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600" w:right="80" w:hanging="561"/>
        <w:spacing w:after="0" w:line="239" w:lineRule="auto"/>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mortgage or finance lease liabilities differ from the total reported on the consolidated balance sheet due to the unamortized discount, premium, and/or debt issuance costs on certain mortgages payable.</w:t>
      </w:r>
    </w:p>
    <w:p>
      <w:pPr>
        <w:spacing w:after="0" w:line="14" w:lineRule="exact"/>
        <w:rPr>
          <w:rFonts w:ascii="Times New Roman" w:cs="Times New Roman" w:eastAsia="Times New Roman" w:hAnsi="Times New Roman"/>
          <w:sz w:val="14"/>
          <w:szCs w:val="14"/>
          <w:color w:val="auto"/>
        </w:rPr>
      </w:pPr>
    </w:p>
    <w:p>
      <w:pPr>
        <w:ind w:left="600" w:right="320" w:hanging="561"/>
        <w:spacing w:after="0" w:line="239" w:lineRule="auto"/>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14"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600" w:right="360" w:hanging="561"/>
        <w:spacing w:after="0" w:line="239" w:lineRule="auto"/>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14"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Portion of property is currently under development. See further discussion in the Assembly Row and Pike &amp; Rose schedules.</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39 buildings primarily along Washington Street and 14th Street in Hoboken, New Jersey.</w:t>
      </w:r>
    </w:p>
    <w:p>
      <w:pPr>
        <w:spacing w:after="0" w:line="41" w:lineRule="exact"/>
        <w:rPr>
          <w:rFonts w:ascii="Times New Roman" w:cs="Times New Roman" w:eastAsia="Times New Roman" w:hAnsi="Times New Roman"/>
          <w:sz w:val="14"/>
          <w:szCs w:val="14"/>
          <w:color w:val="auto"/>
        </w:rPr>
      </w:pPr>
    </w:p>
    <w:p>
      <w:pPr>
        <w:ind w:left="600" w:hanging="561"/>
        <w:spacing w:after="0"/>
        <w:tabs>
          <w:tab w:leader="none" w:pos="6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This property includes interests in four buildings in addition to our initial acquisition.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028"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2022</w:t>
      </w:r>
    </w:p>
    <w:p>
      <w:pPr>
        <w:spacing w:after="0" w:line="1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1"/>
                <w:szCs w:val="11"/>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1"/>
                <w:szCs w:val="11"/>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Rent (3) Per</w:t>
            </w: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Sq. Ft.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562,111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885,669</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20,791,119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444,398</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34.31</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1,092,294</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14,464,187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597,673</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1,108,021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18,492,134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430,234</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1,119,874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15,214,700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35.36</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486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2,034,416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4,205,858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68,962,140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518,577</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18,658,319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176,322</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946,526</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13,866,932</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289,287</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708,143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18,142,674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47 %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219,614</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36.43</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592,684</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14,322,727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65.22</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903,716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2,765,930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64,990,652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(7)</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Cash Basis %</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Straight-lined</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 of Comparable</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Contractual</w:t>
            </w: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Prior Rent (4)</w:t>
            </w:r>
          </w:p>
        </w:tc>
        <w:tc>
          <w:tcPr>
            <w:tcW w:w="9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Annual Increase</w:t>
            </w:r>
          </w:p>
        </w:tc>
        <w:tc>
          <w:tcPr>
            <w:tcW w:w="9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1000" w:type="dxa"/>
            <w:vAlign w:val="bottom"/>
            <w:gridSpan w:val="4"/>
            <w:vMerge w:val="continue"/>
          </w:tcPr>
          <w:p>
            <w:pPr>
              <w:spacing w:after="0"/>
              <w:rPr>
                <w:sz w:val="9"/>
                <w:szCs w:val="9"/>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980" w:type="dxa"/>
            <w:vAlign w:val="bottom"/>
            <w:gridSpan w:val="3"/>
            <w:vMerge w:val="continue"/>
          </w:tcPr>
          <w:p>
            <w:pPr>
              <w:spacing w:after="0"/>
              <w:rPr>
                <w:sz w:val="9"/>
                <w:szCs w:val="9"/>
                <w:color w:val="auto"/>
              </w:rPr>
            </w:pPr>
          </w:p>
        </w:tc>
        <w:tc>
          <w:tcPr>
            <w:tcW w:w="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6"/>
              </w:rPr>
              <w:t>Increase Over</w:t>
            </w:r>
          </w:p>
        </w:tc>
        <w:tc>
          <w:tcPr>
            <w:tcW w:w="96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1"/>
                <w:szCs w:val="11"/>
                <w:b w:val="1"/>
                <w:bCs w:val="1"/>
                <w:color w:val="auto"/>
              </w:rPr>
              <w:t>Basis % Increase</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000" w:type="dxa"/>
            <w:vAlign w:val="bottom"/>
            <w:gridSpan w:val="4"/>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5"/>
              </w:rPr>
              <w:t>Rent (3) PSF</w:t>
            </w: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PSF</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Prior Rent</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Over Prior Rent</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720" w:type="dxa"/>
            <w:vAlign w:val="bottom"/>
            <w:tcBorders>
              <w:top w:val="single" w:sz="8" w:color="auto"/>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343,618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367,092</w:t>
            </w:r>
          </w:p>
        </w:tc>
        <w:tc>
          <w:tcPr>
            <w:tcW w:w="1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2,132,800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6"/>
                <w:szCs w:val="16"/>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268,076</w:t>
            </w:r>
          </w:p>
        </w:tc>
        <w:tc>
          <w:tcPr>
            <w:tcW w:w="10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30.88</w:t>
            </w:r>
          </w:p>
        </w:tc>
        <w:tc>
          <w:tcPr>
            <w:tcW w:w="120" w:type="dxa"/>
            <w:vAlign w:val="bottom"/>
          </w:tcPr>
          <w:p>
            <w:pPr>
              <w:spacing w:after="0"/>
              <w:rPr>
                <w:sz w:val="16"/>
                <w:szCs w:val="16"/>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145,768</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597,255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7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308,386</w:t>
            </w:r>
          </w:p>
        </w:tc>
        <w:tc>
          <w:tcPr>
            <w:tcW w:w="1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399,878</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72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210,620</w:t>
            </w:r>
          </w:p>
        </w:tc>
        <w:tc>
          <w:tcPr>
            <w:tcW w:w="10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527,190</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891,973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50 %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1,439,928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3,971,488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40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(8)</w:t>
            </w: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100" w:type="dxa"/>
            <w:vAlign w:val="bottom"/>
          </w:tcPr>
          <w:p>
            <w:pPr>
              <w:spacing w:after="0"/>
              <w:rPr>
                <w:sz w:val="12"/>
                <w:szCs w:val="12"/>
                <w:color w:val="auto"/>
              </w:rPr>
            </w:pPr>
          </w:p>
        </w:tc>
        <w:tc>
          <w:tcPr>
            <w:tcW w:w="800" w:type="dxa"/>
            <w:vAlign w:val="bottom"/>
            <w:vMerge w:val="restart"/>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Number of</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Contractual Rent</w:t>
            </w: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80" w:type="dxa"/>
            <w:vAlign w:val="bottom"/>
            <w:vMerge w:val="restart"/>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960" w:type="dxa"/>
            <w:vAlign w:val="bottom"/>
            <w:gridSpan w:val="3"/>
            <w:vMerge w:val="continue"/>
          </w:tcPr>
          <w:p>
            <w:pPr>
              <w:spacing w:after="0"/>
              <w:rPr>
                <w:sz w:val="9"/>
                <w:szCs w:val="9"/>
                <w:color w:val="auto"/>
              </w:rPr>
            </w:pPr>
          </w:p>
        </w:tc>
        <w:tc>
          <w:tcPr>
            <w:tcW w:w="74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60" w:type="dxa"/>
            <w:vAlign w:val="bottom"/>
            <w:gridSpan w:val="3"/>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9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Improvements &amp;</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Leases Signed</w:t>
            </w:r>
          </w:p>
        </w:tc>
        <w:tc>
          <w:tcPr>
            <w:tcW w:w="16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(3) PSF</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00" w:type="dxa"/>
            <w:vAlign w:val="bottom"/>
          </w:tcPr>
          <w:p>
            <w:pPr>
              <w:spacing w:after="0"/>
              <w:rPr>
                <w:sz w:val="13"/>
                <w:szCs w:val="13"/>
                <w:color w:val="auto"/>
              </w:rPr>
            </w:pPr>
          </w:p>
        </w:tc>
        <w:tc>
          <w:tcPr>
            <w:tcW w:w="80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w w:val="97"/>
              </w:rPr>
              <w:t>Incentives PSF</w:t>
            </w: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2022</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577,338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35.97</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20,922,719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2022</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460,062</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37.05</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18,669,766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40.58</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2021</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619,629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34.67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19,435,246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2021</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color w:val="auto"/>
              </w:rPr>
              <w:t>481,607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39.87</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24,145,403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w:t>
            </w: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4"/>
                <w:szCs w:val="14"/>
                <w:color w:val="auto"/>
              </w:rPr>
              <w:t>2,138,636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4"/>
                <w:szCs w:val="14"/>
                <w:color w:val="auto"/>
              </w:rPr>
              <w:t>36.70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83,173,134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26" w:lineRule="exact"/>
        <w:rPr>
          <w:sz w:val="20"/>
          <w:szCs w:val="20"/>
          <w:color w:val="auto"/>
        </w:rPr>
      </w:pPr>
    </w:p>
    <w:p>
      <w:pPr>
        <w:ind w:left="620" w:right="4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reflects activity in retail spaces only; office and residential spaces are not included. Contractual option exercises are not included. See Glossary of Terms for further discussion of information included above.</w:t>
      </w:r>
    </w:p>
    <w:p>
      <w:pPr>
        <w:spacing w:after="0" w:line="11"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former tenant.</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annual rent under the new lease.</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rent represents contractual rent, including percentage rent, from the prior tenant in the final 12 months of the term.</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determined on the basis of contractual rent for the lease.</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26" w:lineRule="exact"/>
        <w:rPr>
          <w:rFonts w:ascii="Times New Roman" w:cs="Times New Roman" w:eastAsia="Times New Roman" w:hAnsi="Times New Roman"/>
          <w:sz w:val="13"/>
          <w:szCs w:val="13"/>
          <w:color w:val="auto"/>
        </w:rPr>
      </w:pPr>
    </w:p>
    <w:p>
      <w:pPr>
        <w:ind w:left="620" w:hanging="567"/>
        <w:spacing w:after="0"/>
        <w:tabs>
          <w:tab w:leader="none" w:pos="62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Renewal leases represent expiring leases rolling over with the same tenant in the same location. All other leases are categorized as new.</w:t>
      </w:r>
    </w:p>
    <w:p>
      <w:pPr>
        <w:spacing w:after="0" w:line="26" w:lineRule="exact"/>
        <w:rPr>
          <w:rFonts w:ascii="Times New Roman" w:cs="Times New Roman" w:eastAsia="Times New Roman" w:hAnsi="Times New Roman"/>
          <w:sz w:val="13"/>
          <w:szCs w:val="13"/>
          <w:color w:val="auto"/>
        </w:rPr>
      </w:pPr>
    </w:p>
    <w:p>
      <w:pPr>
        <w:ind w:left="620" w:right="80" w:hanging="567"/>
        <w:spacing w:after="0" w:line="245" w:lineRule="auto"/>
        <w:tabs>
          <w:tab w:leader="none" w:pos="6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Leases Signed, GLA Signed, Contractual Rent Per Sq. Ft. and Weighted Average Lease Term columns include information for leases signed at Phase 3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3 of Assembly Row and Pike &amp; Rose are included in the Projected Cost column for those projects shown on the Assembly Row and Pike &amp; Rose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028" w:right="339" w:bottom="1440" w:gutter="0" w:footer="0" w:header="0"/>
        </w:sectPr>
      </w:pPr>
    </w:p>
    <w:bookmarkStart w:id="28" w:name="page29"/>
    <w:bookmarkEnd w:id="28"/>
    <w:p>
      <w:pPr>
        <w:ind w:left="1"/>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2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268287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82875" cy="154305"/>
                    </a:xfrm>
                    <a:prstGeom prst="rect">
                      <a:avLst/>
                    </a:prstGeom>
                    <a:noFill/>
                  </pic:spPr>
                </pic:pic>
              </a:graphicData>
            </a:graphic>
          </wp:anchor>
        </w:drawing>
      </w:r>
    </w:p>
    <w:p>
      <w:pPr>
        <w:spacing w:after="0" w:line="230" w:lineRule="exact"/>
        <w:rPr>
          <w:sz w:val="20"/>
          <w:szCs w:val="20"/>
          <w:color w:val="auto"/>
        </w:rPr>
      </w:pPr>
    </w:p>
    <w:p>
      <w:pPr>
        <w:ind w:left="21"/>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118" w:lineRule="exact"/>
        <w:rPr>
          <w:sz w:val="20"/>
          <w:szCs w:val="20"/>
          <w:color w:val="auto"/>
        </w:rPr>
      </w:pPr>
    </w:p>
    <w:tbl>
      <w:tblPr>
        <w:tblLayout w:type="fixed"/>
        <w:tblInd w:w="11"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386,000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573,000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929,000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13 %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42.15</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2,169,000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3,309,000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14 %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1,077,000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3,246,000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11 %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2,111,000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12 %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905,000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12 %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2,855,000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1,901,000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453,000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46.23</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1,573,000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37.61</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19 %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547,000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3,549,000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15,849,000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7,374,000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23,223,000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80" w:type="dxa"/>
            <w:vAlign w:val="bottom"/>
          </w:tcPr>
          <w:p>
            <w:pPr>
              <w:spacing w:after="0"/>
              <w:rPr>
                <w:sz w:val="22"/>
                <w:szCs w:val="22"/>
                <w:color w:val="auto"/>
              </w:rPr>
            </w:pPr>
          </w:p>
        </w:tc>
        <w:tc>
          <w:tcPr>
            <w:tcW w:w="22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4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6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9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top w:val="single" w:sz="8" w:color="auto"/>
            </w:tcBorders>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20" w:type="dxa"/>
            <w:vAlign w:val="bottom"/>
          </w:tcPr>
          <w:p>
            <w:pPr>
              <w:spacing w:after="0"/>
              <w:rPr>
                <w:sz w:val="11"/>
                <w:szCs w:val="11"/>
                <w:color w:val="auto"/>
              </w:rPr>
            </w:pPr>
          </w:p>
        </w:tc>
        <w:tc>
          <w:tcPr>
            <w:tcW w:w="1240" w:type="dxa"/>
            <w:vAlign w:val="bottom"/>
            <w:tcBorders>
              <w:top w:val="single" w:sz="8" w:color="auto"/>
            </w:tcBorders>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10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02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240" w:type="dxa"/>
            <w:vAlign w:val="bottom"/>
          </w:tcPr>
          <w:p>
            <w:pPr>
              <w:spacing w:after="0"/>
              <w:rPr>
                <w:sz w:val="11"/>
                <w:szCs w:val="11"/>
                <w:color w:val="auto"/>
              </w:rPr>
            </w:pPr>
          </w:p>
        </w:tc>
        <w:tc>
          <w:tcPr>
            <w:tcW w:w="1300" w:type="dxa"/>
            <w:vAlign w:val="bottom"/>
            <w:tcBorders>
              <w:top w:val="single" w:sz="8" w:color="auto"/>
            </w:tcBorders>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920" w:type="dxa"/>
            <w:vAlign w:val="bottom"/>
            <w:tcBorders>
              <w:top w:val="single" w:sz="8" w:color="auto"/>
            </w:tcBorders>
          </w:tcPr>
          <w:p>
            <w:pPr>
              <w:jc w:val="right"/>
              <w:ind w:right="101"/>
              <w:spacing w:after="0" w:line="129"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0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6"/>
        </w:trPr>
        <w:tc>
          <w:tcPr>
            <w:tcW w:w="9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SF</w:t>
            </w:r>
          </w:p>
        </w:tc>
        <w:tc>
          <w:tcPr>
            <w:tcW w:w="12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40" w:type="dxa"/>
            <w:vAlign w:val="bottom"/>
            <w:vMerge w:val="continue"/>
          </w:tcPr>
          <w:p>
            <w:pPr>
              <w:spacing w:after="0"/>
              <w:rPr>
                <w:sz w:val="17"/>
                <w:szCs w:val="17"/>
                <w:color w:val="auto"/>
              </w:rPr>
            </w:pPr>
          </w:p>
        </w:tc>
        <w:tc>
          <w:tcPr>
            <w:tcW w:w="10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Shop SF</w:t>
            </w:r>
          </w:p>
        </w:tc>
        <w:tc>
          <w:tcPr>
            <w:tcW w:w="140" w:type="dxa"/>
            <w:vAlign w:val="bottom"/>
          </w:tcPr>
          <w:p>
            <w:pPr>
              <w:spacing w:after="0"/>
              <w:rPr>
                <w:sz w:val="17"/>
                <w:szCs w:val="17"/>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00" w:type="dxa"/>
            <w:vAlign w:val="bottom"/>
            <w:vMerge w:val="continue"/>
          </w:tcPr>
          <w:p>
            <w:pPr>
              <w:spacing w:after="0"/>
              <w:rPr>
                <w:sz w:val="17"/>
                <w:szCs w:val="17"/>
                <w:color w:val="auto"/>
              </w:rPr>
            </w:pPr>
          </w:p>
        </w:tc>
        <w:tc>
          <w:tcPr>
            <w:tcW w:w="9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SF</w:t>
            </w: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16"/>
        </w:trPr>
        <w:tc>
          <w:tcPr>
            <w:tcW w:w="9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368,000</w:t>
            </w:r>
          </w:p>
        </w:tc>
        <w:tc>
          <w:tcPr>
            <w:tcW w:w="114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36.83</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555,000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 $</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704,000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9 %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1,188,000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576,000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8 %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1,198,000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722,000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1,450,000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2 %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429,000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819,000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3 %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495,000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7 %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946,000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36.09</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388,000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1,140,000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6 %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1,240,000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218"/>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4 % $</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357,000</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938,000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w:t>
            </w:r>
          </w:p>
        </w:tc>
        <w:tc>
          <w:tcPr>
            <w:tcW w:w="0" w:type="dxa"/>
            <w:vAlign w:val="bottom"/>
          </w:tcPr>
          <w:p>
            <w:pPr>
              <w:spacing w:after="0"/>
              <w:rPr>
                <w:sz w:val="1"/>
                <w:szCs w:val="1"/>
                <w:color w:val="auto"/>
              </w:rPr>
            </w:pPr>
          </w:p>
        </w:tc>
      </w:tr>
      <w:tr>
        <w:trPr>
          <w:trHeight w:val="214"/>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1 %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372,000</w:t>
            </w:r>
          </w:p>
        </w:tc>
        <w:tc>
          <w:tcPr>
            <w:tcW w:w="114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5 %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47.94</w:t>
            </w:r>
          </w:p>
        </w:tc>
        <w:tc>
          <w:tcPr>
            <w:tcW w:w="24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607,000</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 $</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0" w:type="dxa"/>
            <w:vAlign w:val="bottom"/>
          </w:tcPr>
          <w:p>
            <w:pPr>
              <w:spacing w:after="0"/>
              <w:rPr>
                <w:sz w:val="1"/>
                <w:szCs w:val="1"/>
                <w:color w:val="auto"/>
              </w:rPr>
            </w:pPr>
          </w:p>
        </w:tc>
      </w:tr>
      <w:tr>
        <w:trPr>
          <w:trHeight w:val="216"/>
        </w:trPr>
        <w:tc>
          <w:tcPr>
            <w:tcW w:w="9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67 % $</w:t>
            </w: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2,549,000</w:t>
            </w:r>
          </w:p>
        </w:tc>
        <w:tc>
          <w:tcPr>
            <w:tcW w:w="114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34 %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13,142,000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 $</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28.48</w:t>
            </w:r>
          </w:p>
        </w:tc>
        <w:tc>
          <w:tcPr>
            <w:tcW w:w="0" w:type="dxa"/>
            <w:vAlign w:val="bottom"/>
          </w:tcPr>
          <w:p>
            <w:pPr>
              <w:spacing w:after="0"/>
              <w:rPr>
                <w:sz w:val="1"/>
                <w:szCs w:val="1"/>
                <w:color w:val="auto"/>
              </w:rPr>
            </w:pPr>
          </w:p>
        </w:tc>
      </w:tr>
      <w:tr>
        <w:trPr>
          <w:trHeight w:val="211"/>
        </w:trPr>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15,849,000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220" w:type="dxa"/>
            <w:vAlign w:val="bottom"/>
          </w:tcPr>
          <w:p>
            <w:pPr>
              <w:spacing w:after="0"/>
              <w:rPr>
                <w:sz w:val="18"/>
                <w:szCs w:val="18"/>
                <w:color w:val="auto"/>
              </w:rPr>
            </w:pPr>
          </w:p>
        </w:tc>
        <w:tc>
          <w:tcPr>
            <w:tcW w:w="1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7,374,000</w:t>
            </w:r>
          </w:p>
        </w:tc>
        <w:tc>
          <w:tcPr>
            <w:tcW w:w="1140" w:type="dxa"/>
            <w:vAlign w:val="bottom"/>
            <w:tcBorders>
              <w:bottom w:val="single" w:sz="8" w:color="auto"/>
            </w:tcBorders>
            <w:gridSpan w:val="2"/>
          </w:tcPr>
          <w:p>
            <w:pPr>
              <w:jc w:val="right"/>
              <w:ind w:right="28"/>
              <w:spacing w:after="0"/>
              <w:rPr>
                <w:sz w:val="20"/>
                <w:szCs w:val="20"/>
                <w:color w:val="auto"/>
              </w:rPr>
            </w:pPr>
            <w:r>
              <w:rPr>
                <w:rFonts w:ascii="Times New Roman" w:cs="Times New Roman" w:eastAsia="Times New Roman" w:hAnsi="Times New Roman"/>
                <w:sz w:val="16"/>
                <w:szCs w:val="16"/>
                <w:color w:val="auto"/>
              </w:rPr>
              <w:t>100 %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23,223,000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781" w:hanging="781"/>
        <w:spacing w:after="0"/>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commercial tenant leasing 10,000 square feet or more.</w:t>
      </w:r>
    </w:p>
    <w:p>
      <w:pPr>
        <w:spacing w:after="0" w:line="32" w:lineRule="exact"/>
        <w:rPr>
          <w:rFonts w:ascii="Times New Roman" w:cs="Times New Roman" w:eastAsia="Times New Roman" w:hAnsi="Times New Roman"/>
          <w:sz w:val="16"/>
          <w:szCs w:val="16"/>
          <w:color w:val="auto"/>
        </w:rPr>
      </w:pPr>
    </w:p>
    <w:p>
      <w:pPr>
        <w:ind w:left="781" w:right="320" w:hanging="781"/>
        <w:spacing w:after="0" w:line="245" w:lineRule="auto"/>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rents on a cash-basis without taking the impacts of rent abatements into account) rent as of June 30, 2022.</w:t>
      </w:r>
    </w:p>
    <w:p>
      <w:pPr>
        <w:spacing w:after="0" w:line="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June 30, 2022.</w:t>
      </w:r>
    </w:p>
    <w:p>
      <w:pPr>
        <w:spacing w:after="0" w:line="32" w:lineRule="exact"/>
        <w:rPr>
          <w:rFonts w:ascii="Times New Roman" w:cs="Times New Roman" w:eastAsia="Times New Roman" w:hAnsi="Times New Roman"/>
          <w:sz w:val="16"/>
          <w:szCs w:val="16"/>
          <w:color w:val="auto"/>
        </w:rPr>
      </w:pPr>
    </w:p>
    <w:p>
      <w:pPr>
        <w:ind w:left="781" w:hanging="781"/>
        <w:spacing w:after="0"/>
        <w:tabs>
          <w:tab w:leader="none" w:pos="78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81"/>
          </w:cols>
          <w:pgMar w:left="359" w:top="1022" w:right="359"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Portfolio Leased Statistics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Overall Portfolio Statistics (1)</w:t>
            </w: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June 30, 2022</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16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6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0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14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6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w w:val="96"/>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7"/>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(4) (SF)</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25,234,000</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23,747,000</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94.1 %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25,300,000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23,456,000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(5) (units)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2,869</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98.5 %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2,869</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97.5 %</w:t>
            </w:r>
          </w:p>
        </w:tc>
      </w:tr>
      <w:tr>
        <w:trPr>
          <w:trHeight w:val="648"/>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Comparable Property Statistics (1)</w:t>
            </w: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At June 30, 2022</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At June 30,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Type</w:t>
            </w:r>
          </w:p>
        </w:tc>
        <w:tc>
          <w:tcPr>
            <w:tcW w:w="1160" w:type="dxa"/>
            <w:vAlign w:val="bottom"/>
            <w:gridSpan w:val="3"/>
          </w:tcPr>
          <w:p>
            <w:pPr>
              <w:ind w:left="840"/>
              <w:spacing w:after="0"/>
              <w:rPr>
                <w:sz w:val="20"/>
                <w:szCs w:val="20"/>
                <w:color w:val="auto"/>
              </w:rPr>
            </w:pPr>
            <w:r>
              <w:rPr>
                <w:rFonts w:ascii="Times New Roman" w:cs="Times New Roman" w:eastAsia="Times New Roman" w:hAnsi="Times New Roman"/>
                <w:sz w:val="16"/>
                <w:szCs w:val="16"/>
                <w:color w:val="auto"/>
              </w:rPr>
              <w:t>Size</w:t>
            </w:r>
          </w:p>
        </w:tc>
        <w:tc>
          <w:tcPr>
            <w:tcW w:w="620" w:type="dxa"/>
            <w:vAlign w:val="bottom"/>
          </w:tcPr>
          <w:p>
            <w:pPr>
              <w:spacing w:after="0"/>
              <w:rPr>
                <w:sz w:val="24"/>
                <w:szCs w:val="24"/>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1040" w:type="dxa"/>
            <w:vAlign w:val="bottom"/>
            <w:tcBorders>
              <w:right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Leased %</w:t>
            </w:r>
          </w:p>
        </w:tc>
        <w:tc>
          <w:tcPr>
            <w:tcW w:w="1140" w:type="dxa"/>
            <w:vAlign w:val="bottom"/>
            <w:gridSpan w:val="3"/>
          </w:tcPr>
          <w:p>
            <w:pPr>
              <w:ind w:left="800"/>
              <w:spacing w:after="0"/>
              <w:rPr>
                <w:sz w:val="20"/>
                <w:szCs w:val="20"/>
                <w:color w:val="auto"/>
              </w:rPr>
            </w:pPr>
            <w:r>
              <w:rPr>
                <w:rFonts w:ascii="Times New Roman" w:cs="Times New Roman" w:eastAsia="Times New Roman" w:hAnsi="Times New Roman"/>
                <w:sz w:val="16"/>
                <w:szCs w:val="16"/>
                <w:color w:val="auto"/>
              </w:rPr>
              <w:t>Size</w:t>
            </w:r>
          </w:p>
        </w:tc>
        <w:tc>
          <w:tcPr>
            <w:tcW w:w="600" w:type="dxa"/>
            <w:vAlign w:val="bottom"/>
          </w:tcPr>
          <w:p>
            <w:pPr>
              <w:spacing w:after="0"/>
              <w:rPr>
                <w:sz w:val="24"/>
                <w:szCs w:val="2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w w:val="96"/>
              </w:rPr>
              <w:t>Leased</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36"/>
        </w:trPr>
        <w:tc>
          <w:tcPr>
            <w:tcW w:w="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Commercial Properties (2) (3) (SF)</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22,142,000</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20,820,000</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94.0 %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22,155,000</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20,543,000</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92.7 %</w:t>
            </w: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42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2,867</w:t>
            </w: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98.5 %</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2,867</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97.5 %</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02" w:lineRule="exact"/>
        <w:rPr>
          <w:sz w:val="20"/>
          <w:szCs w:val="20"/>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00" w:right="140" w:hanging="574"/>
        <w:spacing w:after="0" w:line="245"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92.0% and 89.6% at June 30, 2022 and 2021, respectively, and comparable property occupied percentage was 91.8% and 89.9% at June 30, 2022 and 2021, respectively.</w:t>
      </w:r>
    </w:p>
    <w:p>
      <w:pPr>
        <w:spacing w:after="0" w:line="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00" w:hanging="574"/>
        <w:spacing w:after="0"/>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2022, leased percentage was 96.6% for anchor tenants and 89.3% for small shop tenants.</w:t>
      </w:r>
    </w:p>
    <w:p>
      <w:pPr>
        <w:spacing w:after="0" w:line="32" w:lineRule="exact"/>
        <w:rPr>
          <w:rFonts w:ascii="Times New Roman" w:cs="Times New Roman" w:eastAsia="Times New Roman" w:hAnsi="Times New Roman"/>
          <w:sz w:val="16"/>
          <w:szCs w:val="16"/>
          <w:color w:val="auto"/>
        </w:rPr>
      </w:pPr>
    </w:p>
    <w:p>
      <w:pPr>
        <w:ind w:left="600" w:right="60" w:hanging="574"/>
        <w:spacing w:after="0" w:line="232" w:lineRule="auto"/>
        <w:tabs>
          <w:tab w:leader="none" w:pos="60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residential metrics exclude "Miscela," our new residential building that opened at Assembly Row in 3Q21, and is currently in the process of being leased-up for the first time. If these units were included, our total residential units would be 3,369 and our percentage leased would be 96.8%. At June 30, 2022, Miscela was 87.2% leased.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022" w:right="35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080" w:type="dxa"/>
            <w:vAlign w:val="bottom"/>
            <w:vMerge w:val="restart"/>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920" w:type="dxa"/>
            <w:vAlign w:val="bottom"/>
          </w:tcPr>
          <w:p>
            <w:pPr>
              <w:spacing w:after="0"/>
              <w:rPr>
                <w:sz w:val="13"/>
                <w:szCs w:val="13"/>
                <w:color w:val="auto"/>
              </w:rPr>
            </w:pPr>
          </w:p>
        </w:tc>
        <w:tc>
          <w:tcPr>
            <w:tcW w:w="1180" w:type="dxa"/>
            <w:vAlign w:val="bottom"/>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Rank</w:t>
            </w:r>
          </w:p>
        </w:tc>
        <w:tc>
          <w:tcPr>
            <w:tcW w:w="28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Tenant Name</w:t>
            </w:r>
          </w:p>
        </w:tc>
        <w:tc>
          <w:tcPr>
            <w:tcW w:w="2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40" w:type="dxa"/>
            <w:vAlign w:val="bottom"/>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 Rent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Tenant GLA</w:t>
            </w:r>
          </w:p>
        </w:tc>
        <w:tc>
          <w:tcPr>
            <w:tcW w:w="1180" w:type="dxa"/>
            <w:vAlign w:val="bottom"/>
            <w:vMerge w:val="continue"/>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6"/>
        </w:trPr>
        <w:tc>
          <w:tcPr>
            <w:tcW w:w="560" w:type="dxa"/>
            <w:vAlign w:val="bottom"/>
            <w:tcBorders>
              <w:bottom w:val="single" w:sz="8" w:color="auto"/>
            </w:tcBorders>
            <w:vMerge w:val="continue"/>
          </w:tcPr>
          <w:p>
            <w:pPr>
              <w:spacing w:after="0"/>
              <w:rPr>
                <w:sz w:val="17"/>
                <w:szCs w:val="17"/>
                <w:color w:val="auto"/>
              </w:rPr>
            </w:pPr>
          </w:p>
        </w:tc>
        <w:tc>
          <w:tcPr>
            <w:tcW w:w="280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rPr>
              <w:t>(S&amp;P/Moody's/Fitch) (1)</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Rent</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w:t>
            </w:r>
          </w:p>
        </w:tc>
        <w:tc>
          <w:tcPr>
            <w:tcW w:w="9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GLA (3)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TJX Companies,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w w:val="99"/>
              </w:rPr>
              <w:t>A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22,758,000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NetApp,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14,339,000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1.80 %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1.07 %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Ahold Delhaize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Splunk,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11,913,000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1.49 %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CVS Corporation</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Gap, Inc., The</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1.34 %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 / B3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10,692,000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162"/>
        </w:trPr>
        <w:tc>
          <w:tcPr>
            <w:tcW w:w="560" w:type="dxa"/>
            <w:vAlign w:val="bottom"/>
          </w:tcPr>
          <w:p>
            <w:pPr>
              <w:jc w:val="right"/>
              <w:ind w:right="39"/>
              <w:spacing w:after="0" w:line="162" w:lineRule="exact"/>
              <w:rPr>
                <w:sz w:val="20"/>
                <w:szCs w:val="20"/>
                <w:color w:val="auto"/>
              </w:rPr>
            </w:pPr>
            <w:r>
              <w:rPr>
                <w:rFonts w:ascii="Times New Roman" w:cs="Times New Roman" w:eastAsia="Times New Roman" w:hAnsi="Times New Roman"/>
                <w:sz w:val="16"/>
                <w:szCs w:val="16"/>
                <w:color w:val="auto"/>
              </w:rPr>
              <w:t>8</w:t>
            </w:r>
          </w:p>
        </w:tc>
        <w:tc>
          <w:tcPr>
            <w:tcW w:w="2800" w:type="dxa"/>
            <w:vAlign w:val="bottom"/>
          </w:tcPr>
          <w:p>
            <w:pPr>
              <w:ind w:left="80"/>
              <w:spacing w:after="0" w:line="162" w:lineRule="exact"/>
              <w:rPr>
                <w:sz w:val="20"/>
                <w:szCs w:val="20"/>
                <w:color w:val="auto"/>
              </w:rPr>
            </w:pPr>
            <w:r>
              <w:rPr>
                <w:rFonts w:ascii="Times New Roman" w:cs="Times New Roman" w:eastAsia="Times New Roman" w:hAnsi="Times New Roman"/>
                <w:sz w:val="16"/>
                <w:szCs w:val="16"/>
                <w:color w:val="auto"/>
              </w:rPr>
              <w:t>Albertsons Companies, Inc. (Acme,</w:t>
            </w:r>
          </w:p>
        </w:tc>
        <w:tc>
          <w:tcPr>
            <w:tcW w:w="2080" w:type="dxa"/>
            <w:vAlign w:val="bottom"/>
          </w:tcPr>
          <w:p>
            <w:pPr>
              <w:jc w:val="center"/>
              <w:ind w:left="140"/>
              <w:spacing w:after="0" w:line="162" w:lineRule="exact"/>
              <w:rPr>
                <w:sz w:val="20"/>
                <w:szCs w:val="20"/>
                <w:color w:val="auto"/>
              </w:rPr>
            </w:pPr>
            <w:r>
              <w:rPr>
                <w:rFonts w:ascii="Times New Roman" w:cs="Times New Roman" w:eastAsia="Times New Roman" w:hAnsi="Times New Roman"/>
                <w:sz w:val="16"/>
                <w:szCs w:val="16"/>
                <w:color w:val="auto"/>
                <w:w w:val="99"/>
              </w:rPr>
              <w:t>BB / Ba2 / NR</w:t>
            </w:r>
          </w:p>
        </w:tc>
        <w:tc>
          <w:tcPr>
            <w:tcW w:w="16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7,501,000</w:t>
            </w:r>
          </w:p>
        </w:tc>
        <w:tc>
          <w:tcPr>
            <w:tcW w:w="1640" w:type="dxa"/>
            <w:vAlign w:val="bottom"/>
          </w:tcPr>
          <w:p>
            <w:pPr>
              <w:jc w:val="right"/>
              <w:ind w:right="40"/>
              <w:spacing w:after="0" w:line="162" w:lineRule="exact"/>
              <w:rPr>
                <w:sz w:val="20"/>
                <w:szCs w:val="20"/>
                <w:color w:val="auto"/>
              </w:rPr>
            </w:pPr>
            <w:r>
              <w:rPr>
                <w:rFonts w:ascii="Times New Roman" w:cs="Times New Roman" w:eastAsia="Times New Roman" w:hAnsi="Times New Roman"/>
                <w:sz w:val="16"/>
                <w:szCs w:val="16"/>
                <w:color w:val="auto"/>
              </w:rPr>
              <w:t>0.94 %</w:t>
            </w:r>
          </w:p>
        </w:tc>
        <w:tc>
          <w:tcPr>
            <w:tcW w:w="9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568,000</w:t>
            </w:r>
          </w:p>
        </w:tc>
        <w:tc>
          <w:tcPr>
            <w:tcW w:w="1180" w:type="dxa"/>
            <w:vAlign w:val="bottom"/>
          </w:tcPr>
          <w:p>
            <w:pPr>
              <w:jc w:val="right"/>
              <w:ind w:right="20"/>
              <w:spacing w:after="0" w:line="162" w:lineRule="exact"/>
              <w:rPr>
                <w:sz w:val="20"/>
                <w:szCs w:val="20"/>
                <w:color w:val="auto"/>
              </w:rPr>
            </w:pPr>
            <w:r>
              <w:rPr>
                <w:rFonts w:ascii="Times New Roman" w:cs="Times New Roman" w:eastAsia="Times New Roman" w:hAnsi="Times New Roman"/>
                <w:sz w:val="16"/>
                <w:szCs w:val="16"/>
                <w:color w:val="auto"/>
              </w:rPr>
              <w:t>2.00 %</w:t>
            </w: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Balducci's, Safeway)</w:t>
            </w:r>
          </w:p>
        </w:tc>
        <w:tc>
          <w:tcPr>
            <w:tcW w:w="2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Michaels Stores,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 / B1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0.92 %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Home Depot,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0.91 %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1.69 %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Kroger Co., The</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Baa1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7,036,000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Bank of America, N.A.</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A- / A2 / AA-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0.87 %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0.42 %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Bed, Bath &amp; Beyond,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 / B2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0.86 %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1.47 %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PUMA North America,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6,807,000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0.85 %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0.55 %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Ross Stores,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A2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0.84 %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Dick's Sporting Goods,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Baa3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0.80 %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Target Corporation</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 / A2 /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6,239,000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0.78 %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Ulta Beauty,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0.74 %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0.60 %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DSW,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5,634,000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0.71 %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AMC Entertainment Inc.</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CCC+ / Caa2 / NR</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5,424,000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0.68 %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0.82 %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Hudson's Bay Company (Saks)</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NR / NR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0.35 %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Wells Fargo Bank, N.A.</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w w:val="99"/>
              </w:rPr>
              <w:t>BBB+ / A1 / A+</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0.64 %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0.23 %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Whole Foods Market,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AA- / A1 / NR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5,011,000</w:t>
            </w:r>
          </w:p>
        </w:tc>
        <w:tc>
          <w:tcPr>
            <w:tcW w:w="16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0.63 %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167,000</w:t>
            </w:r>
          </w:p>
        </w:tc>
        <w:tc>
          <w:tcPr>
            <w:tcW w:w="1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0.59 %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w:t>
            </w: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Starbucks Corporation</w:t>
            </w:r>
          </w:p>
        </w:tc>
        <w:tc>
          <w:tcPr>
            <w:tcW w:w="208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BBB+ / Baa1 / BBB</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4,878,000</w:t>
            </w:r>
          </w:p>
        </w:tc>
        <w:tc>
          <w:tcPr>
            <w:tcW w:w="16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0.61 %</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74,000</w:t>
            </w:r>
          </w:p>
        </w:tc>
        <w:tc>
          <w:tcPr>
            <w:tcW w:w="1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0.26 %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5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Best Buy Co., Inc.</w:t>
            </w:r>
          </w:p>
        </w:tc>
        <w:tc>
          <w:tcPr>
            <w:tcW w:w="2080" w:type="dxa"/>
            <w:vAlign w:val="bottom"/>
            <w:shd w:val="clear" w:color="auto" w:fill="CCEEFF"/>
          </w:tcPr>
          <w:p>
            <w:pPr>
              <w:jc w:val="center"/>
              <w:ind w:left="140"/>
              <w:spacing w:after="0"/>
              <w:rPr>
                <w:sz w:val="20"/>
                <w:szCs w:val="20"/>
                <w:color w:val="auto"/>
              </w:rPr>
            </w:pPr>
            <w:r>
              <w:rPr>
                <w:rFonts w:ascii="Times New Roman" w:cs="Times New Roman" w:eastAsia="Times New Roman" w:hAnsi="Times New Roman"/>
                <w:sz w:val="16"/>
                <w:szCs w:val="16"/>
                <w:color w:val="auto"/>
              </w:rPr>
              <w:t>BBB+ / A3 / NR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4,837,000</w:t>
            </w:r>
          </w:p>
        </w:tc>
        <w:tc>
          <w:tcPr>
            <w:tcW w:w="16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0.61 %</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188,000</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0.66 %</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17"/>
                <w:szCs w:val="17"/>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Totals - Top 25 Tenants</w:t>
            </w:r>
          </w:p>
        </w:tc>
        <w:tc>
          <w:tcPr>
            <w:tcW w:w="20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206,949,000</w:t>
            </w:r>
          </w:p>
        </w:tc>
        <w:tc>
          <w:tcPr>
            <w:tcW w:w="16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25.91 %</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8,597,000</w:t>
            </w:r>
          </w:p>
        </w:tc>
        <w:tc>
          <w:tcPr>
            <w:tcW w:w="11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30.34 %</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8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(5):</w:t>
            </w:r>
          </w:p>
        </w:tc>
        <w:tc>
          <w:tcPr>
            <w:tcW w:w="2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798,738,000</w:t>
            </w:r>
          </w:p>
        </w:tc>
        <w:tc>
          <w:tcPr>
            <w:tcW w:w="1640" w:type="dxa"/>
            <w:vAlign w:val="bottom"/>
          </w:tcPr>
          <w:p>
            <w:pPr>
              <w:jc w:val="right"/>
              <w:ind w:right="1340"/>
              <w:spacing w:after="0"/>
              <w:rPr>
                <w:sz w:val="20"/>
                <w:szCs w:val="20"/>
                <w:color w:val="auto"/>
              </w:rPr>
            </w:pPr>
            <w:r>
              <w:rPr>
                <w:rFonts w:ascii="Times New Roman" w:cs="Times New Roman" w:eastAsia="Times New Roman" w:hAnsi="Times New Roman"/>
                <w:sz w:val="16"/>
                <w:szCs w:val="16"/>
                <w:color w:val="auto"/>
              </w:rPr>
              <w:t>(2)</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28,335,000</w:t>
            </w:r>
          </w:p>
        </w:tc>
        <w:tc>
          <w:tcPr>
            <w:tcW w:w="1180" w:type="dxa"/>
            <w:vAlign w:val="bottom"/>
          </w:tcPr>
          <w:p>
            <w:pPr>
              <w:jc w:val="right"/>
              <w:ind w:right="88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32" w:lineRule="exact"/>
        <w:rPr>
          <w:sz w:val="20"/>
          <w:szCs w:val="20"/>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June 30, 2022. Subsequent rating changes have not been reflected.</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32" w:lineRule="exact"/>
        <w:rPr>
          <w:rFonts w:ascii="Times New Roman" w:cs="Times New Roman" w:eastAsia="Times New Roman" w:hAnsi="Times New Roman"/>
          <w:sz w:val="16"/>
          <w:szCs w:val="16"/>
          <w:color w:val="auto"/>
        </w:rPr>
      </w:pPr>
    </w:p>
    <w:p>
      <w:pPr>
        <w:ind w:left="640" w:hanging="621"/>
        <w:spacing w:after="0"/>
        <w:tabs>
          <w:tab w:leader="none" w:pos="6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40" w:top="1022" w:right="35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June 30, 2022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the range of estimated earnings per diluted share to estimated FFO per diluted share for the full year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Estimates do not include the impact from potential acquisitions or dispositions which have not closed as of July 31, 2022.</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960" w:type="dxa"/>
            <w:vAlign w:val="bottom"/>
            <w:tcBorders>
              <w:top w:val="single" w:sz="8" w:color="auto"/>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Full Year 2022 Guidance Range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8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Low</w:t>
            </w: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58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5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5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Note:</w:t>
            </w:r>
          </w:p>
        </w:tc>
        <w:tc>
          <w:tcPr>
            <w:tcW w:w="1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6700" w:type="dxa"/>
            <w:vAlign w:val="bottom"/>
            <w:gridSpan w:val="4"/>
            <w:vMerge w:val="continue"/>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See Glossary of Terms. Individual items may not add up to total due to rounding.</w:t>
            </w:r>
          </w:p>
        </w:tc>
        <w:tc>
          <w:tcPr>
            <w:tcW w:w="1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Guidance Assumptions:</w:t>
            </w: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48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Comparable properties growth</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5.5% - 7%</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Comparable properties growth excluding prior period rents and term fees</w:t>
            </w:r>
          </w:p>
        </w:tc>
        <w:tc>
          <w:tcPr>
            <w:tcW w:w="1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7.5% - 9%</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$50 - $54 million (annual)</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Mortgage interest income</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 million (annual)</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Dispositions POI</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 million</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Development/redevelopment capital</w:t>
            </w:r>
          </w:p>
        </w:tc>
        <w:tc>
          <w:tcPr>
            <w:tcW w:w="2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$300 - $400 million (annual)</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to be issued ($260 million of common equity issued year to date through 6/30/2022)</w:t>
            </w:r>
          </w:p>
        </w:tc>
        <w:tc>
          <w:tcPr>
            <w:tcW w:w="2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$300 - $400 million (annual)</w:t>
            </w: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not assume any material changes of tenants moving to or from a cash basis of accounting.</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92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13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EBITDA for Real Estate ("EBITDAre"): </w:t>
      </w:r>
      <w:r>
        <w:rPr>
          <w:rFonts w:ascii="Times New Roman" w:cs="Times New Roman" w:eastAsia="Times New Roman" w:hAnsi="Times New Roman"/>
          <w:sz w:val="16"/>
          <w:szCs w:val="16"/>
          <w:color w:val="auto"/>
        </w:rPr>
        <w:t>EBITDAre is a non-GAAP measure that the National Association of Real Estate Investment Trusts ("NAREIT") defines as: net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2022 and 2021 is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6"/>
                <w:szCs w:val="16"/>
                <w:color w:val="auto"/>
              </w:rPr>
            </w:pPr>
          </w:p>
        </w:tc>
      </w:tr>
      <w:tr>
        <w:trPr>
          <w:trHeight w:val="203"/>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3"/>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gridSpan w:val="3"/>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7"/>
                <w:szCs w:val="17"/>
                <w:color w:val="auto"/>
              </w:rPr>
            </w:pPr>
          </w:p>
        </w:tc>
      </w:tr>
      <w:tr>
        <w:trPr>
          <w:trHeight w:val="23"/>
        </w:trPr>
        <w:tc>
          <w:tcPr>
            <w:tcW w:w="5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2021</w:t>
            </w:r>
          </w:p>
        </w:tc>
      </w:tr>
      <w:tr>
        <w:trPr>
          <w:trHeight w:val="196"/>
        </w:trPr>
        <w:tc>
          <w:tcPr>
            <w:tcW w:w="5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2"/>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97,798</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63,647</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63,262</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interest income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(benefit) provision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146,135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131,549</w:t>
            </w: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real estate and change in control of interest</w:t>
            </w:r>
          </w:p>
        </w:tc>
        <w:tc>
          <w:tcPr>
            <w:tcW w:w="3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(17,428)</w:t>
            </w: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of EBITDAre of unconsolidated affiliates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w:t>
            </w:r>
          </w:p>
        </w:tc>
      </w:tr>
      <w:tr>
        <w:trPr>
          <w:trHeight w:val="210"/>
        </w:trPr>
        <w:tc>
          <w:tcPr>
            <w:tcW w:w="56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EBITDAre</w:t>
            </w:r>
          </w:p>
        </w:tc>
        <w:tc>
          <w:tcPr>
            <w:tcW w:w="3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171,609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147,760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330,689</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276,375</w:t>
            </w: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(FFO): </w:t>
      </w:r>
      <w:r>
        <w:rPr>
          <w:rFonts w:ascii="Times New Roman" w:cs="Times New Roman" w:eastAsia="Times New Roman" w:hAnsi="Times New Roman"/>
          <w:sz w:val="16"/>
          <w:szCs w:val="16"/>
          <w:color w:val="auto"/>
        </w:rPr>
        <w:t>FFO is a supplemental measure of real estate companies' operating performances. NAREIT defines FFO as follows: net income, computed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Property Operating Income: </w:t>
      </w:r>
      <w:r>
        <w:rPr>
          <w:rFonts w:ascii="Times New Roman" w:cs="Times New Roman" w:eastAsia="Times New Roman" w:hAnsi="Times New Roman"/>
          <w:sz w:val="16"/>
          <w:szCs w:val="16"/>
          <w:color w:val="auto"/>
        </w:rPr>
        <w:t>Rental income and mortgage interest income, less rental expenses and real estate taxes.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Overall Portfolio: </w:t>
      </w:r>
      <w:r>
        <w:rPr>
          <w:rFonts w:ascii="Times New Roman" w:cs="Times New Roman" w:eastAsia="Times New Roman" w:hAnsi="Times New Roman"/>
          <w:sz w:val="16"/>
          <w:szCs w:val="16"/>
          <w:color w:val="auto"/>
        </w:rPr>
        <w:t>Includes all operating properties owned in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Comparable Properties: </w:t>
      </w:r>
      <w:r>
        <w:rPr>
          <w:rFonts w:ascii="Times New Roman" w:cs="Times New Roman" w:eastAsia="Times New Roman" w:hAnsi="Times New Roman"/>
          <w:sz w:val="16"/>
          <w:szCs w:val="16"/>
          <w:color w:val="auto"/>
        </w:rPr>
        <w:t>Represents our consolidated property portfolio other than those properties that distort comparability between periods in two primary categories:</w:t>
      </w:r>
    </w:p>
    <w:p>
      <w:pPr>
        <w:spacing w:after="0" w:line="25" w:lineRule="exact"/>
        <w:rPr>
          <w:sz w:val="20"/>
          <w:szCs w:val="20"/>
          <w:color w:val="auto"/>
        </w:rPr>
      </w:pPr>
    </w:p>
    <w:p>
      <w:pPr>
        <w:ind w:right="160" w:firstLine="8"/>
        <w:spacing w:after="0" w:line="257" w:lineRule="auto"/>
        <w:tabs>
          <w:tab w:leader="none" w:pos="229"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99"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Annualized Base Rent (ABR): </w:t>
      </w:r>
      <w:r>
        <w:rPr>
          <w:rFonts w:ascii="Times New Roman" w:cs="Times New Roman" w:eastAsia="Times New Roman" w:hAnsi="Times New Roman"/>
          <w:sz w:val="16"/>
          <w:szCs w:val="16"/>
          <w:color w:val="auto"/>
        </w:rPr>
        <w:t>Represents aggregate, annualized in-place contractual (defined as rents billed on a cash basis without taking the impact of rent abatements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into account) minimum rent for all occupied spaces as of the reporting period.</w:t>
      </w:r>
    </w:p>
    <w:p>
      <w:pPr>
        <w:spacing w:after="0" w:line="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Retail Leasing Summary - Lease Rollover Calculation: </w:t>
      </w:r>
      <w:r>
        <w:rPr>
          <w:rFonts w:ascii="Times New Roman" w:cs="Times New Roman" w:eastAsia="Times New Roman" w:hAnsi="Times New Roman"/>
          <w:sz w:val="16"/>
          <w:szCs w:val="16"/>
          <w:color w:val="auto"/>
        </w:rPr>
        <w:t>The rental increases associated with comparable spaces generally include all leases signed for retail space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arms-length transactions reflecting market leverage between landlords and tenants during the period.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As a result of accommodations made to certain tenants to help them to stay open during and after the COVID-19 pandemic, we have found it necessary to exercise more judgment since the pandemic started than in prior years in order to appropriately reflect the comparability of rents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Rent abatement and short term rent restructuring agreements that are a result of COVID-19 impacts are not included in this calculation.</w:t>
      </w:r>
    </w:p>
    <w:p>
      <w:pPr>
        <w:spacing w:after="0" w:line="103"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Tenant Improvements and Incentives: </w:t>
      </w:r>
      <w:r>
        <w:rPr>
          <w:rFonts w:ascii="Times New Roman" w:cs="Times New Roman" w:eastAsia="Times New Roman" w:hAnsi="Times New Roman"/>
          <w:sz w:val="16"/>
          <w:szCs w:val="16"/>
          <w:color w:val="auto"/>
        </w:rPr>
        <w:t>Represents the total dollars committed for the improvement (fit-out) of a space as it relates to a specific lease. Incentives include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amounts paid to tenants as an inducement to sign a lease that do not represent building improvements.</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3"/>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lvl w:ilvl="1">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3"/>
    </w:lvl>
  </w:abstractNum>
  <w:abstractNum w:abstractNumId="11">
    <w:nsid w:val="7C83E458"/>
    <w:multiLevelType w:val="hybridMultilevel"/>
    <w:lvl w:ilvl="0">
      <w:lvlJc w:val="left"/>
      <w:lvlText w:val="%1)"/>
      <w:numFmt w:val="decimal"/>
      <w:start w:val="5"/>
    </w:lvl>
  </w:abstractNum>
  <w:abstractNum w:abstractNumId="12">
    <w:nsid w:val="257130A3"/>
    <w:multiLevelType w:val="hybridMultilevel"/>
    <w:lvl w:ilvl="0">
      <w:lvlJc w:val="left"/>
      <w:lvlText w:val="%1)"/>
      <w:numFmt w:val="decimal"/>
      <w:start w:val="7"/>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2022-08-04T06:22:00Z</dcterms:created>
  <dcterms:modified xsi:type="dcterms:W3CDTF">2022-08-04T06:22:00Z</dcterms:modified>
</cp:coreProperties>
</file>