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THE SECTION 13 OR 15(D) OF THE SECURITIES EXCHANGE ACT OF 1934</w:t>
      </w:r>
    </w:p>
    <w:p>
      <w:pPr>
        <w:spacing w:after="0" w:line="1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2024</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8"/>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gridSpan w:val="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400" w:type="dxa"/>
            <w:vAlign w:val="bottom"/>
            <w:gridSpan w:val="3"/>
          </w:tcPr>
          <w:p>
            <w:pPr>
              <w:jc w:val="center"/>
              <w:ind w:left="24"/>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03"/>
        </w:trPr>
        <w:tc>
          <w:tcPr>
            <w:tcW w:w="7100" w:type="dxa"/>
            <w:vAlign w:val="bottom"/>
            <w:gridSpan w:val="10"/>
          </w:tcPr>
          <w:p>
            <w:pPr>
              <w:jc w:val="center"/>
              <w:ind w:right="2600"/>
              <w:spacing w:after="0"/>
              <w:rPr>
                <w:sz w:val="20"/>
                <w:szCs w:val="20"/>
                <w:color w:val="auto"/>
              </w:rPr>
            </w:pPr>
            <w:r>
              <w:rPr>
                <w:rFonts w:ascii="Times New Roman" w:cs="Times New Roman" w:eastAsia="Times New Roman" w:hAnsi="Times New Roman"/>
                <w:sz w:val="15"/>
                <w:szCs w:val="15"/>
                <w:color w:val="auto"/>
              </w:rPr>
              <w:t>$.01 par value per share, with associated Common Share Purchase Rights</w:t>
            </w: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40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Depositary Shares, each representing 1/1000 of a 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400" w:type="dxa"/>
            <w:vAlign w:val="bottom"/>
            <w:gridSpan w:val="3"/>
          </w:tcPr>
          <w:p>
            <w:pPr>
              <w:jc w:val="center"/>
              <w:ind w:left="4"/>
              <w:spacing w:after="0" w:line="156" w:lineRule="exact"/>
              <w:rPr>
                <w:sz w:val="20"/>
                <w:szCs w:val="20"/>
                <w:color w:val="auto"/>
              </w:rPr>
            </w:pPr>
            <w:r>
              <w:rPr>
                <w:rFonts w:ascii="Times New Roman" w:cs="Times New Roman" w:eastAsia="Times New Roman" w:hAnsi="Times New Roman"/>
                <w:sz w:val="15"/>
                <w:szCs w:val="15"/>
                <w:color w:val="auto"/>
              </w:rPr>
              <w:t>Series C Cumulative Redeemable Preferred Share, $.01 par value per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640" w:type="dxa"/>
            <w:vAlign w:val="bottom"/>
          </w:tcPr>
          <w:p>
            <w:pPr>
              <w:spacing w:after="0"/>
              <w:rPr>
                <w:sz w:val="17"/>
                <w:szCs w:val="17"/>
                <w:color w:val="auto"/>
              </w:rPr>
            </w:pPr>
          </w:p>
        </w:tc>
        <w:tc>
          <w:tcPr>
            <w:tcW w:w="2760" w:type="dxa"/>
            <w:vAlign w:val="bottom"/>
            <w:gridSpan w:val="2"/>
          </w:tcPr>
          <w:p>
            <w:pPr>
              <w:jc w:val="center"/>
              <w:ind w:right="1487"/>
              <w:spacing w:after="0"/>
              <w:rPr>
                <w:sz w:val="20"/>
                <w:szCs w:val="20"/>
                <w:color w:val="auto"/>
              </w:rPr>
            </w:pPr>
            <w:r>
              <w:rPr>
                <w:rFonts w:ascii="Times New Roman" w:cs="Times New Roman" w:eastAsia="Times New Roman" w:hAnsi="Times New Roman"/>
                <w:sz w:val="15"/>
                <w:szCs w:val="15"/>
                <w:color w:val="auto"/>
              </w:rPr>
              <w:t>share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7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3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53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Federal Realty Investment Trust</w:t>
            </w:r>
          </w:p>
        </w:tc>
        <w:tc>
          <w:tcPr>
            <w:tcW w:w="2160" w:type="dxa"/>
            <w:vAlign w:val="bottom"/>
          </w:tcPr>
          <w:p>
            <w:pPr>
              <w:spacing w:after="0"/>
              <w:rPr>
                <w:sz w:val="16"/>
                <w:szCs w:val="16"/>
                <w:color w:val="auto"/>
              </w:rPr>
            </w:pPr>
          </w:p>
        </w:tc>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Realty OP LP</w:t>
            </w:r>
          </w:p>
        </w:tc>
        <w:tc>
          <w:tcPr>
            <w:tcW w:w="0" w:type="dxa"/>
            <w:vAlign w:val="bottom"/>
          </w:tcPr>
          <w:p>
            <w:pPr>
              <w:spacing w:after="0"/>
              <w:rPr>
                <w:sz w:val="1"/>
                <w:szCs w:val="1"/>
                <w:color w:val="auto"/>
              </w:rPr>
            </w:pPr>
          </w:p>
        </w:tc>
      </w:tr>
      <w:tr>
        <w:trPr>
          <w:trHeight w:val="158"/>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216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800" w:type="dxa"/>
            <w:vAlign w:val="bottom"/>
            <w:vMerge w:val="restart"/>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229"/>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Non-accelerated Filer</w:t>
            </w:r>
          </w:p>
        </w:tc>
        <w:tc>
          <w:tcPr>
            <w:tcW w:w="8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234"/>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9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cente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Federal Realty OP LP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Federal Realty Investment Trust's common shares outstanding on October 25, 2024 was 84,964,130.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September 30, 2024,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September 30, 2024,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2024 (unaudited) and December 31, 2023</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and nine months ended September 30,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2024 (unaudited) and December 31, 2023</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and nine months ended September 30, 2024 and 2023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2024 and 2023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13</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$1,822,143 and $2,021,622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10,355,292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9,932,891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w w:val="99"/>
              </w:rPr>
              <w:t>Construction-in-progress (including $8,352 and $8,677 of consolidated variable interest entities, respectively)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613,296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10,546,187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$414,128 and $416,663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(3,115,910)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(2,963,519)</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7,582,668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263,377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$187,311 and $189,286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516,936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601,945</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3,480,296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5,210,990</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183,363</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5"/>
        </w:trPr>
        <w:tc>
          <w:tcPr>
            <w:tcW w:w="860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200,000,000 shares authorized, respectively, 84,952,538 and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82,775,286 shares issued and outstanding, respectively</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3,959,276</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(1,160,474)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2,963,509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3,042,159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8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286,323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839,509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840,342</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taxes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544,351</w:t>
            </w: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297,693</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interest income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172,882</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81,274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83,180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81,210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181,248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2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3,070,813</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$1,742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61,719</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$187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$3,167 attributable to redeemable</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84,952,538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(1,211,833)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1"/>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82,775,286</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3,959,276</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(1,160,474)</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78,650</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3,042,159</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$5,179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$108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Dividends declared to common shareholders ($3.28</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$7,488 attributable to redeemable</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2,059,775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148,462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84,952,538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(1,211,833)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1500" w:type="dxa"/>
            <w:vAlign w:val="bottom"/>
            <w:tcBorders>
              <w:top w:val="single" w:sz="8" w:color="auto"/>
            </w:tcBorders>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480" w:type="dxa"/>
            <w:vAlign w:val="bottom"/>
            <w:tcBorders>
              <w:top w:val="single" w:sz="8" w:color="auto"/>
            </w:tcBorders>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18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81,515,511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3,832,983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2,980,431</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$1,817 attributable to</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57,575</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$118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($1.09</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(88,958)</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$3,545 attributable to redeemable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81,618,162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3,846,845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2,961,049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81,342,959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3,821,801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3,034,015</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$5,036 attributable to</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172,882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175,091</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$105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($3.25</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(265,022)</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$6,972 attributable to redeemable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81,618,162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3,846,845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2,961,049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443,215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(59,568)</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(162,662)</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(73,229)</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associated with property sold under threat of condemnation</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(288,638)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345,698</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to extend and issue notes and mortgages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(268,658)</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acquisition/redemptions of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$1,822,143 and $2,021,622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10,355,292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9,932,891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w w:val="99"/>
              </w:rPr>
              <w:t>Construction-in-progress (including $8,352 and $8,677 of consolidated variable interest entities, respectively)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613,296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10,546,187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$414,128 and $416,663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(3,115,910)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(2,963,519)</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7,582,668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263,377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$187,311 and $189,286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516,936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601,945</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3,480,296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5,210,990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183,363</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398,878 units issued and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units, 84,952,538 and 82,775,286 units issued and outstanding, respectively</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2,804,669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2,963,509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3,042,159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839,509</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840,342</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544,351</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interest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81,274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83,180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81,210</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181,248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Partner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vMerge w:val="restart"/>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2,833,788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2,995,618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3,070,813</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$1,742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61,719</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excluding $187 attributable to redeemable 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$3,167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2,954,507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3,111,467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2,804,669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2,963,509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3,042,159</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$5,179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230,953</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excluding $108 attributable to redeemable 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$7,488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2,954,507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3,111,467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vMerge w:val="restart"/>
          </w:tcPr>
          <w:p>
            <w:pPr>
              <w:spacing w:after="0"/>
              <w:rPr>
                <w:sz w:val="13"/>
                <w:szCs w:val="13"/>
                <w:color w:val="auto"/>
              </w:rPr>
            </w:pPr>
          </w:p>
        </w:tc>
        <w:tc>
          <w:tcPr>
            <w:tcW w:w="12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Total Partner</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2,740,405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2,900,689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2,980,431</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$1,817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57,575</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swaps, excluding $118 attributable to redeemable noncontrolling</w:t>
            </w:r>
          </w:p>
        </w:tc>
        <w:tc>
          <w:tcPr>
            <w:tcW w:w="3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$3,545 attributable to redeemable</w:t>
            </w:r>
          </w:p>
        </w:tc>
        <w:tc>
          <w:tcPr>
            <w:tcW w:w="3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2,720,350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2,881,911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2,961,049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2,954,012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3,034,015</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$5,036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166,858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172,882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175,091</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swaps, excluding $105 attributable to redeemable noncontrolling</w:t>
            </w:r>
          </w:p>
        </w:tc>
        <w:tc>
          <w:tcPr>
            <w:tcW w:w="3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(265,022)</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$6,972 attributable to redeemable</w:t>
            </w:r>
          </w:p>
        </w:tc>
        <w:tc>
          <w:tcPr>
            <w:tcW w:w="3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0" w:type="dxa"/>
            <w:vAlign w:val="bottom"/>
          </w:tcPr>
          <w:p>
            <w:pPr>
              <w:spacing w:after="0"/>
              <w:rPr>
                <w:sz w:val="1"/>
                <w:szCs w:val="1"/>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2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2,881,911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2,961,049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443,215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(59,568)</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(162,662)</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(73,229)</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associated with property sold under threat of condemnation</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(288,638)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345,698</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to extend and issue notes and mortgages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(268,658)</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acquisition/redemptions of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September 30, 2024, we owned or had a majority interest in community and neighborhood shopping centers and mixed-use properties which are operated as 102 predominantly retail real estate projects.</w:t>
      </w:r>
    </w:p>
    <w:p>
      <w:pPr>
        <w:spacing w:after="0" w:line="1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Heightened levels of inflation and higher interest rates present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2024 are not necessarily indicative of the results that may be expected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Senior Notes</w:t>
      </w:r>
    </w:p>
    <w:p>
      <w:pPr>
        <w:spacing w:after="0" w:line="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On January 11, 2024, our Operating Partnership issued $485.0 million aggregate principal amount of 3.25% Exchangeable Senior Notes due 2029 (the “Notes”) in a private placement (see Note 4 for additional information). We account for our Notes in accordance with ASC 470-20, </w:t>
      </w:r>
      <w:r>
        <w:rPr>
          <w:rFonts w:ascii="Times New Roman" w:cs="Times New Roman" w:eastAsia="Times New Roman" w:hAnsi="Times New Roman"/>
          <w:sz w:val="18"/>
          <w:szCs w:val="18"/>
          <w:i w:val="1"/>
          <w:iCs w:val="1"/>
          <w:color w:val="auto"/>
        </w:rPr>
        <w: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w:t>
      </w:r>
      <w:r>
        <w:rPr>
          <w:rFonts w:ascii="Times New Roman" w:cs="Times New Roman" w:eastAsia="Times New Roman" w:hAnsi="Times New Roman"/>
          <w:sz w:val="18"/>
          <w:szCs w:val="18"/>
          <w:color w:val="auto"/>
        </w:rPr>
        <w:t>(after the adoption of ASU 2020-06,</w:t>
      </w:r>
      <w:r>
        <w:rPr>
          <w:rFonts w:ascii="Times New Roman" w:cs="Times New Roman" w:eastAsia="Times New Roman" w:hAnsi="Times New Roman"/>
          <w:sz w:val="18"/>
          <w:szCs w:val="18"/>
          <w:i w:val="1"/>
          <w:iCs w:val="1"/>
          <w:color w:val="auto"/>
        </w:rPr>
        <w:t xml:space="preserve"> Debt - Debt and Other Options </w:t>
      </w:r>
      <w:r>
        <w:rPr>
          <w:rFonts w:ascii="Times New Roman" w:cs="Times New Roman" w:eastAsia="Times New Roman" w:hAnsi="Times New Roman"/>
          <w:sz w:val="18"/>
          <w:szCs w:val="18"/>
          <w:color w:val="auto"/>
        </w:rPr>
        <w:t>(Subtopic 470-20) and</w:t>
      </w:r>
      <w:r>
        <w:rPr>
          <w:rFonts w:ascii="Times New Roman" w:cs="Times New Roman" w:eastAsia="Times New Roman" w:hAnsi="Times New Roman"/>
          <w:sz w:val="18"/>
          <w:szCs w:val="18"/>
          <w:i w:val="1"/>
          <w:iCs w:val="1"/>
          <w:color w:val="auto"/>
        </w:rPr>
        <w:t xml:space="preserve"> Derivatives and Hedging - Contracts in Entity's Own Equity </w:t>
      </w:r>
      <w:r>
        <w:rPr>
          <w:rFonts w:ascii="Times New Roman" w:cs="Times New Roman" w:eastAsia="Times New Roman" w:hAnsi="Times New Roman"/>
          <w:sz w:val="18"/>
          <w:szCs w:val="18"/>
          <w:color w:val="auto"/>
        </w:rPr>
        <w:t>(Subtopic 815-40):</w:t>
      </w:r>
      <w:r>
        <w:rPr>
          <w:rFonts w:ascii="Times New Roman" w:cs="Times New Roman" w:eastAsia="Times New Roman" w:hAnsi="Times New Roman"/>
          <w:sz w:val="18"/>
          <w:szCs w:val="18"/>
          <w:i w:val="1"/>
          <w:iCs w:val="1"/>
          <w:color w:val="auto"/>
        </w:rPr>
        <w:t xml:space="preserve"> Accounting for Contracts in an Entity's Own Equity </w:t>
      </w:r>
      <w:r>
        <w:rPr>
          <w:rFonts w:ascii="Times New Roman" w:cs="Times New Roman" w:eastAsia="Times New Roman" w:hAnsi="Times New Roman"/>
          <w:sz w:val="18"/>
          <w:szCs w:val="18"/>
          <w:color w:val="auto"/>
        </w:rPr>
        <w:t>(ASU 2020-06)). The embedded exchange feature is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capped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vMerge w:val="restart"/>
          </w:tcPr>
          <w:p>
            <w:pPr>
              <w:spacing w:after="0"/>
              <w:rPr>
                <w:sz w:val="18"/>
                <w:szCs w:val="18"/>
                <w:color w:val="auto"/>
              </w:rPr>
            </w:pPr>
          </w:p>
        </w:tc>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the financial statements or</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53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matters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Adopted during 2024:</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ASU 2023-01, March 2023,</w:t>
            </w: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This ASU requires all lessees in a lease with a lessor under common control</w:t>
            </w:r>
          </w:p>
        </w:tc>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 adopted this ASU as of January 1, 2024.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gridSpan w:val="4"/>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Leases (Topic 842) Common</w:t>
            </w:r>
          </w:p>
        </w:tc>
        <w:tc>
          <w:tcPr>
            <w:tcW w:w="5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to (1) amortize leasehold improvements over their useful life to the common</w:t>
            </w: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The implementation of this ASU did not have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gridSpan w:val="4"/>
          </w:tcPr>
          <w:p>
            <w:pPr>
              <w:spacing w:after="0" w:line="174" w:lineRule="exact"/>
              <w:rPr>
                <w:sz w:val="20"/>
                <w:szCs w:val="20"/>
                <w:color w:val="auto"/>
              </w:rPr>
            </w:pPr>
            <w:r>
              <w:rPr>
                <w:rFonts w:ascii="Times New Roman" w:cs="Times New Roman" w:eastAsia="Times New Roman" w:hAnsi="Times New Roman"/>
                <w:sz w:val="17"/>
                <w:szCs w:val="17"/>
                <w:i w:val="1"/>
                <w:iCs w:val="1"/>
                <w:color w:val="auto"/>
              </w:rPr>
              <w:t>Control Arrangements</w:t>
            </w:r>
          </w:p>
        </w:tc>
        <w:tc>
          <w:tcPr>
            <w:tcW w:w="54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control group, as long as the lessee controls the use of the underlying asset</w:t>
            </w:r>
          </w:p>
        </w:tc>
        <w:tc>
          <w:tcPr>
            <w:tcW w:w="332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an impact on our consolidated financial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through a lease and (2) account for the leasehold improvements as a transfer</w:t>
            </w:r>
          </w:p>
        </w:tc>
        <w:tc>
          <w:tcPr>
            <w:tcW w:w="3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statements.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of assets between entities under common control through an adjustment to</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when the lessee no longer controls the use of the underlying asset.</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guidance may be applied prospectively to new and existing leasehold</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improvements, with the remaining balance of existing leasehold</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improvements amortized over their remaining useful life to the common</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control group or retrospectively, through a cumulative-effect adjustment to</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opening retained earnings.</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guidance is effective in fiscal years beginning after December 15, 2023,</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 interim periods within those fiscal years. Early adoption is permitted.</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i w:val="1"/>
                <w:iCs w:val="1"/>
                <w:color w:val="auto"/>
              </w:rPr>
              <w:t>Issued in 2023:</w:t>
            </w:r>
          </w:p>
        </w:tc>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ASU 2023-07, November 2023,</w:t>
            </w: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This ASU requires public entities to provide disclosures of significant</w:t>
            </w:r>
          </w:p>
        </w:tc>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While we continue to evaluate the impact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gridSpan w:val="4"/>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Segment Reporting (Topic 280),</w:t>
            </w:r>
          </w:p>
        </w:tc>
        <w:tc>
          <w:tcPr>
            <w:tcW w:w="5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segment expense and other significant segment items, as well as provide in</w:t>
            </w: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this ASU on our Form 10-K 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gridSpan w:val="4"/>
          </w:tcPr>
          <w:p>
            <w:pPr>
              <w:spacing w:after="0" w:line="174" w:lineRule="exact"/>
              <w:rPr>
                <w:sz w:val="20"/>
                <w:szCs w:val="20"/>
                <w:color w:val="auto"/>
              </w:rPr>
            </w:pPr>
            <w:r>
              <w:rPr>
                <w:rFonts w:ascii="Times New Roman" w:cs="Times New Roman" w:eastAsia="Times New Roman" w:hAnsi="Times New Roman"/>
                <w:sz w:val="17"/>
                <w:szCs w:val="17"/>
                <w:i w:val="1"/>
                <w:iCs w:val="1"/>
                <w:color w:val="auto"/>
              </w:rPr>
              <w:t>Improvements to Reportable</w:t>
            </w:r>
          </w:p>
        </w:tc>
        <w:tc>
          <w:tcPr>
            <w:tcW w:w="54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interim period all disclosures about a reportable segment's profit or loss and</w:t>
            </w:r>
          </w:p>
        </w:tc>
        <w:tc>
          <w:tcPr>
            <w:tcW w:w="332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December 31, 2024, we anticipate providing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gridSpan w:val="4"/>
          </w:tcPr>
          <w:p>
            <w:pPr>
              <w:spacing w:after="0" w:line="167" w:lineRule="exact"/>
              <w:rPr>
                <w:sz w:val="20"/>
                <w:szCs w:val="20"/>
                <w:color w:val="auto"/>
              </w:rPr>
            </w:pPr>
            <w:r>
              <w:rPr>
                <w:rFonts w:ascii="Times New Roman" w:cs="Times New Roman" w:eastAsia="Times New Roman" w:hAnsi="Times New Roman"/>
                <w:sz w:val="17"/>
                <w:szCs w:val="17"/>
                <w:i w:val="1"/>
                <w:iCs w:val="1"/>
                <w:color w:val="auto"/>
              </w:rPr>
              <w:t>Segment Disclosures</w:t>
            </w:r>
          </w:p>
        </w:tc>
        <w:tc>
          <w:tcPr>
            <w:tcW w:w="54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assets that are currently required annually. Additionally, public entities with a</w:t>
            </w:r>
          </w:p>
        </w:tc>
        <w:tc>
          <w:tcPr>
            <w:tcW w:w="3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disclosures required by ASC 280 for our single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single reportable segment have to provide all of the disclosures required by</w:t>
            </w: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reportable segment.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ASC 280, including the significant segment expense disclosures.</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guidance is applied retrospectively to all periods presented in financial</w:t>
      </w:r>
    </w:p>
    <w:p>
      <w:pPr>
        <w:ind w:left="2480"/>
        <w:spacing w:after="0" w:line="215" w:lineRule="auto"/>
        <w:rPr>
          <w:sz w:val="20"/>
          <w:szCs w:val="20"/>
          <w:color w:val="auto"/>
        </w:rPr>
      </w:pPr>
      <w:r>
        <w:rPr>
          <w:rFonts w:ascii="Times New Roman" w:cs="Times New Roman" w:eastAsia="Times New Roman" w:hAnsi="Times New Roman"/>
          <w:sz w:val="17"/>
          <w:szCs w:val="17"/>
          <w:color w:val="auto"/>
        </w:rPr>
        <w:t>statements, unless it is impracticable. The guidance applies to all public</w:t>
      </w:r>
    </w:p>
    <w:p>
      <w:pPr>
        <w:ind w:left="2480"/>
        <w:spacing w:after="0" w:line="199" w:lineRule="auto"/>
        <w:rPr>
          <w:sz w:val="20"/>
          <w:szCs w:val="20"/>
          <w:color w:val="auto"/>
        </w:rPr>
      </w:pPr>
      <w:r>
        <w:rPr>
          <w:rFonts w:ascii="Times New Roman" w:cs="Times New Roman" w:eastAsia="Times New Roman" w:hAnsi="Times New Roman"/>
          <w:sz w:val="17"/>
          <w:szCs w:val="17"/>
          <w:color w:val="auto"/>
        </w:rPr>
        <w:t>entities and is effective for fiscal years beginning after December 15, 2023,</w:t>
      </w:r>
    </w:p>
    <w:p>
      <w:pPr>
        <w:ind w:left="2480"/>
        <w:spacing w:after="0" w:line="215" w:lineRule="auto"/>
        <w:rPr>
          <w:sz w:val="20"/>
          <w:szCs w:val="20"/>
          <w:color w:val="auto"/>
        </w:rPr>
      </w:pPr>
      <w:r>
        <w:rPr>
          <w:rFonts w:ascii="Times New Roman" w:cs="Times New Roman" w:eastAsia="Times New Roman" w:hAnsi="Times New Roman"/>
          <w:sz w:val="17"/>
          <w:szCs w:val="17"/>
          <w:color w:val="auto"/>
        </w:rPr>
        <w:t>and for interim periods beginning after December 15, 2024. Early adoption is</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(1)</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105,606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0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May 31, 2024, we acquired the fee interest in Virginia Gateway, which is comprised of five adjacent shopping centers in Gainesville, Virginia, totaling 664,000 square feet, for $215.0 million. Approximately $15.8 million and $0.4 million of net assets acquired were allocated to other assets for "acquired lease costs" and "above market leases," respectively, and $13.3 million of net assets acquired were allocated to other liabilities for "below market leases."</w:t>
      </w:r>
    </w:p>
    <w:p>
      <w:pPr>
        <w:spacing w:after="0" w:line="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31, 2024, we acquired the fee interest in Pinole Vista Crossing, a 216,000 square foot retail shopping center in Pinole, California for $60.0 million. Approximately $4.2 million of net assets acquired were allocated to other assets for "acquired lease costs," and $4.0 million of net assets acquired were allocated to other liabilities for "below market leases."</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sold our Third Street Promenade property for $103.0 million, resulting in a gain on sale of $52.0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10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beginning July 15, 2024. The notes mature on January 15, 2029, unless earlier exchanged, purchased or redeemed. Net proceeds after the initial purchaser’s discount and offering costs were approximately $471.5 million. Interest expense related to these Notes for the three and nine months ended September 30, 2024 was $4.6 million and $13.3 million, respectively, including debt issuance cost amortization.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w:t>
      </w:r>
    </w:p>
    <w:p>
      <w:pPr>
        <w:spacing w:after="0" w:line="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8.1436 common shares per $1,000 principal amount of the Notes (which is equivalent to an exchange price of approximately $122.80 per common share and reflects an exchange premium of</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spacing w:after="0" w:line="4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spacing w:after="0" w:line="6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16, 2024, we repaid our $600.0 million 3.95% senior unsecured notes at maturity.</w:t>
      </w:r>
    </w:p>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6, 2024, we exercised our first option and extended the maturity date of our $600.0 million unsecured term loan to April 16, 2025, with an additional one year extension at our option still available to further extend the loan to April 16, 2026.</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maximum amount of borrowings outstanding under our $1.25 billion revolving credit facility was $152.7 million and $202.7 million, respectively. The weighted average amount of borrowings outstanding was $52.1 million and $37.6 million, respectively, and the weighted average interest rate, before amortization of debt fees, was 6.2% for both the three and nine months ended September 30, 2024. At September 30, 2024, our revolving credit facility had no balance outstanding.</w:t>
      </w:r>
    </w:p>
    <w:p>
      <w:pPr>
        <w:spacing w:after="0" w:line="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2024, we were in compliance with all default related debt covenants.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4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1,116,319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1,118,881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1,101,479</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3,356,298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3,221,518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3,480,296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3,201,174</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of September 30, 2024, we have five interest rate swap agreements with total notional amounts of $252.5 million that are measured at fair value on a recurring basis. We have two interest rate swap agreements associated with our Hoboken portfolio that fix the interest rate on $52.5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2024 was an asset of $2.8 million and is included in "prepaid expenses and other assets" on our consolidated balance sheets. For the three and nine months ended September 30, 2024, the value of our interest rate swaps decreased $4.7 million and $1.9 million, respectively (including $1.1 million and $3.4 million, respectively, reclassified from other comprehensive income as a decrease to interest expense). A summary of our financial assets that are measured at fair value on a recurring basis, by level within the fair value hierarchy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2,763</w:t>
            </w:r>
          </w:p>
        </w:tc>
        <w:tc>
          <w:tcPr>
            <w:tcW w:w="8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4,668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r>
    </w:tbl>
    <w:p>
      <w:pPr>
        <w:spacing w:after="0" w:line="15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One of our equity method investees has two interest rate swaps which qualify for cash flow hedge accounting. For the three and nine months ended September 30, 2024, our share of the change in fair value of the related swaps included in "accumulated other comprehensive income" was a decrease of $0.4 million and $0.1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April 1, 2024, we acquired the approximately 10% noncontrolling interest in the partnership that owns our CocoWalk property for $12.4 million, bringing our ownership to 100%.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the term of our ground lease for our Kings Court property expired.</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 total of 622,399 downREIT operating partnership units are outstanding which have a total fair value of approximately $71.6 million, which is calculated by multiplying the outstanding number of downREIT partnership units by our closing stock price on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acquisition opportunities, fund our development and redevelopment pipeline, repay indebtedness and/or for general corporate purposes.</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issued 1,282,938 common shares at a weighted average price per share of $113.27 for net cash proceeds of $143.8 million including paying $1.5 million in commissions and $0.1 million in additional offering expenses related to the sales of these common shares. For the nine months ended September 30, 2024, we issued 2,059,654 common shares (of which, 62,895 were sold during 2023 under our previous ATM equity program) at a weighted average price per share of $109.20 for net cash proceeds of $222.4 million, including paying $2.2 million in commissions and $0.3 million in additional offering expenses related to the sales of these common shares.</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also entered into forward sales contracts for the three and nine months ended September 30, 2024 for 709,925 common shares under our ATM equity program at a weighted average offering price of $115.91. The forward price that we will receive upon physical settlement of the agreements is subject to the adjustment for (i) commissions, (ii) floating interest rate factor equal to a specified daily rate less a spread, (iii) the forward purchasers' stock borrowing costs and (iv) scheduled dividends during the term of the forward sale agreements. The open forward shares may be settled at any time on or before multiple required settlement dates ranging from September 2025 to December 2025. As of September 30, 2024, we have the capacity to issue up to $199.4 million in common shares under our ATM equity program.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r>
      <w:tr>
        <w:trPr>
          <w:trHeight w:val="23"/>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11,868</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8"/>
              </w:rPr>
              <w:t>(1,037)</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10,831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 AND UNIT</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nine months ended September 30, 2024 and 2023,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right="28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1,190 stock options for the three and nine months ended September 30, 2024, and 1,829 stock options for the three and nine months ended September 30, 2023,</w:t>
      </w:r>
    </w:p>
    <w:p>
      <w:pPr>
        <w:spacing w:after="0" w:line="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downREIT operating partnership units for both the three and nine months ended September 30, 2024 and 2023,</w:t>
      </w:r>
    </w:p>
    <w:p>
      <w:pPr>
        <w:spacing w:after="0" w:line="63" w:lineRule="exact"/>
        <w:rPr>
          <w:rFonts w:ascii="Times New Roman" w:cs="Times New Roman" w:eastAsia="Times New Roman" w:hAnsi="Times New Roman"/>
          <w:sz w:val="18"/>
          <w:szCs w:val="18"/>
          <w:b w:val="1"/>
          <w:bCs w:val="1"/>
          <w:color w:val="auto"/>
        </w:rPr>
      </w:pPr>
    </w:p>
    <w:p>
      <w:pPr>
        <w:ind w:left="660" w:right="10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5.417% Series 1 Cumulative Convertible Preferred Shares and units for both the three and nine months ended September 30, 2024 and 2023,</w:t>
      </w:r>
    </w:p>
    <w:p>
      <w:pPr>
        <w:spacing w:after="0" w:line="4" w:lineRule="exact"/>
        <w:rPr>
          <w:rFonts w:ascii="Times New Roman" w:cs="Times New Roman" w:eastAsia="Times New Roman" w:hAnsi="Times New Roman"/>
          <w:sz w:val="18"/>
          <w:szCs w:val="18"/>
          <w:b w:val="1"/>
          <w:bCs w:val="1"/>
          <w:color w:val="auto"/>
        </w:rPr>
      </w:pPr>
    </w:p>
    <w:p>
      <w:pPr>
        <w:ind w:left="660" w:right="80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0.7 million shares and units issuable under common share forward sales agreements for the three and nine months ended September 30, 2024, and</w:t>
      </w:r>
    </w:p>
    <w:p>
      <w:pPr>
        <w:spacing w:after="0" w:line="4" w:lineRule="exact"/>
        <w:rPr>
          <w:rFonts w:ascii="Times New Roman" w:cs="Times New Roman" w:eastAsia="Times New Roman" w:hAnsi="Times New Roman"/>
          <w:sz w:val="18"/>
          <w:szCs w:val="18"/>
          <w:b w:val="1"/>
          <w:bCs w:val="1"/>
          <w:color w:val="auto"/>
        </w:rPr>
      </w:pPr>
    </w:p>
    <w:p>
      <w:pPr>
        <w:ind w:left="660" w:right="98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 of common shares and units related to the 3.25% Exchangeable Senior Notes due 2029 for the three and nine months ended September 30, 2024.</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10,441 unvested restricted stock units are excluded from the diluted EPS and EPU calculations as the market based performance criteria in the awards has not yet been achieved.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9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90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165,884</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19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90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 and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165,884</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 and diluted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should be read in conjunction with the consolidated interim financial statements and notes thereto appearing in Item 1 of this report and the more detailed information contained in our Annual Report on </w:t>
      </w:r>
      <w:hyperlink r:id="rId27">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Securities and Exchange Commission (the “SEC”) on February 12, 2024.</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340" w:right="700" w:hanging="332"/>
        <w:spacing w:after="0" w:line="26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vacancy;</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212529"/>
        </w:rPr>
      </w:pPr>
    </w:p>
    <w:p>
      <w:pPr>
        <w:ind w:left="340" w:right="28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September 30, 2024, we owned or had a majority interest in community and neighborhood shopping centers and mixed-use properties which are operated as 102 predominantly retail real estate projects comprising approximately 26.8 million commercial square feet. In total, the real estate projects were 95.9% leased and 94.0% occupied at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40"/>
        <w:spacing w:after="0" w:line="258"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212529"/>
        </w:rPr>
        <w:t xml:space="preserve">The economy continues to face several issues including inflation risk, high interest rates, and </w:t>
      </w:r>
      <w:r>
        <w:rPr>
          <w:rFonts w:ascii="Times New Roman" w:cs="Times New Roman" w:eastAsia="Times New Roman" w:hAnsi="Times New Roman"/>
          <w:sz w:val="18"/>
          <w:szCs w:val="18"/>
          <w:color w:val="000000"/>
        </w:rPr>
        <w:t>potentially worsening economic conditions present risks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our business and tenants. </w:t>
      </w:r>
      <w:r>
        <w:rPr>
          <w:rFonts w:ascii="Times New Roman" w:cs="Times New Roman" w:eastAsia="Times New Roman" w:hAnsi="Times New Roman"/>
          <w:sz w:val="18"/>
          <w:szCs w:val="18"/>
          <w:color w:val="212529"/>
        </w:rPr>
        <w:t>We continue to monitor and address risks related to the general state of the economy.</w:t>
      </w:r>
      <w:r>
        <w:rPr>
          <w:rFonts w:ascii="Times New Roman" w:cs="Times New Roman" w:eastAsia="Times New Roman" w:hAnsi="Times New Roman"/>
          <w:sz w:val="18"/>
          <w:szCs w:val="18"/>
          <w:color w:val="000000"/>
        </w:rPr>
        <w:t xml:space="preserve"> We believe that the actions we have taken to improve our financial position and maximize our liquidity, as described further in the “Management’s Discussion and Analysis of Financial Condition and Results of Operations” in our 2023 Annual Report on </w:t>
      </w:r>
      <w:hyperlink r:id="rId27">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000000"/>
        </w:rPr>
        <w:t>, will continue to mitigate the impact to our cash flow caused by tenants not timely paying contractual rent.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current economic conditions on our business throughout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the critical accounting policies disclosed in “Management’s Discussion and Analysis of Financial Condition and Results of Operations” in our 2023 Annual Report on </w:t>
      </w:r>
      <w:hyperlink r:id="rId27">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Acquisitions and Dispositions</w:t>
      </w:r>
    </w:p>
    <w:p>
      <w:pPr>
        <w:spacing w:after="0" w:line="10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May 31, 2024, we acquired the fee interest in Virginia Gateway, which is comprised of five adjacent shopping centers in Gainesville, Virginia, totaling 664,000 square feet, for $215.0 million. Approximately $15.8 million and $0.4 million of net assets acquired were allocated to other assets for "acquired lease costs" and "above market leases," respectively, and $13.3 million of net assets acquired were allocated to other liabilities for "below market leases."</w:t>
      </w:r>
    </w:p>
    <w:p>
      <w:pPr>
        <w:spacing w:after="0" w:line="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31, 2024, we acquired the fee interest in Pinole Vista Crossing, a 216,000 square foot retail shopping center in Pinole, California for $60.0 million. Approximately $4.2 million of net assets acquired were allocated to other assets for "acquired lease costs," and $4.0 million of net assets acquired were allocated to other liabilities for "below market leases."</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sold our Third Street Promenade property for $103.0 million, resulting in a gain on sale of $52.0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Equity Transactions</w:t>
      </w:r>
    </w:p>
    <w:p>
      <w:pPr>
        <w:spacing w:after="0" w:line="10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beginning July 15, 2024. The notes mature on January 15, 2029, unless earlier exchanged, purchased or redeemed. Net proceeds after the initial purchaser’s discount and offering costs were approximately $471.5 million. Interest expense related to these Notes for the three and nine months ended September 30, 2024 was $4.6 million and $13.3 million, respectively, including debt issuance cost amortization.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spacing w:after="0" w:line="6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spacing w:after="0" w:line="6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16, 2024, we repaid our $600.0 million 3.95% senior unsecured notes at maturity.</w:t>
      </w:r>
    </w:p>
    <w:p>
      <w:pPr>
        <w:spacing w:after="0" w:line="10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6, 2024, we exercised our first option and extended the maturity date of our $600.0 million unsecured term loan to April 16, 2025, with an additional one year extension at our option still available to further extend the loan to April 16, 2026.</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issued 1,282,938 common shares at a weighted average price per share of $113.27 for net cash proceeds of $143.8 million including paying $1.5 million in commissions and $0.1 million in additional offering expenses related to the sales of these common shares. For the nine months ended September 30, 2024, we issued 2,059,654 common shares (of which, 62,895 were sold during 2023 under our previous ATM equity program) at a weighted average price per share of $109.20 for net cash proceeds of $222.4 million, including paying $2.2 million in commissions and $0.3 million in additional offering expenses related to the sales of these common shares.</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also entered into forward sales contracts for the three and nine months ended September 30, 2024 for 709,925 common shares under our ATM equity program at a weighted average offering price of $115.91. The forward price that we will receive upon physical settlement of the agreements is subject to the adjustment for (i) commissions, (ii) floating interest rate factor equal to a specified daily rate less a spread, (iii) the forward purchasers' stock borrowing costs and (iv) schedule dividends during the term of the forward sale agreements. The open forward shares may be settled at any time on or before multiple required settlement dates ranging from September 2025 to December 2025. As of September 30, 2024, we have the capacity to issue up to $199.4 million in common shares under our ATM equity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April 1, 2024, we acquired the approximately 10% noncontrolling interest in the partnership that owns our CocoWalk property for $12.4 million, bringing our ownership to 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$102 million and $6 million, respectively, for the nine months ended September 30, 2024, and $155 million and $7 million for the nine months ended September 30, 2023. We capitalized external and internal costs related to other property improvements of $74 million and $4 million, respectively, for the nine months ended September 30, 2024, and $66 million and $3 million, respectively, for the nine months ended September 30, 2023. We capitalized external and internal costs related to leasing activities of $14 million and $3 million, respectively, for the nine months ended September 30, 2024, and $13 million and $3 million, respectively, for the nine months ended September 30,</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2023. The amount of capitalized internal costs for salaries and related benefits for development and redevelopment activities, other property improvements, and leasing activities were $6 million, $3 million, and $3 million, respectively, for the nine months ended September 30, 2024, and $7 million, $3 million, and $3 million, respectively, for the nine months ended September 30, 2023. Total capitalized costs were $204 million and $247 million for the nine months ended September 30,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Although general economic impacts of elevated levels of inflation and higher interest rates are impacting us in the short-term, our long-term focus has not changed. See our Annual Report on Form 10-K filed on February 12, 2024, for additional discussion of our long-term strategies.</w:t>
      </w:r>
    </w:p>
    <w:p>
      <w:pPr>
        <w:spacing w:after="0" w:line="1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212529"/>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2.1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12529"/>
        </w:rPr>
        <w:t xml:space="preserve"> square feet of comparable retail space leasing we've completed in the last twelve months, and the 1.9% spread between our leased rate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95.9% and our occupied rate of 94.0%. However, the effects of high levels of inflation and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timeframes and/or increased costs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12529"/>
        </w:rPr>
        <w:t>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12529"/>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ind w:left="660" w:right="100" w:hanging="328"/>
        <w:spacing w:after="0" w:line="250"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Phase IV at Pike &amp; Rose is a 276,000 square foot office building (which includes 10,000 square feet of ground floor retail space). Approximately 204,000 square feet of the office space is leased, and all of the retail space is leased. The building is expected to cost between $180 million and $190 million, and began delivering in late September 2023. As of September 30, 2024, approximately 164,000 square feet of office space and 5,000 square feet of retail space is open.</w:t>
      </w:r>
    </w:p>
    <w:p>
      <w:pPr>
        <w:spacing w:after="0" w:line="1" w:lineRule="exact"/>
        <w:rPr>
          <w:rFonts w:ascii="Times New Roman" w:cs="Times New Roman" w:eastAsia="Times New Roman" w:hAnsi="Times New Roman"/>
          <w:sz w:val="18"/>
          <w:szCs w:val="18"/>
          <w:b w:val="1"/>
          <w:bCs w:val="1"/>
          <w:color w:val="auto"/>
        </w:rPr>
      </w:pPr>
    </w:p>
    <w:p>
      <w:pPr>
        <w:ind w:left="660" w:right="320" w:hanging="328"/>
        <w:spacing w:after="0" w:line="265"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on Santana West includes an eight story 369,000 square foot office building, which is expected to cost between $325 million and $335 million. Approximately 193,000 square feet of space is leased, of which 29,000 square feet of space is open as of September 30, 2024.</w:t>
      </w:r>
    </w:p>
    <w:p>
      <w:pPr>
        <w:ind w:left="660" w:right="20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$307 million that we expect to stabilize over the next several years.</w:t>
      </w: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September 30, 2024, the leasable commercial square feet in our properties was 95.9% leased and 94.0%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third quarter of 2024, we signed retail leases for a total of 593,000 square feet of retail space including 581,000 square feet of comparable space leases (leases for which there was a prior tenant) at an average rental increase of 14% on a cash basis. New leases for comparable spaces were signed for 230,000 square feet, with an average rental increase of 20% on a cash basis. Renewals for comparable spaces were signed for 351,000 square feet at a 11% average rental increase on a cash basis. Tenant improvements and incentives for comparable spaces were $26.28 per square foot, of which $65.91 per square foot was for new leases and $0.36 per square foot was for renewals for the three months ended September 30, 2024.</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we signed retail leases for a total of 1,781,000 square feet of retail space including 1,742,000 square feet of comparable space leases (leases for which there was a prior tenant) at an average rental increase of 11% on a cash basis. New leases for comparable spaces were signed for 766,000 square feet, with an average rental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increase of 17% on a cash basis. Renewals for comparable spaces were signed for 977,000 square feet at a 7% average rental increase on a cash basis. Tenant improvements and incentives for comparable spaces were $26.53 per square foot, of which $57.04 per square foot was for new leases and $2.61 per square foot was for renewals for the nine months ended September 30, 2024.</w:t>
      </w:r>
    </w:p>
    <w:p>
      <w:pPr>
        <w:spacing w:after="0" w:line="12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past five years, we have executed comparable space leases for 1.6 to 2.1 million square feet of retail space each year and expect the volume in 2024 will be in line with or slightly above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2024 generally become effective over the following two years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2024, all or a portion of 96 and 95 properties, respectively, were considered comparable properties and seven properties were considered non-comparable properties. For the nine months ended September 30, 2024, one property and two portions of properties were moved from non-comparable properties to comparable properties, two properties and one portion of a property were moved from acquisitions to comparable properties, one property was moved from other to comparable properties, as it was reconsolidated, and two properties were removed from comparable as we no longer own the properties; all compared to the designations as of December 31, 2023.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5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140" w:hanging="332"/>
        <w:spacing w:after="0" w:line="281" w:lineRule="auto"/>
        <w:tabs>
          <w:tab w:leader="none" w:pos="33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2024 and 2023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100,084</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81,731</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194,964</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$17.0 million, or 5.9%, to $303.6 million in the three months ended September 30, 2024 compared to $286.6 million in the three months ended September 30, 2023. The percentage occupied at our shopping centers was 94.0% and 92.3% at September 30, 2024 and 2023, respectively.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10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and is net of collectibility related adjustments. Rental income increased $17.0 million, or 5.9%, to $303.4 million in the three months ended September 30, 2024 compared to $286.3 million in the three months ended September 30, 2023 due primarily to the following:</w:t>
      </w:r>
    </w:p>
    <w:p>
      <w:pPr>
        <w:spacing w:after="0" w:line="14" w:lineRule="exact"/>
        <w:rPr>
          <w:sz w:val="20"/>
          <w:szCs w:val="20"/>
          <w:color w:val="auto"/>
        </w:rPr>
      </w:pPr>
    </w:p>
    <w:p>
      <w:pPr>
        <w:ind w:left="1140" w:right="60" w:hanging="241"/>
        <w:spacing w:after="0" w:line="26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$7.9 million from comparable properties primarily related to higher rental rates of approximately $5.6 million, a $2.2 million increase in recoveries from tenants on higher expenses, and higher average occupancy of approximately $1.5 million, partially offset by a $1.3 million decrease in lease termination fee income,</w:t>
      </w:r>
    </w:p>
    <w:p>
      <w:pPr>
        <w:spacing w:after="0" w:line="1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$7.0 million from 2024 acquisitions,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right="80" w:hanging="241"/>
        <w:spacing w:after="0" w:line="28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$4.7 million from non-comparable properties primarily driven by occupancy increases at Pike &amp; Rose Phase IV, Huntington Shopping Center, and Darien Commons,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$3.4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$8.3 million, or 9.1%, to $100.0 million in the three months ended September 30, 2024 compared to $91.6 million in the three months ended September 30, 2023. Changes in the components of property expenses are discussed below.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Rental expenses increased $5.3 million, or 9.1%, to $63.9 million in the three months ended September 30, 2024 compared to $58.6 million in the three months ended September 30, 2023.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 million from comparable properties due primarily to higher repairs and maintenance costs, utilities, and insurance costs,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from 2024 acquisitions, and</w:t>
      </w:r>
    </w:p>
    <w:p>
      <w:pPr>
        <w:spacing w:after="0" w:line="63" w:lineRule="exact"/>
        <w:rPr>
          <w:rFonts w:ascii="Times New Roman" w:cs="Times New Roman" w:eastAsia="Times New Roman" w:hAnsi="Times New Roman"/>
          <w:sz w:val="18"/>
          <w:szCs w:val="18"/>
          <w:color w:val="auto"/>
        </w:rPr>
      </w:pPr>
    </w:p>
    <w:p>
      <w:pPr>
        <w:ind w:left="1140" w:right="140" w:hanging="241"/>
        <w:spacing w:after="0" w:line="28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from non-comparable properties due primarily to openings at Pike &amp; Rose Phase IV and Huntington Shopping Center,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$0.7 million from property dispositions.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increased to 21.1% in the three months ended September 30, 2024 from 20.5% in the three months ended September 30,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$3.0 million, or 9.1%, to $36.1 million in the three months ended September 30, 2024 compared to $33.0 million in the three months ended September 30, 2023. This increase is primarily due to the following:</w:t>
      </w:r>
    </w:p>
    <w:p>
      <w:pPr>
        <w:spacing w:after="0" w:line="1" w:lineRule="exact"/>
        <w:rPr>
          <w:sz w:val="20"/>
          <w:szCs w:val="20"/>
          <w:color w:val="auto"/>
        </w:rPr>
      </w:pPr>
    </w:p>
    <w:p>
      <w:pPr>
        <w:ind w:left="1140" w:right="100" w:hanging="241"/>
        <w:spacing w:after="0" w:line="28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from non-comparable properties due primarily to a successful tax appeal in 2023, and openings at Pike &amp; Rose Phase IV and Darien Commons,</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from comparable properties due primarily to higher assessments,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from 2024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$0.3 million from property dispositions.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operating income increased $8.7 million, or 4.5%, to $203.7 million in the three months ended September 30, 2024 compared to $195.0 million in the three months ended September 30, 2023. This increase is primarily driven by higher rental rates and occupancy, 2024 acquisitions, and 2023 and 2024 openings at our non-comparable properties, partially offset by property dispositions, higher rental expenses after recoveries from tenants, and lower lease termination fee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$2.3 million, or 17.7%, to $10.8 million in the three months ended September 30, 2024 compared to $13.1 million in the three months ended September 30, 2023. This decrease is due primarily to lower personnel related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$5.3 million, or 6.5%, to $87.0 million in the three months ended September 30, 2024 compared to $81.7 million in the three months ended September 30, 2023. This increase is due primarily to 2024 acquisitions, our investment in comparable properties, the opening of Pike &amp; Rose Phase IV, and placing redevelopment properties into service, partially offset by property dispositions.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increased $5.7 million, or 5.7%, to $105.8 million in the three months ended September 30, 2024 compared to $100.1 million in the three months ended September 30, 2023. This increase is primarily driven by higher rental rates and occupancy, 2024 acquisitions, and 2023 and 2024 openings at our non-comparable properties, partially offset by property dispositions, higher rental expenses after recoveries from tenants, and lower lease termination fee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increased $1.5 million, or 3.5%, to $44.2 million in the three months ended September 30, 2024 compared to $42.7 million in the three months ended September 30, 2023. This increase is due primarily to the following:</w:t>
      </w:r>
    </w:p>
    <w:p>
      <w:pPr>
        <w:spacing w:after="0" w:line="40" w:lineRule="exact"/>
        <w:rPr>
          <w:sz w:val="20"/>
          <w:szCs w:val="20"/>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$0.8 million in capitalized interest,</w:t>
      </w:r>
    </w:p>
    <w:p>
      <w:pPr>
        <w:spacing w:after="0" w:line="10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due to a higher overall weighted average borrowing rate, and</w:t>
      </w:r>
    </w:p>
    <w:p>
      <w:pPr>
        <w:spacing w:after="0" w:line="90"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due to higher weighted average borrowings.</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Gross interest costs were $49.5 million and $48.7 million in the three months ended September 30, 2024 and 2023, respectively. Capitalized interest was $5.2 million and $6.0 million for the three months ended September 30, 2024 and 2023, respectively.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2024 AND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50,663</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50,666</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50,578</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2,971.7 %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65,344</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56,005</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56,789</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140" w:hanging="332"/>
        <w:spacing w:after="0" w:line="281" w:lineRule="auto"/>
        <w:tabs>
          <w:tab w:leader="none" w:pos="33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2024 and 2023 is as follows: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297,693</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239,342</w:t>
            </w:r>
          </w:p>
        </w:tc>
      </w:tr>
      <w:tr>
        <w:trPr>
          <w:trHeight w:val="22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572,940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$50.7 million, or 6.0%, to $891.0 million in the nine months ended September 30, 2024 compared to $840.3 million in the nine months ended September 30, 2023. The percentage occupied at our shopping centers was 94.0% and 92.3% at September 30, 2024 and 2023, respectively. Changes in the components of property revenue are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and is net of collectibility related adjustments. Rental income increased $50.7 million, or 6.0%, to $890.2 million in the nine months ended September 30, 2024 compared to $839.5 million in the nine months ended September 30, 2023 due primarily to the following:</w:t>
      </w:r>
    </w:p>
    <w:p>
      <w:pPr>
        <w:spacing w:after="0" w:line="14" w:lineRule="exact"/>
        <w:rPr>
          <w:sz w:val="20"/>
          <w:szCs w:val="20"/>
          <w:color w:val="auto"/>
        </w:rPr>
      </w:pPr>
    </w:p>
    <w:p>
      <w:pPr>
        <w:ind w:left="1140" w:right="360" w:hanging="241"/>
        <w:spacing w:after="0" w:line="287" w:lineRule="auto"/>
        <w:tabs>
          <w:tab w:leader="none" w:pos="11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$26.8 million from comparable properties primarily related to higher rental rates of approximately $17.4 million, a $10.6 million increase in recoveries from tenants on higher expenses, and higher average occupancy of approximately $1.6 million, partially offset by a $2.3 million decrease in lease termination fee income and a $1.7 million increase in collectibility related adjustments,</w:t>
      </w:r>
    </w:p>
    <w:p>
      <w:pPr>
        <w:ind w:left="1140" w:right="40" w:hanging="241"/>
        <w:spacing w:after="0" w:line="28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$13.0 million from non-comparable properties primarily driven by occupancy increases at Pike &amp; Rose Phase IV, Huntington Shopping Center, and Darien Commons,</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$9.6 million from 2024 and 2023 acquisitions, and</w:t>
      </w:r>
    </w:p>
    <w:p>
      <w:pPr>
        <w:spacing w:after="0" w:line="63" w:lineRule="exact"/>
        <w:rPr>
          <w:rFonts w:ascii="Times New Roman" w:cs="Times New Roman" w:eastAsia="Times New Roman" w:hAnsi="Times New Roman"/>
          <w:sz w:val="18"/>
          <w:szCs w:val="18"/>
          <w:color w:val="auto"/>
        </w:rPr>
      </w:pPr>
    </w:p>
    <w:p>
      <w:pPr>
        <w:ind w:left="1140" w:right="120" w:hanging="241"/>
        <w:spacing w:after="0" w:line="28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$5.0 million from Escondido Promenade, which was reconsolidated in the second quarter of 2023 after we gained control of the property (see our Annual Report on Form 10-K for the year ended December 31, 2023 for additional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$5.3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$22.4 million, or 8.4%, to $289.9 million in the nine months ended September 30, 2024 compared to $267.4 million in the nine months ended September 30, 2023.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Rental expenses increased $15.0 million, or 8.9%, to $184.4 million in the nine months ended September 30, 2024 compared to $169.4 million in the nine months ended September 30, 2023 due primarily to the following:</w:t>
      </w:r>
    </w:p>
    <w:p>
      <w:pPr>
        <w:spacing w:after="0" w:line="1" w:lineRule="exact"/>
        <w:rPr>
          <w:sz w:val="20"/>
          <w:szCs w:val="20"/>
          <w:color w:val="auto"/>
        </w:rPr>
      </w:pPr>
    </w:p>
    <w:p>
      <w:pPr>
        <w:ind w:left="1140" w:right="220" w:hanging="241"/>
        <w:spacing w:after="0" w:line="28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$9.6 million from comparable properties due primarily to higher snow removal costs, higher repairs and maintenance costs and other operating costs, higher utilities and insurance costs, and an increase in management fees on higher revenues,</w:t>
      </w:r>
    </w:p>
    <w:p>
      <w:pPr>
        <w:spacing w:after="0" w:line="1" w:lineRule="exact"/>
        <w:rPr>
          <w:rFonts w:ascii="Times New Roman" w:cs="Times New Roman" w:eastAsia="Times New Roman" w:hAnsi="Times New Roman"/>
          <w:sz w:val="18"/>
          <w:szCs w:val="18"/>
          <w:color w:val="auto"/>
        </w:rPr>
      </w:pPr>
    </w:p>
    <w:p>
      <w:pPr>
        <w:ind w:left="1140" w:right="460" w:hanging="241"/>
        <w:spacing w:after="0" w:line="28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 million from non-comparable properties due primarily to openings at Pike &amp; Rose Phase IV, Huntington Shopping Center, and Darien Commons,</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from 2024 and 2023 acquisitions, and</w:t>
      </w:r>
    </w:p>
    <w:p>
      <w:pPr>
        <w:spacing w:after="0" w:line="63" w:lineRule="exact"/>
        <w:rPr>
          <w:rFonts w:ascii="Times New Roman" w:cs="Times New Roman" w:eastAsia="Times New Roman" w:hAnsi="Times New Roman"/>
          <w:sz w:val="18"/>
          <w:szCs w:val="18"/>
          <w:color w:val="auto"/>
        </w:rPr>
      </w:pPr>
    </w:p>
    <w:p>
      <w:pPr>
        <w:ind w:left="1140" w:right="120" w:hanging="241"/>
        <w:spacing w:after="0" w:line="28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from Escondido Promenade, which was reconsolidated in the second quarter of 2023 after we gained control of the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$0.9 million from property dispositions.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increased to 20.7% in the nine months ended September 30, 2024 from 20.2% in the nine months ended September 30,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$7.4 million, or 7.6%, to $105.4 million in the nine months ended September 30, 2024 compared to $98.0 million in the nine months ended September 30, 2023. This increase is primarily due to the following:</w:t>
      </w:r>
    </w:p>
    <w:p>
      <w:pPr>
        <w:spacing w:after="0" w:line="1" w:lineRule="exact"/>
        <w:rPr>
          <w:sz w:val="20"/>
          <w:szCs w:val="20"/>
          <w:color w:val="auto"/>
        </w:rPr>
      </w:pPr>
    </w:p>
    <w:p>
      <w:pPr>
        <w:ind w:left="1140" w:right="160" w:hanging="241"/>
        <w:spacing w:after="0" w:line="281"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$3.9 million from comparable properties primarily due to higher assessments, partially offset by prior year refunds received during 2024,</w:t>
      </w:r>
    </w:p>
    <w:p>
      <w:pPr>
        <w:spacing w:after="0" w:line="1" w:lineRule="exact"/>
        <w:rPr>
          <w:rFonts w:ascii="Times New Roman" w:cs="Times New Roman" w:eastAsia="Times New Roman" w:hAnsi="Times New Roman"/>
          <w:sz w:val="18"/>
          <w:szCs w:val="18"/>
          <w:color w:val="auto"/>
        </w:rPr>
      </w:pPr>
    </w:p>
    <w:p>
      <w:pPr>
        <w:ind w:left="1140" w:right="200" w:hanging="241"/>
        <w:spacing w:after="0" w:line="281"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 million from non-comparable properties due primarily to successful tax appeals in 2023, and openings at Pike &amp; Rose Phase IV, Darien Commons, and Huntington Shopping Center,</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from 2024 acquisitions, and</w:t>
      </w:r>
    </w:p>
    <w:p>
      <w:pPr>
        <w:spacing w:after="0" w:line="63" w:lineRule="exact"/>
        <w:rPr>
          <w:rFonts w:ascii="Times New Roman" w:cs="Times New Roman" w:eastAsia="Times New Roman" w:hAnsi="Times New Roman"/>
          <w:sz w:val="18"/>
          <w:szCs w:val="18"/>
          <w:color w:val="auto"/>
        </w:rPr>
      </w:pPr>
    </w:p>
    <w:p>
      <w:pPr>
        <w:ind w:left="1140" w:right="120" w:hanging="241"/>
        <w:spacing w:after="0" w:line="281"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from Escondido Promenade, which was reconsolidated in the second quarter of 2023 after we gained control of the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$0.3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operating income increased $28.2 million, or 4.9%, to $601.2 million in the nine months ended September 30, 2024 compared to $572.9 million in the nine months ended September 30, 2023. This increase is primarily driven by higher rental rates and average occupancy, 2023 and 2024 openings at our non-comparable properties, 2024 acquisitions, and the reconsolidation of Escondido Promenade during the second quarter of 2023, partially offset by property dispositions, higher rental expenses after recoveries from tenants, and lower lease termination fee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decreased $2.7 million, or 7.1%, to $34.9 million in the nine months ended September 30, 2024 compared to</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$37.6 million in the nine months ended September 30, 2023. This decrease is due primarily to higher amounts allocated to operations as a result of higher revenues and lower personnel related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increased $16.1 million, or 6.7%, to $255.5 million in the nine months ended September 30, 2024 compared to</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$239.3 million in the nine months ended September 30, 2023. This increase is due primarily to our investment in comparable properties, 2024 acquisitions, the opening of Pike &amp; Rose Phase IV, placing redevelopment properties into service, and the reconsolidation of Escondido Promenade during the second quarter of 2023, partially offset by property dispositions.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$52.3 million gain on sale of real estate for the nine months ended September 30, 2024 is due primarily to the sale of Third Street Promenade.</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$1.7 million gain on sale of real estate for the nine months ended September 30, 2023 is due the sale of our Town Center of New Britain shopping center.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Operating income increased $65.3 million, or 22.0%, to $363.0 million in the nine months ended September 30, 2024 compared to $297.7 million in the nine months ended September 30, 2023. This increase is primarily driven by higher gains on sale of real estate, higher rental rates and average occupancy, 2023 and 2024 openings at our non-comparable properties, 2024 acquisitions, and the reconsolidation of Escondido Promenade during the second quarter of 2023, partially offset by property dispositions, higher rental expenses after recoveries from tenants, and lower lease termination fee income.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Interest expense increased $7.4 million, or 5.9%, to $132.2 million in the nine months ended September 30, 2024 compared to $124.8 million in the nine months ended September 30, 2023. This increase is due primarily to the following:</w:t>
      </w:r>
    </w:p>
    <w:p>
      <w:pPr>
        <w:spacing w:after="0" w:line="1" w:lineRule="exact"/>
        <w:rPr>
          <w:sz w:val="20"/>
          <w:szCs w:val="20"/>
          <w:color w:val="auto"/>
        </w:rPr>
      </w:pP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$5.7 million due to a higher overall weighted average borrowing rate,</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 million in capitalized interest, and</w:t>
      </w:r>
    </w:p>
    <w:p>
      <w:pPr>
        <w:spacing w:after="0" w:line="10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due to higher weighted average borrowings.</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interest costs were $147.9 million and $142.0 million in the nine months ended September 30, 2024 and 2023, respectively. Capitalized interest was $15.7 million and $17.2 million for the nine months ended September 30,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nine months ended September 30, 2024 were approximately $277.8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spacing w:after="0" w:line="6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On January 11, 2024, we issued $485.0 million of 3.25% exchangeable senior notes, for which the proceeds were used to repay our $600.0 million of 3.95% senior unsecured notes on January 16, 2024. Our $600.0 million unsecured term loan has a maturity in April 2025, however, there is a one-year extension at our option that would extend the maturity to April 2026, if exercised. We have no other significant debt maturing in the next twelve months.</w:t>
      </w:r>
    </w:p>
    <w:p>
      <w:pPr>
        <w:spacing w:after="0" w:line="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$97.0 million and no balance outstanding on our $1.25 billion revolving credit facility. For the nine months ended September 30, 2024, the weighted average amount of borrowings outstanding on our revolving credit facility was $37.6 million, and the weighted average interest rate, before amortization of debt fees, was 6.2%. We also have the capacity to issue up to $199.4 million in common shares under our ATM equity program.</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overall capital requirements for the remainder of 2024 will be impacted by the overall economic environment including impacts of inflation and high interest rates, as well as acquisition opportunities and the level and general timing of our redevelopment and development activities. We currently have development and redevelopment projects in various stages of constructions with remaining costs of $182 million. We expect to incur the majority of these costs in the next two years. We expect overall capital costs to be at levels slightly reduced from 2023 as we complete current redevelopment projects, prepare vacant space for new tenants, and complete the current phase and start on the next phase of our larger mixed use development projects.</w:t>
      </w:r>
    </w:p>
    <w:p>
      <w:pPr>
        <w:spacing w:after="0" w:line="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w:t>
      </w:r>
      <w:r>
        <w:rPr>
          <w:rFonts w:ascii="Times New Roman" w:cs="Times New Roman" w:eastAsia="Times New Roman" w:hAnsi="Times New Roman"/>
          <w:sz w:val="18"/>
          <w:szCs w:val="18"/>
          <w:color w:val="auto"/>
        </w:rPr>
        <w:t xml:space="preserve"> $1.25 billion </w:t>
      </w:r>
      <w:r>
        <w:rPr>
          <w:rFonts w:ascii="Times New Roman" w:cs="Times New Roman" w:eastAsia="Times New Roman" w:hAnsi="Times New Roman"/>
          <w:sz w:val="18"/>
          <w:szCs w:val="18"/>
          <w:color w:val="212529"/>
        </w:rPr>
        <w:t>revolving credit facility will allow us to continue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business in the short-term. </w:t>
      </w:r>
      <w:r>
        <w:rPr>
          <w:rFonts w:ascii="Times New Roman" w:cs="Times New Roman" w:eastAsia="Times New Roman" w:hAnsi="Times New Roman"/>
          <w:sz w:val="18"/>
          <w:szCs w:val="18"/>
          <w:color w:val="000000"/>
        </w:rPr>
        <w:t>Given our ability to access the capital markets, we also expect debt or equity to be available to us, although newly issued debt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454,968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9"/>
              </w:rPr>
              <w:t>(375,452)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(233,914)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80" w:type="dxa"/>
            <w:vAlign w:val="bottom"/>
          </w:tcPr>
          <w:p>
            <w:pPr>
              <w:spacing w:after="0"/>
              <w:rPr>
                <w:sz w:val="19"/>
                <w:szCs w:val="19"/>
                <w:color w:val="auto"/>
              </w:rPr>
            </w:pPr>
          </w:p>
        </w:tc>
        <w:tc>
          <w:tcPr>
            <w:tcW w:w="116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9"/>
              </w:rPr>
              <w:t>(154,398)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260,004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163,656</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9"/>
              </w:rPr>
              <w:t>105,606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102,791</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$11.8 million to $455.0 million during the nine months ended September 30, 2024 from $443.2 million during the nine months ended September 30, 2023. The increase was primarily due to higher net income after adjusting for non-cash items and gain on sale of real estate, partially offset by the timing of cash receipts related to prepaid rents.</w:t>
      </w:r>
    </w:p>
    <w:p>
      <w:pPr>
        <w:spacing w:after="0" w:line="136"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increased $86.8 million to $375.5 million during the nine months ended September 30, 2024 from $288.6 million during the nine months ended September 30, 2023. The increase was primarily attributable to:</w:t>
      </w:r>
    </w:p>
    <w:p>
      <w:pPr>
        <w:spacing w:after="0" w:line="5" w:lineRule="exact"/>
        <w:rPr>
          <w:sz w:val="20"/>
          <w:szCs w:val="20"/>
          <w:color w:val="auto"/>
        </w:rPr>
      </w:pPr>
    </w:p>
    <w:p>
      <w:pPr>
        <w:ind w:left="1140" w:right="60" w:hanging="241"/>
        <w:spacing w:after="0" w:line="236" w:lineRule="auto"/>
        <w:tabs>
          <w:tab w:leader="none" w:pos="11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$214.4 million increase in acquisition of real estate due to the May 2024 acquisition of the fee interest in Virginia Gateway and the July 2024 acquisition of the fee interest in Pinole Vista Crossing (see Note 3 to the consolidated financial statements for additional information), as compared to the January 2023 Huntington Square acquisition and the acquisition of our partner's 22.3% TIC interest in Escondido Promenade in May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36" w:lineRule="exact"/>
        <w:rPr>
          <w:sz w:val="20"/>
          <w:szCs w:val="20"/>
          <w:color w:val="auto"/>
        </w:rPr>
      </w:pPr>
    </w:p>
    <w:p>
      <w:pPr>
        <w:jc w:val="both"/>
        <w:ind w:left="1140" w:right="180" w:hanging="241"/>
        <w:spacing w:after="0" w:line="242" w:lineRule="auto"/>
        <w:tabs>
          <w:tab w:leader="none" w:pos="113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$83.7 million increase in net proceeds from the sale of real estate primarily due to $96.3 million of net proceeds from the sale of Third Street Promenade during the nine months ended September 30, 2024, as compared to $12.6 million of net proceeds from the sale of Town Center of New Britain during the nine months ended September 30, 2023, and</w:t>
      </w:r>
    </w:p>
    <w:p>
      <w:pPr>
        <w:spacing w:after="0" w:line="8" w:lineRule="exact"/>
        <w:rPr>
          <w:rFonts w:ascii="Times New Roman" w:cs="Times New Roman" w:eastAsia="Times New Roman" w:hAnsi="Times New Roman"/>
          <w:sz w:val="18"/>
          <w:szCs w:val="18"/>
          <w:b w:val="1"/>
          <w:bCs w:val="1"/>
          <w:color w:val="auto"/>
        </w:rPr>
      </w:pPr>
    </w:p>
    <w:p>
      <w:pPr>
        <w:ind w:left="1140" w:hanging="24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$53.5 million decrease in capital expenditures.</w:t>
      </w:r>
    </w:p>
    <w:p>
      <w:pPr>
        <w:spacing w:after="0" w:line="144"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increased $85.8 million to $233.9 million during the nine months ended September 30, 2024 from $148.1 million during the nine months ended September 30, 2023. The increase was primarily attributable to:</w:t>
      </w:r>
    </w:p>
    <w:p>
      <w:pPr>
        <w:spacing w:after="0" w:line="6" w:lineRule="exact"/>
        <w:rPr>
          <w:sz w:val="20"/>
          <w:szCs w:val="20"/>
          <w:color w:val="auto"/>
        </w:rPr>
      </w:pPr>
    </w:p>
    <w:p>
      <w:pPr>
        <w:ind w:left="1140" w:right="320" w:hanging="241"/>
        <w:spacing w:after="0" w:line="250" w:lineRule="auto"/>
        <w:tabs>
          <w:tab w:leader="none" w:pos="11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$325.0 million increase in repayment of senior notes primarily due to the January 2024 repayment of our $600.0 million 3.95% senior unsecured notes at maturity, as compared to the June 2023 repayment of our $275.0 million 2.75% senior unsecured notes,</w:t>
      </w:r>
    </w:p>
    <w:p>
      <w:pPr>
        <w:spacing w:after="0" w:line="14" w:lineRule="exact"/>
        <w:rPr>
          <w:rFonts w:ascii="Times New Roman" w:cs="Times New Roman" w:eastAsia="Times New Roman" w:hAnsi="Times New Roman"/>
          <w:sz w:val="18"/>
          <w:szCs w:val="18"/>
          <w:b w:val="1"/>
          <w:bCs w:val="1"/>
          <w:color w:val="auto"/>
        </w:rPr>
      </w:pPr>
    </w:p>
    <w:p>
      <w:pPr>
        <w:ind w:left="1140" w:hanging="241"/>
        <w:spacing w:after="0"/>
        <w:tabs>
          <w:tab w:leader="none" w:pos="11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$50.5 million in borrowings on our revolving credit facility during the nine months ended September 30, 2023,</w:t>
      </w:r>
    </w:p>
    <w:p>
      <w:pPr>
        <w:spacing w:after="0" w:line="36" w:lineRule="exact"/>
        <w:rPr>
          <w:rFonts w:ascii="Times New Roman" w:cs="Times New Roman" w:eastAsia="Times New Roman" w:hAnsi="Times New Roman"/>
          <w:sz w:val="18"/>
          <w:szCs w:val="18"/>
          <w:b w:val="1"/>
          <w:bCs w:val="1"/>
          <w:color w:val="auto"/>
        </w:rPr>
      </w:pPr>
    </w:p>
    <w:p>
      <w:pPr>
        <w:ind w:left="1140" w:right="660" w:hanging="241"/>
        <w:spacing w:after="0" w:line="250" w:lineRule="auto"/>
        <w:tabs>
          <w:tab w:leader="none" w:pos="11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$19.4 million premium paid for the capped call transactions entered into in connection with the issuance of $485.0 million 3.25% exchangeable senior notes in January 2024,</w:t>
      </w:r>
    </w:p>
    <w:p>
      <w:pPr>
        <w:ind w:left="1140" w:right="40" w:hanging="241"/>
        <w:spacing w:after="0" w:line="255"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$13.7 million increase in distributions to and redemptions of noncontrolling interests primarily related to our April 2024 acquisition of the noncontrolling interest in the partnership that owns our CocoWalk property for approximately $12.4 million, and</w:t>
      </w:r>
    </w:p>
    <w:p>
      <w:pPr>
        <w:spacing w:after="0" w:line="5" w:lineRule="exact"/>
        <w:rPr>
          <w:rFonts w:ascii="Times New Roman" w:cs="Times New Roman" w:eastAsia="Times New Roman" w:hAnsi="Times New Roman"/>
          <w:sz w:val="18"/>
          <w:szCs w:val="18"/>
          <w:color w:val="auto"/>
        </w:rPr>
      </w:pPr>
    </w:p>
    <w:p>
      <w:pPr>
        <w:ind w:left="1140" w:right="160" w:hanging="241"/>
        <w:spacing w:after="0" w:line="250" w:lineRule="auto"/>
        <w:tabs>
          <w:tab w:leader="none" w:pos="11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$7.9 million increase in dividends paid to common and preferred shareholders due to an increase in the number of outstanding shares, as well as an increase to the common share dividend rate,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50" w:lineRule="exact"/>
        <w:rPr>
          <w:sz w:val="20"/>
          <w:szCs w:val="20"/>
          <w:color w:val="auto"/>
        </w:rPr>
      </w:pPr>
    </w:p>
    <w:p>
      <w:pPr>
        <w:ind w:left="1140" w:hanging="241"/>
        <w:spacing w:after="0"/>
        <w:tabs>
          <w:tab w:leader="none" w:pos="11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$206.4 million increase in net proceeds from the issuance of common shares under our ATM program, and</w:t>
      </w:r>
    </w:p>
    <w:p>
      <w:pPr>
        <w:spacing w:after="0" w:line="49" w:lineRule="exact"/>
        <w:rPr>
          <w:rFonts w:ascii="Times New Roman" w:cs="Times New Roman" w:eastAsia="Times New Roman" w:hAnsi="Times New Roman"/>
          <w:sz w:val="18"/>
          <w:szCs w:val="18"/>
          <w:b w:val="1"/>
          <w:bCs w:val="1"/>
          <w:color w:val="auto"/>
        </w:rPr>
      </w:pPr>
    </w:p>
    <w:p>
      <w:pPr>
        <w:jc w:val="both"/>
        <w:ind w:left="1140" w:right="20" w:hanging="241"/>
        <w:spacing w:after="0" w:line="236"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$125.8 million net increase due to net proceeds of $471.5 million from the issuance of $485.0 million 3.25% exchangeable senior notes in January 2024, as compared to $345.7 million in net proceeds from the issuance of $350.0 million of 5.375% senior unsecured notes in April 2023.</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3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1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   Stated Interest Rate as of</w:t>
            </w:r>
          </w:p>
        </w:tc>
        <w:tc>
          <w:tcPr>
            <w:tcW w:w="194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300" w:type="dxa"/>
            <w:vAlign w:val="bottom"/>
          </w:tcPr>
          <w:p>
            <w:pPr>
              <w:spacing w:after="0"/>
              <w:rPr>
                <w:sz w:val="17"/>
                <w:szCs w:val="17"/>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620" w:type="dxa"/>
            <w:vAlign w:val="bottom"/>
            <w:tcBorders>
              <w:top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2025</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Bethesda Row (1)</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SOFR + 0.95%</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28, 2025</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125,000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43,600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11,500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(24 Buildings) (2)</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56,450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52,497</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SOFR + 1.95%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Various Hoboken (14 Buildings) (3)</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29,104</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516,678</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515,012</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Term loan (4)(6)</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600,000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SOFR + 0.85%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16, 2025</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Revolving credit facility (4)(6)</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SOFR + 0.775%</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5,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4"/>
              </w:rPr>
              <w:t>6,311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2059</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601,789</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601,307</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(6)</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1.25% notes</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15, 2026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475,000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350,000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5.375 %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 2028</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485,000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3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250,000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3,379,200</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3,356,298</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36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4,472,617</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line="298" w:lineRule="auto"/>
        <w:tabs>
          <w:tab w:leader="none" w:pos="6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this mortgage loan is fixed at 3.67% through two interest rate swap agreements.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these mortgages range from 3.91% to 5.00%.</w:t>
      </w:r>
    </w:p>
    <w:p>
      <w:pPr>
        <w:spacing w:after="0" w:line="63" w:lineRule="exact"/>
        <w:rPr>
          <w:rFonts w:ascii="Times New Roman" w:cs="Times New Roman" w:eastAsia="Times New Roman" w:hAnsi="Times New Roman"/>
          <w:sz w:val="18"/>
          <w:szCs w:val="18"/>
          <w:color w:val="auto"/>
        </w:rPr>
      </w:pPr>
    </w:p>
    <w:p>
      <w:pPr>
        <w:ind w:left="660" w:right="160" w:hanging="652"/>
        <w:spacing w:after="0" w:line="28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SOFR loans bear interest at Daily Simple SOFR or Term SOFR, and our term loan bears interest at Term SOFR as defined in the respective credit agreements, plus 0.10%, plus a spread, based on our current credit rating.</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$1.25 billion revolving credit facility during the nine months ended September 30, 2024 was</w:t>
      </w:r>
    </w:p>
    <w:p>
      <w:pPr>
        <w:spacing w:after="0" w:line="27" w:lineRule="exact"/>
        <w:rPr>
          <w:rFonts w:ascii="Times New Roman" w:cs="Times New Roman" w:eastAsia="Times New Roman" w:hAnsi="Times New Roman"/>
          <w:sz w:val="18"/>
          <w:szCs w:val="18"/>
          <w:color w:val="auto"/>
        </w:rPr>
      </w:pPr>
    </w:p>
    <w:p>
      <w:pPr>
        <w:ind w:left="66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million and the weighted average interest rate on borrowings under our revolving credit facility, before amortization of debt fees, was 6.2%.</w:t>
      </w:r>
    </w:p>
    <w:p>
      <w:pPr>
        <w:sectPr>
          <w:pgSz w:w="11900" w:h="16838" w:orient="portrait"/>
          <w:cols w:equalWidth="0" w:num="1">
            <w:col w:w="11120"/>
          </w:cols>
          <w:pgMar w:left="320" w:top="124" w:right="4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24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named obligor under our revolving credit facility, term loan, and senior notes and debenture. Effective April 1, 2024, a wholly owned subsidiary of the Operating Partnership guarantees the term loan.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revolving credit facility, unsecured term loan, and other debt agreements include financial and other covenants that may limit our operating activities in the future. As of September 30, 2024,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September 30,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0" w:type="dxa"/>
            <w:vAlign w:val="bottom"/>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600,490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848,120</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429,344</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455,626</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515,079</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693,361</w:t>
            </w:r>
          </w:p>
        </w:tc>
        <w:tc>
          <w:tcPr>
            <w:tcW w:w="4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352,511</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2,086,000</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61,177</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2,147,177</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3,980,989</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516,678</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4,497,667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$600.0 million term loan matures on April 16, 2025, plus one one-year extension at our option to April 16, 2026.</w:t>
      </w:r>
    </w:p>
    <w:p>
      <w:pPr>
        <w:spacing w:after="0" w:line="63" w:lineRule="exact"/>
        <w:rPr>
          <w:rFonts w:ascii="Times New Roman" w:cs="Times New Roman" w:eastAsia="Times New Roman" w:hAnsi="Times New Roman"/>
          <w:sz w:val="18"/>
          <w:szCs w:val="18"/>
          <w:color w:val="auto"/>
        </w:rPr>
      </w:pPr>
    </w:p>
    <w:p>
      <w:pPr>
        <w:ind w:left="580" w:right="660" w:hanging="572"/>
        <w:spacing w:after="0" w:line="281"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$200.0 million mortgage loan secured by Bethesda Row matures on December 28, 2025, plus two one-year extensions at our option to December 28, 2027.</w:t>
      </w:r>
    </w:p>
    <w:p>
      <w:pPr>
        <w:spacing w:after="0" w:line="1" w:lineRule="exact"/>
        <w:rPr>
          <w:rFonts w:ascii="Times New Roman" w:cs="Times New Roman" w:eastAsia="Times New Roman" w:hAnsi="Times New Roman"/>
          <w:sz w:val="18"/>
          <w:szCs w:val="18"/>
          <w:color w:val="auto"/>
        </w:rPr>
      </w:pPr>
    </w:p>
    <w:p>
      <w:pPr>
        <w:ind w:left="580" w:right="900" w:hanging="572"/>
        <w:spacing w:after="0" w:line="281"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$1.25 billion revolving credit facility matures on April 5, 2027, plus two six-month extensions at our option to April 5, 2028. As of September 30, 2024, there was no balance outstanding under this credit facility.</w:t>
      </w:r>
    </w:p>
    <w:p>
      <w:pPr>
        <w:spacing w:after="0" w:line="1" w:lineRule="exact"/>
        <w:rPr>
          <w:rFonts w:ascii="Times New Roman" w:cs="Times New Roman" w:eastAsia="Times New Roman" w:hAnsi="Times New Roman"/>
          <w:sz w:val="18"/>
          <w:szCs w:val="18"/>
          <w:color w:val="auto"/>
        </w:rPr>
      </w:pPr>
    </w:p>
    <w:p>
      <w:pPr>
        <w:ind w:left="580" w:right="600" w:hanging="572"/>
        <w:spacing w:after="0" w:line="282"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sheets due to the unamortized net debt issuance costs and premium/discount on mortgage loans, notes payable, and senior notes as of September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September 30, 2024, we have two interest rate swap agreements that effectively fix the rate on a mortgage payable associated with our Hoboken portfolio at 3.67% and we have three interest rate swap agreements that effectively fix the interest rate on a mortgage payable associated with Bethesda Row at 5.03% through the initial maturity date. Our Assembly Row hotel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joint venture is also a party to two interest rate swap agreements that effectively fix 100% of its outstanding $38.8 million of debt through May 2025 at 6.39%, and 50% of its outstanding debt from June 2025 through May 2028 at 6.03%. All swaps were designated and qualify as cash flow hedges. Hedge ineffectiveness has not impacted earnings as of September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25" w:lineRule="exact"/>
        <w:rPr>
          <w:sz w:val="20"/>
          <w:szCs w:val="20"/>
          <w:color w:val="auto"/>
        </w:rPr>
      </w:pPr>
    </w:p>
    <w:p>
      <w:pPr>
        <w:ind w:left="1700" w:right="260" w:hanging="801"/>
        <w:spacing w:after="0" w:line="281" w:lineRule="auto"/>
        <w:tabs>
          <w:tab w:leader="none" w:pos="1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407,440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196"/>
        </w:trPr>
        <w:tc>
          <w:tcPr>
            <w:tcW w:w="64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144,598</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135,290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422,659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402,408</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 (2)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and 2023, dividends on our Series 1 preferred stock were not deducted in the calculation of FFO available to common shareholders, as the related shares were dilutive and included in "weighted average number of common shares, diluted."</w:t>
      </w:r>
    </w:p>
    <w:p>
      <w:pPr>
        <w:spacing w:after="0" w:line="13" w:lineRule="exact"/>
        <w:rPr>
          <w:rFonts w:ascii="Times New Roman" w:cs="Times New Roman" w:eastAsia="Times New Roman" w:hAnsi="Times New Roman"/>
          <w:sz w:val="18"/>
          <w:szCs w:val="18"/>
          <w:color w:val="auto"/>
        </w:rPr>
      </w:pPr>
    </w:p>
    <w:p>
      <w:pPr>
        <w:ind w:left="660" w:right="140" w:hanging="652"/>
        <w:spacing w:after="0" w:line="26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both the three and nine months ended September 30, 2024 and 2023.</w:t>
      </w:r>
    </w:p>
    <w:p>
      <w:pPr>
        <w:spacing w:after="0" w:line="200" w:lineRule="exact"/>
        <w:rPr>
          <w:sz w:val="20"/>
          <w:szCs w:val="20"/>
          <w:color w:val="auto"/>
        </w:rPr>
      </w:pPr>
    </w:p>
    <w:p>
      <w:pPr>
        <w:spacing w:after="0" w:line="3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September 30, 2024, we had $3.9 billion of fixed-rate debt outstanding, including $252.5 million of mortgage payables for which the rate is effectively fixed by five interest rate swap agreements. If market interest rates used to calculate the fair value on our fixed-rate debt instruments at September 30, 2024 had been 1.0% higher, the fair value of those debt instruments on that date would have decreased by approximately $170.4 million. If market interest rates used to calculate the fair value on our fixed-rate debt instruments at September 30, 2024 had been 1.0% lower, the fair value of those debt instruments on that date would have increased by approximately $189.5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September 30, 2024,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September 30, 2024. Based on this evaluation, our management, including our Chief Executive Officer and Chief Financial Officer, concluded that the Trust's disclosure controls and procedures were effective as of September 30, 2024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September 30, 2024. Based on this evaluation, our management, including our Chief Executive Officer and Chief Financial Officer, concluded that the Operating Partnership's disclosure controls and procedures were effective as of September 30, 2024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2023 filed with the SEC on February 12, 2024.</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to our Form 10-K for the year ended December 31, 2023 filed with the SEC on February 12, 2024.</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September 30, 2024, we redeemed 6,020 downREIT operating partnership units for cash.</w:t>
      </w:r>
    </w:p>
    <w:p>
      <w:pPr>
        <w:spacing w:after="0" w:line="54" w:lineRule="exact"/>
        <w:rPr>
          <w:sz w:val="20"/>
          <w:szCs w:val="20"/>
          <w:color w:val="auto"/>
        </w:rPr>
      </w:pPr>
    </w:p>
    <w:p>
      <w:pPr>
        <w:ind w:right="206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20" w:type="dxa"/>
            <w:vAlign w:val="bottom"/>
            <w:tcBorders>
              <w:bottom w:val="single" w:sz="8" w:color="auto"/>
            </w:tcBorders>
            <w:gridSpan w:val="2"/>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OP LP (filed herewith)</w:t>
            </w:r>
          </w:p>
        </w:tc>
      </w:tr>
    </w:tbl>
    <w:p>
      <w:pPr>
        <w:spacing w:after="0" w:line="76" w:lineRule="exact"/>
        <w:rPr>
          <w:sz w:val="20"/>
          <w:szCs w:val="20"/>
          <w:color w:val="auto"/>
        </w:rPr>
      </w:pPr>
    </w:p>
    <w:p>
      <w:pPr>
        <w:ind w:left="1140" w:right="40" w:hanging="1114"/>
        <w:spacing w:after="0" w:line="224"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 and Federal Realty OP LP’s Quarterly Report on Form 10-Q for the quarter ended September 30, 2024,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1" w:lineRule="exact"/>
        <w:rPr>
          <w:sz w:val="20"/>
          <w:szCs w:val="20"/>
          <w:color w:val="auto"/>
        </w:rPr>
      </w:pPr>
    </w:p>
    <w:p>
      <w:pPr>
        <w:ind w:left="1140" w:hanging="111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340"/>
          </w:cols>
          <w:pgMar w:left="320" w:top="124" w:right="1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2024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89" w:lineRule="auto"/>
        <w:rPr>
          <w:sz w:val="20"/>
          <w:szCs w:val="20"/>
          <w:color w:val="auto"/>
        </w:rPr>
      </w:pPr>
      <w:r>
        <w:rPr>
          <w:rFonts w:ascii="Times New Roman" w:cs="Times New Roman" w:eastAsia="Times New Roman" w:hAnsi="Times New Roman"/>
          <w:sz w:val="17"/>
          <w:szCs w:val="17"/>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2024 (the “Report”). The undersigned hereby certifies, to the best of his knowledge, that:</w:t>
      </w:r>
    </w:p>
    <w:p>
      <w:pPr>
        <w:spacing w:after="0" w:line="50" w:lineRule="exact"/>
        <w:rPr>
          <w:sz w:val="20"/>
          <w:szCs w:val="20"/>
          <w:color w:val="auto"/>
        </w:rPr>
      </w:pPr>
    </w:p>
    <w:p>
      <w:pPr>
        <w:ind w:left="1300" w:hanging="88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September 30, 2024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September 30, 2024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6"/>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01"/>
    </w:lvl>
  </w:abstractNum>
  <w:abstractNum w:abstractNumId="28">
    <w:nsid w:val="4516DDE9"/>
    <w:multiLevelType w:val="hybridMultilevel"/>
    <w:lvl w:ilvl="0">
      <w:lvlJc w:val="left"/>
      <w:lvlText w:val="%1"/>
      <w:numFmt w:val="decimal"/>
      <w:start w:val="104"/>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27" Type="http://schemas.openxmlformats.org/officeDocument/2006/relationships/hyperlink" Target="https://www.sec.gov/ix?doc=/Archives/edgar/data/0000034903/000003490324000032/frt-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2024-10-30T15:25:59Z</dcterms:created>
  <dcterms:modified xsi:type="dcterms:W3CDTF">2024-10-30T15:25:59Z</dcterms:modified>
</cp:coreProperties>
</file>