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333-224701</w:t>
      </w:r>
    </w:p>
    <w:p>
      <w:pPr>
        <w:spacing w:after="0" w:line="139" w:lineRule="exact"/>
        <w:rPr>
          <w:sz w:val="24"/>
          <w:szCs w:val="24"/>
          <w:color w:val="auto"/>
        </w:rPr>
      </w:pPr>
    </w:p>
    <w:p>
      <w:pPr>
        <w:ind w:left="200"/>
        <w:spacing w:after="0" w:line="261" w:lineRule="auto"/>
        <w:rPr>
          <w:sz w:val="20"/>
          <w:szCs w:val="20"/>
          <w:color w:val="auto"/>
        </w:rPr>
      </w:pPr>
      <w:r>
        <w:rPr>
          <w:rFonts w:ascii="Arial" w:cs="Arial" w:eastAsia="Arial" w:hAnsi="Arial"/>
          <w:sz w:val="18"/>
          <w:szCs w:val="18"/>
          <w:b w:val="1"/>
          <w:bCs w:val="1"/>
          <w:color w:val="EB0029"/>
        </w:rPr>
        <w:t>The information in this prospectus supplement and the accompanying prospectus is not complete and may be changed. A registration statement relating to these securities has been filed with the Securities and Exchange Commission and is effective. This prospectus supplement and the accompanying prospectus are not an offer to sell these securities and we are not soliciting offers to buy these securities in any jurisdiction where the offer or sale is not permitted.</w:t>
      </w:r>
    </w:p>
    <w:p>
      <w:pPr>
        <w:spacing w:after="0" w:line="11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EB0029"/>
        </w:rPr>
        <w:t>SUBJECT TO COMPLETION, DATED JUNE 4, 2019</w:t>
      </w:r>
    </w:p>
    <w:p>
      <w:pPr>
        <w:spacing w:after="0" w:line="117"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(TO PROSPECTUS DATED MAY 7, 2018)</w:t>
      </w:r>
    </w:p>
    <w:p>
      <w:pPr>
        <w:spacing w:after="0" w:line="184" w:lineRule="exact"/>
        <w:rPr>
          <w:sz w:val="24"/>
          <w:szCs w:val="24"/>
          <w:color w:val="auto"/>
        </w:rPr>
      </w:pPr>
    </w:p>
    <w:p>
      <w:pPr>
        <w:ind w:left="4980"/>
        <w:spacing w:after="0"/>
        <w:rPr>
          <w:sz w:val="20"/>
          <w:szCs w:val="20"/>
          <w:color w:val="auto"/>
        </w:rPr>
      </w:pPr>
      <w:r>
        <w:rPr>
          <w:rFonts w:ascii="Arial" w:cs="Arial" w:eastAsia="Arial" w:hAnsi="Arial"/>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178435</wp:posOffset>
            </wp:positionV>
            <wp:extent cx="2178050"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78050"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left="260"/>
        <w:spacing w:after="0"/>
        <w:rPr>
          <w:sz w:val="20"/>
          <w:szCs w:val="20"/>
          <w:color w:val="auto"/>
        </w:rPr>
      </w:pPr>
      <w:r>
        <w:rPr>
          <w:rFonts w:ascii="Arial" w:cs="Arial" w:eastAsia="Arial" w:hAnsi="Arial"/>
          <w:sz w:val="25"/>
          <w:szCs w:val="25"/>
          <w:b w:val="1"/>
          <w:bCs w:val="1"/>
          <w:color w:val="auto"/>
        </w:rPr>
        <w:t>% Notes due 2029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234950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200"/>
        <w:spacing w:after="0"/>
        <w:tabs>
          <w:tab w:leader="none" w:pos="1840" w:val="left"/>
          <w:tab w:leader="none" w:pos="4520" w:val="left"/>
          <w:tab w:leader="none" w:pos="9060" w:val="left"/>
        </w:tabs>
        <w:rPr>
          <w:sz w:val="20"/>
          <w:szCs w:val="20"/>
          <w:color w:val="auto"/>
        </w:rPr>
      </w:pPr>
      <w:r>
        <w:rPr>
          <w:rFonts w:ascii="Arial" w:cs="Arial" w:eastAsia="Arial" w:hAnsi="Arial"/>
          <w:sz w:val="18"/>
          <w:szCs w:val="18"/>
          <w:color w:val="auto"/>
        </w:rPr>
        <w:t>We are offering $</w:t>
      </w:r>
      <w:r>
        <w:rPr>
          <w:sz w:val="20"/>
          <w:szCs w:val="20"/>
          <w:color w:val="auto"/>
        </w:rPr>
        <w:tab/>
      </w:r>
      <w:r>
        <w:rPr>
          <w:rFonts w:ascii="Arial" w:cs="Arial" w:eastAsia="Arial" w:hAnsi="Arial"/>
          <w:sz w:val="18"/>
          <w:szCs w:val="18"/>
          <w:color w:val="auto"/>
        </w:rPr>
        <w:t>aggregate principal amount of our</w:t>
        <w:tab/>
        <w:t>% Notes due 2029. The notes will bear interest at the rate of</w:t>
      </w:r>
      <w:r>
        <w:rPr>
          <w:sz w:val="20"/>
          <w:szCs w:val="20"/>
          <w:color w:val="auto"/>
        </w:rPr>
        <w:tab/>
      </w:r>
      <w:r>
        <w:rPr>
          <w:rFonts w:ascii="Arial" w:cs="Arial" w:eastAsia="Arial" w:hAnsi="Arial"/>
          <w:sz w:val="16"/>
          <w:szCs w:val="16"/>
          <w:color w:val="auto"/>
        </w:rPr>
        <w:t>% per year. Interest on the</w:t>
      </w:r>
    </w:p>
    <w:p>
      <w:pPr>
        <w:spacing w:after="0" w:line="23" w:lineRule="exact"/>
        <w:rPr>
          <w:sz w:val="24"/>
          <w:szCs w:val="24"/>
          <w:color w:val="auto"/>
        </w:rPr>
      </w:pPr>
    </w:p>
    <w:p>
      <w:pPr>
        <w:ind w:left="200"/>
        <w:spacing w:after="0"/>
        <w:tabs>
          <w:tab w:leader="none" w:pos="4640" w:val="left"/>
          <w:tab w:leader="none" w:pos="5720" w:val="left"/>
          <w:tab w:leader="none" w:pos="8560" w:val="left"/>
        </w:tabs>
        <w:rPr>
          <w:sz w:val="20"/>
          <w:szCs w:val="20"/>
          <w:color w:val="auto"/>
        </w:rPr>
      </w:pPr>
      <w:r>
        <w:rPr>
          <w:rFonts w:ascii="Arial" w:cs="Arial" w:eastAsia="Arial" w:hAnsi="Arial"/>
          <w:sz w:val="18"/>
          <w:szCs w:val="18"/>
          <w:color w:val="auto"/>
        </w:rPr>
        <w:t>notes will be payable semi-annually in arears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 on</w:t>
      </w:r>
      <w:r>
        <w:rPr>
          <w:sz w:val="20"/>
          <w:szCs w:val="20"/>
          <w:color w:val="auto"/>
        </w:rPr>
        <w:tab/>
      </w:r>
      <w:r>
        <w:rPr>
          <w:rFonts w:ascii="Arial" w:cs="Arial" w:eastAsia="Arial" w:hAnsi="Arial"/>
          <w:sz w:val="16"/>
          <w:szCs w:val="16"/>
          <w:color w:val="auto"/>
        </w:rPr>
        <w:t>, 2019. The notes will mature on</w:t>
      </w:r>
    </w:p>
    <w:p>
      <w:pPr>
        <w:spacing w:after="0" w:line="9" w:lineRule="exact"/>
        <w:rPr>
          <w:sz w:val="24"/>
          <w:szCs w:val="24"/>
          <w:color w:val="auto"/>
        </w:rPr>
      </w:pPr>
    </w:p>
    <w:p>
      <w:pPr>
        <w:ind w:left="200" w:right="160" w:firstLine="904"/>
        <w:spacing w:after="0" w:line="261" w:lineRule="auto"/>
        <w:tabs>
          <w:tab w:leader="none" w:pos="119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2029. We may redeem some or all of the notes at any time before maturity at the applicable redemption price discussed under the caption “Description of Notes — Optional Redemption.”</w:t>
      </w:r>
    </w:p>
    <w:p>
      <w:pPr>
        <w:spacing w:after="0" w:line="143" w:lineRule="exact"/>
        <w:rPr>
          <w:sz w:val="24"/>
          <w:szCs w:val="24"/>
          <w:color w:val="auto"/>
        </w:rPr>
      </w:pPr>
    </w:p>
    <w:p>
      <w:pPr>
        <w:jc w:val="both"/>
        <w:ind w:left="200"/>
        <w:spacing w:after="0" w:line="264" w:lineRule="auto"/>
        <w:rPr>
          <w:sz w:val="20"/>
          <w:szCs w:val="20"/>
          <w:color w:val="auto"/>
        </w:rPr>
      </w:pPr>
      <w:r>
        <w:rPr>
          <w:rFonts w:ascii="Arial" w:cs="Arial" w:eastAsia="Arial" w:hAnsi="Arial"/>
          <w:sz w:val="18"/>
          <w:szCs w:val="18"/>
          <w:color w:val="auto"/>
        </w:rPr>
        <w:t>The notes will be our senior unsecured obligations and will rank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w:t>
      </w:r>
    </w:p>
    <w:p>
      <w:pPr>
        <w:spacing w:after="0" w:line="141" w:lineRule="exact"/>
        <w:rPr>
          <w:sz w:val="24"/>
          <w:szCs w:val="24"/>
          <w:color w:val="auto"/>
        </w:rPr>
      </w:pPr>
    </w:p>
    <w:p>
      <w:pPr>
        <w:ind w:left="200"/>
        <w:spacing w:after="0"/>
        <w:rPr>
          <w:sz w:val="20"/>
          <w:szCs w:val="20"/>
          <w:color w:val="auto"/>
        </w:rPr>
      </w:pPr>
      <w:r>
        <w:rPr>
          <w:rFonts w:ascii="Arial" w:cs="Arial" w:eastAsia="Arial" w:hAnsi="Arial"/>
          <w:sz w:val="17"/>
          <w:szCs w:val="17"/>
          <w:color w:val="auto"/>
        </w:rPr>
        <w:t>The notes are a new issue of securities with no established trading market. We do not intend to apply to list the notes on any securities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236855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left="200" w:right="20"/>
        <w:spacing w:after="0" w:line="301"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the notes involves risks. See “</w:t>
      </w:r>
      <w:hyperlink w:anchor="page9">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S-5 of this prospectus supplement, on page 3 of the accompanying prospectus and in our Annual Report on Form 10-K for the year ended December 31, 2018, filed with the Securities and Exchange Commission, or the SEC, on February 13,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164465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90"/>
              </w:rPr>
              <w:t>Per Note</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Public offering price (1)</w:t>
            </w:r>
          </w:p>
        </w:tc>
        <w:tc>
          <w:tcPr>
            <w:tcW w:w="48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Underwriting discount</w:t>
            </w:r>
          </w:p>
        </w:tc>
        <w:tc>
          <w:tcPr>
            <w:tcW w:w="4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w w:val="87"/>
              </w:rPr>
              <w:t>%</w:t>
            </w:r>
          </w:p>
        </w:tc>
        <w:tc>
          <w:tcPr>
            <w:tcW w:w="74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74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135"/>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60" w:type="dxa"/>
            <w:vAlign w:val="bottom"/>
            <w:gridSpan w:val="2"/>
          </w:tcPr>
          <w:p>
            <w:pPr>
              <w:spacing w:after="0"/>
              <w:rPr>
                <w:sz w:val="11"/>
                <w:szCs w:val="11"/>
                <w:color w:val="auto"/>
              </w:rPr>
            </w:pPr>
          </w:p>
        </w:tc>
        <w:tc>
          <w:tcPr>
            <w:tcW w:w="53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50"/>
        </w:trPr>
        <w:tc>
          <w:tcPr>
            <w:tcW w:w="3160" w:type="dxa"/>
            <w:vAlign w:val="bottom"/>
            <w:gridSpan w:val="4"/>
          </w:tcPr>
          <w:p>
            <w:pPr>
              <w:spacing w:after="0"/>
              <w:rPr>
                <w:sz w:val="20"/>
                <w:szCs w:val="20"/>
                <w:color w:val="auto"/>
              </w:rPr>
            </w:pPr>
            <w:r>
              <w:rPr>
                <w:rFonts w:ascii="Arial" w:cs="Arial" w:eastAsia="Arial" w:hAnsi="Arial"/>
                <w:sz w:val="18"/>
                <w:szCs w:val="18"/>
                <w:color w:val="auto"/>
              </w:rPr>
              <w:t>(1)   Plus accrued interest from</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 2019, if settlement occurs after that date.</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pacing w:after="0" w:line="161" w:lineRule="exact"/>
        <w:rPr>
          <w:sz w:val="24"/>
          <w:szCs w:val="24"/>
          <w:color w:val="auto"/>
        </w:rPr>
      </w:pPr>
    </w:p>
    <w:p>
      <w:pPr>
        <w:ind w:left="1100" w:right="140" w:hanging="899"/>
        <w:spacing w:after="0" w:line="277" w:lineRule="auto"/>
        <w:rPr>
          <w:sz w:val="20"/>
          <w:szCs w:val="20"/>
          <w:color w:val="auto"/>
        </w:rPr>
      </w:pPr>
      <w:r>
        <w:rPr>
          <w:rFonts w:ascii="Arial" w:cs="Arial" w:eastAsia="Arial" w:hAnsi="Arial"/>
          <w:sz w:val="18"/>
          <w:szCs w:val="18"/>
          <w:color w:val="auto"/>
        </w:rPr>
        <w:t>The underwriters expect to deliver the notes to purchasers in book-entry only form through the facilities of The Depository Trust Company on or about , 2019.</w:t>
      </w:r>
    </w:p>
    <w:p>
      <w:pPr>
        <w:spacing w:after="0" w:line="126" w:lineRule="exact"/>
        <w:rPr>
          <w:sz w:val="24"/>
          <w:szCs w:val="24"/>
          <w:color w:val="auto"/>
        </w:rPr>
      </w:pPr>
    </w:p>
    <w:p>
      <w:pPr>
        <w:ind w:left="200" w:right="840"/>
        <w:spacing w:after="0" w:line="386" w:lineRule="auto"/>
        <w:rPr>
          <w:sz w:val="20"/>
          <w:szCs w:val="20"/>
          <w:color w:val="auto"/>
        </w:rPr>
      </w:pPr>
      <w:r>
        <w:rPr>
          <w:rFonts w:ascii="Arial" w:cs="Arial" w:eastAsia="Arial" w:hAnsi="Arial"/>
          <w:sz w:val="15"/>
          <w:szCs w:val="15"/>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147955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88" w:lineRule="exact"/>
        <w:rPr>
          <w:sz w:val="24"/>
          <w:szCs w:val="24"/>
          <w:color w:val="auto"/>
        </w:rPr>
      </w:pPr>
    </w:p>
    <w:p>
      <w:pPr>
        <w:jc w:val="center"/>
        <w:ind w:right="-199"/>
        <w:spacing w:after="0"/>
        <w:rPr>
          <w:sz w:val="20"/>
          <w:szCs w:val="20"/>
          <w:color w:val="auto"/>
        </w:rPr>
      </w:pPr>
      <w:r>
        <w:rPr>
          <w:rFonts w:ascii="Arial" w:cs="Arial" w:eastAsia="Arial" w:hAnsi="Arial"/>
          <w:sz w:val="18"/>
          <w:szCs w:val="18"/>
          <w:i w:val="1"/>
          <w:iCs w:val="1"/>
          <w:color w:val="auto"/>
        </w:rPr>
        <w:t>Joint Book-Running Managers</w:t>
      </w:r>
    </w:p>
    <w:p>
      <w:pPr>
        <w:spacing w:after="0" w:line="212" w:lineRule="exact"/>
        <w:rPr>
          <w:sz w:val="24"/>
          <w:szCs w:val="24"/>
          <w:color w:val="auto"/>
        </w:rPr>
      </w:pPr>
    </w:p>
    <w:p>
      <w:pPr>
        <w:ind w:left="200"/>
        <w:spacing w:after="0"/>
        <w:tabs>
          <w:tab w:leader="none" w:pos="5860" w:val="left"/>
          <w:tab w:leader="none" w:pos="10080" w:val="left"/>
        </w:tabs>
        <w:rPr>
          <w:sz w:val="20"/>
          <w:szCs w:val="20"/>
          <w:color w:val="auto"/>
        </w:rPr>
      </w:pP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22"/>
          <w:szCs w:val="22"/>
          <w:b w:val="1"/>
          <w:bCs w:val="1"/>
          <w:color w:val="auto"/>
        </w:rPr>
        <w:t>Jefferies</w:t>
      </w:r>
      <w:r>
        <w:rPr>
          <w:sz w:val="20"/>
          <w:szCs w:val="20"/>
          <w:color w:val="auto"/>
        </w:rPr>
        <w:tab/>
      </w:r>
      <w:r>
        <w:rPr>
          <w:rFonts w:ascii="Arial" w:cs="Arial" w:eastAsia="Arial" w:hAnsi="Arial"/>
          <w:sz w:val="19"/>
          <w:szCs w:val="19"/>
          <w:b w:val="1"/>
          <w:bCs w:val="1"/>
          <w:color w:val="auto"/>
        </w:rPr>
        <w:t>US Bancorp</w:t>
      </w:r>
    </w:p>
    <w:p>
      <w:pPr>
        <w:spacing w:after="0" w:line="28" w:lineRule="exact"/>
        <w:rPr>
          <w:sz w:val="24"/>
          <w:szCs w:val="24"/>
          <w:color w:val="auto"/>
        </w:rPr>
      </w:pPr>
    </w:p>
    <w:p>
      <w:pPr>
        <w:ind w:left="200"/>
        <w:spacing w:after="0"/>
        <w:tabs>
          <w:tab w:leader="none" w:pos="4940" w:val="left"/>
          <w:tab w:leader="none" w:pos="9940" w:val="left"/>
        </w:tabs>
        <w:rPr>
          <w:sz w:val="20"/>
          <w:szCs w:val="20"/>
          <w:color w:val="auto"/>
        </w:rPr>
      </w:pPr>
      <w:r>
        <w:rPr>
          <w:rFonts w:ascii="Arial" w:cs="Arial" w:eastAsia="Arial" w:hAnsi="Arial"/>
          <w:sz w:val="22"/>
          <w:szCs w:val="22"/>
          <w:b w:val="1"/>
          <w:bCs w:val="1"/>
          <w:color w:val="auto"/>
        </w:rPr>
        <w:t>Regions Securities LLC</w:t>
      </w:r>
      <w:r>
        <w:rPr>
          <w:sz w:val="20"/>
          <w:szCs w:val="20"/>
          <w:color w:val="auto"/>
        </w:rPr>
        <w:tab/>
      </w:r>
      <w:r>
        <w:rPr>
          <w:rFonts w:ascii="Arial" w:cs="Arial" w:eastAsia="Arial" w:hAnsi="Arial"/>
          <w:sz w:val="22"/>
          <w:szCs w:val="22"/>
          <w:b w:val="1"/>
          <w:bCs w:val="1"/>
          <w:color w:val="auto"/>
        </w:rPr>
        <w:t>SunTrust Robinson Humphrey</w:t>
      </w:r>
      <w:r>
        <w:rPr>
          <w:sz w:val="20"/>
          <w:szCs w:val="20"/>
          <w:color w:val="auto"/>
        </w:rPr>
        <w:tab/>
      </w:r>
      <w:r>
        <w:rPr>
          <w:rFonts w:ascii="Arial" w:cs="Arial" w:eastAsia="Arial" w:hAnsi="Arial"/>
          <w:sz w:val="19"/>
          <w:szCs w:val="19"/>
          <w:b w:val="1"/>
          <w:bCs w:val="1"/>
          <w:color w:val="auto"/>
        </w:rPr>
        <w:t>TD Securities</w:t>
      </w:r>
    </w:p>
    <w:p>
      <w:pPr>
        <w:sectPr>
          <w:pgSz w:w="11900" w:h="16838" w:orient="portrait"/>
          <w:cols w:equalWidth="0" w:num="1">
            <w:col w:w="11220"/>
          </w:cols>
          <w:pgMar w:left="240" w:top="230" w:right="439" w:bottom="1440" w:gutter="0" w:footer="0" w:header="0"/>
        </w:sectPr>
      </w:pPr>
    </w:p>
    <w:p>
      <w:pPr>
        <w:spacing w:after="0" w:line="151" w:lineRule="exact"/>
        <w:rPr>
          <w:sz w:val="24"/>
          <w:szCs w:val="24"/>
          <w:color w:val="auto"/>
        </w:rPr>
      </w:pPr>
    </w:p>
    <w:p>
      <w:pPr>
        <w:jc w:val="center"/>
        <w:ind w:right="-199"/>
        <w:spacing w:after="0"/>
        <w:tabs>
          <w:tab w:leader="none" w:pos="220" w:val="left"/>
        </w:tabs>
        <w:rPr>
          <w:sz w:val="20"/>
          <w:szCs w:val="20"/>
          <w:color w:val="auto"/>
        </w:rPr>
      </w:pPr>
      <w:r>
        <w:rPr>
          <w:rFonts w:ascii="Arial" w:cs="Arial" w:eastAsia="Arial" w:hAnsi="Arial"/>
          <w:sz w:val="18"/>
          <w:szCs w:val="18"/>
          <w:b w:val="1"/>
          <w:bCs w:val="1"/>
          <w:color w:val="auto"/>
        </w:rPr>
        <w:t>The date of this prospectus supplement is June</w:t>
      </w:r>
      <w:r>
        <w:rPr>
          <w:sz w:val="20"/>
          <w:szCs w:val="20"/>
          <w:color w:val="auto"/>
        </w:rPr>
        <w:tab/>
      </w:r>
      <w:r>
        <w:rPr>
          <w:rFonts w:ascii="Arial" w:cs="Arial" w:eastAsia="Arial" w:hAnsi="Arial"/>
          <w:sz w:val="15"/>
          <w:szCs w:val="15"/>
          <w:b w:val="1"/>
          <w:bCs w:val="1"/>
          <w:color w:val="auto"/>
        </w:rPr>
        <w:t>, 2019.</w:t>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60" w:type="dxa"/>
            <w:vAlign w:val="bottom"/>
            <w:gridSpan w:val="16"/>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572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4860" w:type="dxa"/>
            <w:vAlign w:val="bottom"/>
            <w:gridSpan w:val="16"/>
            <w:vMerge w:val="continue"/>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jc w:val="right"/>
              <w:spacing w:after="0" w:line="170"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Cautionary Statement Concerning Forward-Looking Statements</w:t>
              </w:r>
            </w:hyperlink>
          </w:p>
        </w:tc>
        <w:tc>
          <w:tcPr>
            <w:tcW w:w="2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304"/>
        </w:trPr>
        <w:tc>
          <w:tcPr>
            <w:tcW w:w="24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Prospectus Supplement Summary</w:t>
              </w:r>
            </w:hyperlink>
          </w:p>
        </w:tc>
        <w:tc>
          <w:tcPr>
            <w:tcW w:w="2380" w:type="dxa"/>
            <w:vAlign w:val="bottom"/>
            <w:gridSpan w:val="7"/>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304"/>
        </w:trPr>
        <w:tc>
          <w:tcPr>
            <w:tcW w:w="4860" w:type="dxa"/>
            <w:vAlign w:val="bottom"/>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Use of Proceeds</w:t>
              </w:r>
            </w:hyperlink>
          </w:p>
        </w:tc>
        <w:tc>
          <w:tcPr>
            <w:tcW w:w="3680" w:type="dxa"/>
            <w:vAlign w:val="bottom"/>
            <w:gridSpan w:val="12"/>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r>
        <w:trPr>
          <w:trHeight w:val="304"/>
        </w:trPr>
        <w:tc>
          <w:tcPr>
            <w:tcW w:w="4860" w:type="dxa"/>
            <w:vAlign w:val="bottom"/>
            <w:gridSpan w:val="16"/>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Description of Notes</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Additional Material Federal Income Tax Considerations</w:t>
              </w:r>
            </w:hyperlink>
          </w:p>
        </w:tc>
        <w:tc>
          <w:tcPr>
            <w:tcW w:w="820" w:type="dxa"/>
            <w:vAlign w:val="bottom"/>
            <w:gridSpan w:val="2"/>
          </w:tcPr>
          <w:p>
            <w:pPr>
              <w:spacing w:after="0"/>
              <w:rPr>
                <w:sz w:val="24"/>
                <w:szCs w:val="24"/>
                <w:color w:val="auto"/>
              </w:rPr>
            </w:pPr>
          </w:p>
        </w:tc>
        <w:tc>
          <w:tcPr>
            <w:tcW w:w="57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r>
        <w:trPr>
          <w:trHeight w:val="304"/>
        </w:trPr>
        <w:tc>
          <w:tcPr>
            <w:tcW w:w="258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Underwriting (Conflicts of Interest)</w:t>
              </w:r>
            </w:hyperlink>
          </w:p>
        </w:tc>
        <w:tc>
          <w:tcPr>
            <w:tcW w:w="2280" w:type="dxa"/>
            <w:vAlign w:val="bottom"/>
            <w:gridSpan w:val="6"/>
          </w:tcPr>
          <w:p>
            <w:pPr>
              <w:spacing w:after="0"/>
              <w:rPr>
                <w:sz w:val="24"/>
                <w:szCs w:val="24"/>
                <w:color w:val="auto"/>
              </w:rPr>
            </w:pPr>
          </w:p>
        </w:tc>
        <w:tc>
          <w:tcPr>
            <w:tcW w:w="57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Experts</w:t>
              </w:r>
            </w:hyperlink>
          </w:p>
        </w:tc>
        <w:tc>
          <w:tcPr>
            <w:tcW w:w="4300" w:type="dxa"/>
            <w:vAlign w:val="bottom"/>
            <w:gridSpan w:val="15"/>
          </w:tcPr>
          <w:p>
            <w:pPr>
              <w:spacing w:after="0"/>
              <w:rPr>
                <w:sz w:val="24"/>
                <w:szCs w:val="24"/>
                <w:color w:val="auto"/>
              </w:rPr>
            </w:pPr>
          </w:p>
        </w:tc>
        <w:tc>
          <w:tcPr>
            <w:tcW w:w="57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S-23</w:t>
            </w:r>
          </w:p>
        </w:tc>
        <w:tc>
          <w:tcPr>
            <w:tcW w:w="0" w:type="dxa"/>
            <w:vAlign w:val="bottom"/>
          </w:tcPr>
          <w:p>
            <w:pPr>
              <w:spacing w:after="0"/>
              <w:rPr>
                <w:sz w:val="1"/>
                <w:szCs w:val="1"/>
                <w:color w:val="auto"/>
              </w:rPr>
            </w:pPr>
          </w:p>
        </w:tc>
      </w:tr>
      <w:tr>
        <w:trPr>
          <w:trHeight w:val="304"/>
        </w:trPr>
        <w:tc>
          <w:tcPr>
            <w:tcW w:w="486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Matters</w:t>
              </w:r>
            </w:hyperlink>
          </w:p>
        </w:tc>
        <w:tc>
          <w:tcPr>
            <w:tcW w:w="57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S-23</w:t>
            </w:r>
          </w:p>
        </w:tc>
        <w:tc>
          <w:tcPr>
            <w:tcW w:w="0" w:type="dxa"/>
            <w:vAlign w:val="bottom"/>
          </w:tcPr>
          <w:p>
            <w:pPr>
              <w:spacing w:after="0"/>
              <w:rPr>
                <w:sz w:val="1"/>
                <w:szCs w:val="1"/>
                <w:color w:val="auto"/>
              </w:rPr>
            </w:pPr>
          </w:p>
        </w:tc>
      </w:tr>
      <w:tr>
        <w:trPr>
          <w:trHeight w:val="669"/>
        </w:trPr>
        <w:tc>
          <w:tcPr>
            <w:tcW w:w="5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20" w:type="dxa"/>
            <w:vAlign w:val="bottom"/>
            <w:gridSpan w:val="3"/>
          </w:tcPr>
          <w:p>
            <w:pPr>
              <w:jc w:val="right"/>
              <w:ind w:right="495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2"/>
        </w:trPr>
        <w:tc>
          <w:tcPr>
            <w:tcW w:w="4860" w:type="dxa"/>
            <w:vAlign w:val="bottom"/>
            <w:gridSpan w:val="16"/>
            <w:vMerge w:val="restart"/>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About this Prospectus</w:t>
              </w:r>
            </w:hyperlink>
          </w:p>
        </w:tc>
        <w:tc>
          <w:tcPr>
            <w:tcW w:w="57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4860" w:type="dxa"/>
            <w:vAlign w:val="bottom"/>
            <w:gridSpan w:val="16"/>
            <w:vMerge w:val="continue"/>
          </w:tcPr>
          <w:p>
            <w:pPr>
              <w:spacing w:after="0"/>
              <w:rPr>
                <w:sz w:val="14"/>
                <w:szCs w:val="14"/>
                <w:color w:val="auto"/>
              </w:rPr>
            </w:pPr>
          </w:p>
        </w:tc>
        <w:tc>
          <w:tcPr>
            <w:tcW w:w="5820" w:type="dxa"/>
            <w:vAlign w:val="bottom"/>
            <w:gridSpan w:val="2"/>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50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Forward-Looking Statements</w:t>
              </w:r>
            </w:hyperlink>
          </w:p>
        </w:tc>
        <w:tc>
          <w:tcPr>
            <w:tcW w:w="2740" w:type="dxa"/>
            <w:vAlign w:val="bottom"/>
            <w:gridSpan w:val="9"/>
          </w:tcPr>
          <w:p>
            <w:pPr>
              <w:spacing w:after="0"/>
              <w:rPr>
                <w:sz w:val="24"/>
                <w:szCs w:val="24"/>
                <w:color w:val="auto"/>
              </w:rPr>
            </w:pPr>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486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Prospectus Summary</w:t>
              </w:r>
            </w:hyperlink>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tcBorders>
            <w:gridSpan w:val="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3280" w:type="dxa"/>
            <w:vAlign w:val="bottom"/>
            <w:gridSpan w:val="10"/>
          </w:tcPr>
          <w:p>
            <w:pPr>
              <w:spacing w:after="0"/>
              <w:rPr>
                <w:sz w:val="24"/>
                <w:szCs w:val="24"/>
                <w:color w:val="auto"/>
              </w:rPr>
            </w:pPr>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Use of Proceeds</w:t>
              </w:r>
            </w:hyperlink>
          </w:p>
        </w:tc>
        <w:tc>
          <w:tcPr>
            <w:tcW w:w="3680" w:type="dxa"/>
            <w:vAlign w:val="bottom"/>
            <w:gridSpan w:val="12"/>
          </w:tcPr>
          <w:p>
            <w:pPr>
              <w:spacing w:after="0"/>
              <w:rPr>
                <w:sz w:val="24"/>
                <w:szCs w:val="24"/>
                <w:color w:val="auto"/>
              </w:rPr>
            </w:pPr>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4860" w:type="dxa"/>
            <w:vAlign w:val="bottom"/>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Description of Debt Securities</w:t>
              </w:r>
            </w:hyperlink>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500" w:type="dxa"/>
            <w:vAlign w:val="bottom"/>
            <w:tcBorders>
              <w:right w:val="single" w:sz="8" w:color="0000EE"/>
            </w:tcBorders>
            <w:gridSpan w:val="5"/>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60" w:type="dxa"/>
            <w:vAlign w:val="bottom"/>
            <w:gridSpan w:val="1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Description of Shares of Beneficial Interest</w:t>
              </w:r>
            </w:hyperlink>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500" w:type="dxa"/>
            <w:vAlign w:val="bottom"/>
            <w:tcBorders>
              <w:right w:val="single" w:sz="8" w:color="0000EE"/>
            </w:tcBorders>
            <w:gridSpan w:val="5"/>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60" w:type="dxa"/>
            <w:vAlign w:val="bottom"/>
            <w:gridSpan w:val="1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Material Federal Income Tax Considerations</w:t>
              </w:r>
            </w:hyperlink>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5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6"/>
              </w:rPr>
            </w:pPr>
            <w:hyperlink w:anchor="page78">
              <w:r>
                <w:rPr>
                  <w:rFonts w:ascii="Arial" w:cs="Arial" w:eastAsia="Arial" w:hAnsi="Arial"/>
                  <w:sz w:val="18"/>
                  <w:szCs w:val="18"/>
                  <w:color w:val="0000EE"/>
                  <w:w w:val="96"/>
                </w:rPr>
                <w:t>Plan of Distribution</w:t>
              </w:r>
            </w:hyperlink>
          </w:p>
        </w:tc>
        <w:tc>
          <w:tcPr>
            <w:tcW w:w="1720" w:type="dxa"/>
            <w:vAlign w:val="bottom"/>
            <w:tcBorders>
              <w:top w:val="single" w:sz="8" w:color="0000EE"/>
            </w:tcBorders>
            <w:gridSpan w:val="8"/>
          </w:tcPr>
          <w:p>
            <w:pPr>
              <w:spacing w:after="0"/>
              <w:rPr>
                <w:sz w:val="24"/>
                <w:szCs w:val="24"/>
                <w:color w:val="auto"/>
              </w:rPr>
            </w:pPr>
          </w:p>
        </w:tc>
        <w:tc>
          <w:tcPr>
            <w:tcW w:w="1640" w:type="dxa"/>
            <w:vAlign w:val="bottom"/>
            <w:gridSpan w:val="3"/>
          </w:tcPr>
          <w:p>
            <w:pPr>
              <w:spacing w:after="0"/>
              <w:rPr>
                <w:sz w:val="24"/>
                <w:szCs w:val="24"/>
                <w:color w:val="auto"/>
              </w:rPr>
            </w:pPr>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4860" w:type="dxa"/>
            <w:vAlign w:val="bottom"/>
            <w:gridSpan w:val="1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Legal Matters</w:t>
              </w:r>
            </w:hyperlink>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56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80">
              <w:r>
                <w:rPr>
                  <w:rFonts w:ascii="Arial" w:cs="Arial" w:eastAsia="Arial" w:hAnsi="Arial"/>
                  <w:sz w:val="18"/>
                  <w:szCs w:val="18"/>
                  <w:color w:val="0000EE"/>
                  <w:w w:val="88"/>
                </w:rPr>
                <w:t>Experts</w:t>
              </w:r>
            </w:hyperlink>
          </w:p>
        </w:tc>
        <w:tc>
          <w:tcPr>
            <w:tcW w:w="440" w:type="dxa"/>
            <w:vAlign w:val="bottom"/>
            <w:tcBorders>
              <w:top w:val="single" w:sz="8" w:color="0000EE"/>
            </w:tcBorders>
            <w:gridSpan w:val="2"/>
          </w:tcPr>
          <w:p>
            <w:pPr>
              <w:spacing w:after="0"/>
              <w:rPr>
                <w:sz w:val="24"/>
                <w:szCs w:val="24"/>
                <w:color w:val="auto"/>
              </w:rPr>
            </w:pPr>
          </w:p>
        </w:tc>
        <w:tc>
          <w:tcPr>
            <w:tcW w:w="3860" w:type="dxa"/>
            <w:vAlign w:val="bottom"/>
            <w:gridSpan w:val="13"/>
          </w:tcPr>
          <w:p>
            <w:pPr>
              <w:spacing w:after="0"/>
              <w:rPr>
                <w:sz w:val="24"/>
                <w:szCs w:val="24"/>
                <w:color w:val="auto"/>
              </w:rPr>
            </w:pPr>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4860" w:type="dxa"/>
            <w:vAlign w:val="bottom"/>
            <w:gridSpan w:val="1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Where You Can Find More Information</w:t>
              </w:r>
            </w:hyperlink>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20" w:type="dxa"/>
            <w:vAlign w:val="bottom"/>
            <w:gridSpan w:val="3"/>
          </w:tcPr>
          <w:p>
            <w:pPr>
              <w:jc w:val="right"/>
              <w:ind w:right="535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You should carefully read this prospectus supplement along with the accompanying prospectus, as well as the information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92" w:lineRule="exact"/>
        <w:rPr>
          <w:sz w:val="20"/>
          <w:szCs w:val="20"/>
          <w:color w:val="auto"/>
        </w:rPr>
      </w:pPr>
    </w:p>
    <w:p>
      <w:pPr>
        <w:ind w:left="200" w:right="240"/>
        <w:spacing w:after="0" w:line="286" w:lineRule="auto"/>
        <w:rPr>
          <w:sz w:val="20"/>
          <w:szCs w:val="20"/>
          <w:color w:val="auto"/>
        </w:rPr>
      </w:pPr>
      <w:r>
        <w:rPr>
          <w:rFonts w:ascii="Arial" w:cs="Arial" w:eastAsia="Arial" w:hAnsi="Arial"/>
          <w:sz w:val="17"/>
          <w:szCs w:val="17"/>
          <w:color w:val="auto"/>
        </w:rPr>
        <w:t>It is important for you to read and consider all information contained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166"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166" w:lineRule="exact"/>
        <w:rPr>
          <w:sz w:val="20"/>
          <w:szCs w:val="20"/>
          <w:color w:val="auto"/>
        </w:rPr>
      </w:pPr>
    </w:p>
    <w:p>
      <w:pPr>
        <w:ind w:left="200"/>
        <w:spacing w:after="0" w:line="292"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 respective dates of such documents or such other dates as may be specified therein. Our business, financial condition, liquidity, results of operations and prospects may have changed since those dates.</w:t>
      </w: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S-5 of this prospectus supplement, on page 3 of the accompanying prospectus and in our Annual Report on Form 10-K for the year ended December 31, 2018, filed with the SEC on February 13, 2019,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83" w:lineRule="exact"/>
        <w:rPr>
          <w:sz w:val="20"/>
          <w:szCs w:val="20"/>
          <w:color w:val="auto"/>
        </w:rPr>
      </w:pPr>
    </w:p>
    <w:p>
      <w:pPr>
        <w:ind w:left="1060" w:right="20" w:hanging="316"/>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1060" w:right="280" w:hanging="316"/>
        <w:spacing w:after="0" w:line="264"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60" w:hanging="316"/>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occupancy levels at our properties and the amount of rent that we receive from our properties may be lower than expected,</w:t>
      </w:r>
    </w:p>
    <w:p>
      <w:pPr>
        <w:spacing w:after="0" w:line="142" w:lineRule="exact"/>
        <w:rPr>
          <w:rFonts w:ascii="Arial" w:cs="Arial" w:eastAsia="Arial" w:hAnsi="Arial"/>
          <w:sz w:val="17"/>
          <w:szCs w:val="17"/>
          <w:color w:val="auto"/>
        </w:rPr>
      </w:pPr>
    </w:p>
    <w:p>
      <w:pPr>
        <w:ind w:left="1620" w:hanging="430"/>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that costs associated with the periodic maintenance and repair or renovation of space, insurance and other operations may increase,</w:t>
      </w:r>
    </w:p>
    <w:p>
      <w:pPr>
        <w:spacing w:after="0" w:line="153" w:lineRule="exact"/>
        <w:rPr>
          <w:rFonts w:ascii="Arial" w:cs="Arial" w:eastAsia="Arial" w:hAnsi="Arial"/>
          <w:sz w:val="16"/>
          <w:szCs w:val="16"/>
          <w:color w:val="auto"/>
        </w:rPr>
      </w:pPr>
    </w:p>
    <w:p>
      <w:pPr>
        <w:ind w:left="1620" w:hanging="430"/>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86" w:lineRule="exact"/>
        <w:rPr>
          <w:rFonts w:ascii="Arial" w:cs="Arial" w:eastAsia="Arial" w:hAnsi="Arial"/>
          <w:sz w:val="18"/>
          <w:szCs w:val="18"/>
          <w:color w:val="auto"/>
        </w:rPr>
      </w:pPr>
    </w:p>
    <w:p>
      <w:pPr>
        <w:ind w:left="1060" w:right="260" w:hanging="316"/>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jc w:val="both"/>
        <w:ind w:left="200" w:right="40"/>
        <w:spacing w:after="0" w:line="293" w:lineRule="auto"/>
        <w:rPr>
          <w:sz w:val="20"/>
          <w:szCs w:val="20"/>
          <w:color w:val="auto"/>
        </w:rPr>
      </w:pPr>
      <w:r>
        <w:rPr>
          <w:rFonts w:ascii="Arial" w:cs="Arial" w:eastAsia="Arial" w:hAnsi="Arial"/>
          <w:sz w:val="16"/>
          <w:szCs w:val="16"/>
          <w:color w:val="auto"/>
        </w:rPr>
        <w:t>Federal Realty Investment Trust is an equity REIT specializing in the ownership, management and redevelopment of retail and mixed-use properties. Our properties are located primarily in densely populated and affluent communities in strategically selected metropolitan markets in the Northeast and Mid-Atlantic regions of the United States, California, and South Florida. As of March 31, 2019, we owned or had a majority interest in community and neighborhood shopping centers and mixed-use properties which are operated as 105 predominantly retail real estate projects comprising approximately 24.2 million square feet. In total, the real estate projects were 94.0% leased and 93.0% occupied at March 31, 2019. We have paid quarterly dividends to our shareholders continuously since our founding in 1962 and have increased our dividends per common share for 51 consecutive years.</w:t>
      </w:r>
    </w:p>
    <w:p>
      <w:pPr>
        <w:spacing w:after="0" w:line="165"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supplement or the accompanying prospectus and is not incorporated herein or therein by reference.</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Issuer</w:t>
            </w:r>
          </w:p>
        </w:tc>
        <w:tc>
          <w:tcPr>
            <w:tcW w:w="3900" w:type="dxa"/>
            <w:vAlign w:val="bottom"/>
            <w:gridSpan w:val="2"/>
          </w:tcPr>
          <w:p>
            <w:pPr>
              <w:ind w:left="1300"/>
              <w:spacing w:after="0"/>
              <w:rPr>
                <w:sz w:val="20"/>
                <w:szCs w:val="20"/>
                <w:color w:val="auto"/>
              </w:rPr>
            </w:pPr>
            <w:r>
              <w:rPr>
                <w:rFonts w:ascii="Arial" w:cs="Arial" w:eastAsia="Arial" w:hAnsi="Arial"/>
                <w:sz w:val="18"/>
                <w:szCs w:val="18"/>
                <w:color w:val="auto"/>
                <w:w w:val="98"/>
              </w:rPr>
              <w:t>Federal Realty Investment Trust.</w:t>
            </w:r>
          </w:p>
        </w:tc>
        <w:tc>
          <w:tcPr>
            <w:tcW w:w="2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73"/>
        </w:trPr>
        <w:tc>
          <w:tcPr>
            <w:tcW w:w="2900" w:type="dxa"/>
            <w:vAlign w:val="bottom"/>
          </w:tcPr>
          <w:p>
            <w:pPr>
              <w:spacing w:after="0"/>
              <w:rPr>
                <w:sz w:val="20"/>
                <w:szCs w:val="20"/>
                <w:color w:val="auto"/>
              </w:rPr>
            </w:pPr>
            <w:r>
              <w:rPr>
                <w:rFonts w:ascii="Arial" w:cs="Arial" w:eastAsia="Arial" w:hAnsi="Arial"/>
                <w:sz w:val="18"/>
                <w:szCs w:val="18"/>
                <w:color w:val="auto"/>
              </w:rPr>
              <w:t>Securities offered</w:t>
            </w:r>
          </w:p>
        </w:tc>
        <w:tc>
          <w:tcPr>
            <w:tcW w:w="1740" w:type="dxa"/>
            <w:vAlign w:val="bottom"/>
          </w:tcPr>
          <w:p>
            <w:pPr>
              <w:ind w:left="1300"/>
              <w:spacing w:after="0"/>
              <w:rPr>
                <w:sz w:val="20"/>
                <w:szCs w:val="20"/>
                <w:color w:val="auto"/>
              </w:rPr>
            </w:pPr>
            <w:r>
              <w:rPr>
                <w:rFonts w:ascii="Arial" w:cs="Arial" w:eastAsia="Arial" w:hAnsi="Arial"/>
                <w:sz w:val="18"/>
                <w:szCs w:val="18"/>
                <w:color w:val="auto"/>
              </w:rPr>
              <w:t>$</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million aggregate principal amount of   % Notes due 2029.</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8"/>
        </w:trPr>
        <w:tc>
          <w:tcPr>
            <w:tcW w:w="2900" w:type="dxa"/>
            <w:vAlign w:val="bottom"/>
          </w:tcPr>
          <w:p>
            <w:pPr>
              <w:spacing w:after="0"/>
              <w:rPr>
                <w:sz w:val="20"/>
                <w:szCs w:val="20"/>
                <w:color w:val="auto"/>
              </w:rPr>
            </w:pPr>
            <w:r>
              <w:rPr>
                <w:rFonts w:ascii="Arial" w:cs="Arial" w:eastAsia="Arial" w:hAnsi="Arial"/>
                <w:sz w:val="18"/>
                <w:szCs w:val="18"/>
                <w:color w:val="auto"/>
              </w:rPr>
              <w:t>Maturity</w:t>
            </w:r>
          </w:p>
        </w:tc>
        <w:tc>
          <w:tcPr>
            <w:tcW w:w="7940" w:type="dxa"/>
            <w:vAlign w:val="bottom"/>
            <w:gridSpan w:val="4"/>
          </w:tcPr>
          <w:p>
            <w:pPr>
              <w:ind w:left="1300"/>
              <w:spacing w:after="0"/>
              <w:rPr>
                <w:sz w:val="20"/>
                <w:szCs w:val="20"/>
                <w:color w:val="auto"/>
              </w:rPr>
            </w:pPr>
            <w:r>
              <w:rPr>
                <w:rFonts w:ascii="Arial" w:cs="Arial" w:eastAsia="Arial" w:hAnsi="Arial"/>
                <w:sz w:val="18"/>
                <w:szCs w:val="18"/>
                <w:color w:val="auto"/>
              </w:rPr>
              <w:t>Unless redeemed prior to maturity as described below, the notes will mature on</w:t>
            </w:r>
          </w:p>
        </w:tc>
        <w:tc>
          <w:tcPr>
            <w:tcW w:w="180" w:type="dxa"/>
            <w:vAlign w:val="bottom"/>
          </w:tcPr>
          <w:p>
            <w:pPr>
              <w:jc w:val="right"/>
              <w:ind w:right="90"/>
              <w:spacing w:after="0"/>
              <w:rPr>
                <w:sz w:val="20"/>
                <w:szCs w:val="20"/>
                <w:color w:val="auto"/>
              </w:rPr>
            </w:pPr>
            <w:r>
              <w:rPr>
                <w:rFonts w:ascii="Arial" w:cs="Arial" w:eastAsia="Arial" w:hAnsi="Arial"/>
                <w:sz w:val="10"/>
                <w:szCs w:val="10"/>
                <w:color w:val="auto"/>
                <w:w w:val="70"/>
              </w:rPr>
              <w:t>,</w:t>
            </w:r>
          </w:p>
        </w:tc>
      </w:tr>
      <w:tr>
        <w:trPr>
          <w:trHeight w:val="230"/>
        </w:trPr>
        <w:tc>
          <w:tcPr>
            <w:tcW w:w="2900" w:type="dxa"/>
            <w:vAlign w:val="bottom"/>
          </w:tcPr>
          <w:p>
            <w:pPr>
              <w:spacing w:after="0"/>
              <w:rPr>
                <w:sz w:val="20"/>
                <w:szCs w:val="20"/>
                <w:color w:val="auto"/>
              </w:rPr>
            </w:pPr>
          </w:p>
        </w:tc>
        <w:tc>
          <w:tcPr>
            <w:tcW w:w="1740" w:type="dxa"/>
            <w:vAlign w:val="bottom"/>
          </w:tcPr>
          <w:p>
            <w:pPr>
              <w:ind w:left="1300"/>
              <w:spacing w:after="0"/>
              <w:rPr>
                <w:sz w:val="20"/>
                <w:szCs w:val="20"/>
                <w:color w:val="auto"/>
              </w:rPr>
            </w:pPr>
            <w:r>
              <w:rPr>
                <w:rFonts w:ascii="Arial" w:cs="Arial" w:eastAsia="Arial" w:hAnsi="Arial"/>
                <w:sz w:val="18"/>
                <w:szCs w:val="18"/>
                <w:color w:val="auto"/>
                <w:w w:val="93"/>
              </w:rPr>
              <w:t>2029.</w:t>
            </w:r>
          </w:p>
        </w:tc>
        <w:tc>
          <w:tcPr>
            <w:tcW w:w="21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5"/>
        </w:trPr>
        <w:tc>
          <w:tcPr>
            <w:tcW w:w="29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6500" w:type="dxa"/>
            <w:vAlign w:val="bottom"/>
            <w:gridSpan w:val="3"/>
          </w:tcPr>
          <w:p>
            <w:pPr>
              <w:ind w:left="1300"/>
              <w:spacing w:after="0"/>
              <w:rPr>
                <w:sz w:val="20"/>
                <w:szCs w:val="20"/>
                <w:color w:val="auto"/>
              </w:rPr>
            </w:pPr>
            <w:r>
              <w:rPr>
                <w:rFonts w:ascii="Arial" w:cs="Arial" w:eastAsia="Arial" w:hAnsi="Arial"/>
                <w:sz w:val="18"/>
                <w:szCs w:val="18"/>
                <w:color w:val="auto"/>
              </w:rPr>
              <w:t>Interest on the notes will be payable semi-annually in arrears on</w:t>
            </w:r>
          </w:p>
        </w:tc>
        <w:tc>
          <w:tcPr>
            <w:tcW w:w="1440" w:type="dxa"/>
            <w:vAlign w:val="bottom"/>
          </w:tcPr>
          <w:p>
            <w:pPr>
              <w:ind w:left="380"/>
              <w:spacing w:after="0"/>
              <w:rPr>
                <w:sz w:val="20"/>
                <w:szCs w:val="20"/>
                <w:color w:val="auto"/>
              </w:rPr>
            </w:pPr>
            <w:r>
              <w:rPr>
                <w:rFonts w:ascii="Arial" w:cs="Arial" w:eastAsia="Arial" w:hAnsi="Arial"/>
                <w:sz w:val="18"/>
                <w:szCs w:val="18"/>
                <w:color w:val="auto"/>
              </w:rPr>
              <w:t>and</w:t>
            </w:r>
          </w:p>
        </w:tc>
        <w:tc>
          <w:tcPr>
            <w:tcW w:w="18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3900" w:type="dxa"/>
            <w:vAlign w:val="bottom"/>
            <w:gridSpan w:val="2"/>
          </w:tcPr>
          <w:p>
            <w:pPr>
              <w:ind w:left="1300"/>
              <w:spacing w:after="0"/>
              <w:rPr>
                <w:sz w:val="20"/>
                <w:szCs w:val="20"/>
                <w:color w:val="auto"/>
              </w:rPr>
            </w:pPr>
            <w:r>
              <w:rPr>
                <w:rFonts w:ascii="Arial" w:cs="Arial" w:eastAsia="Arial" w:hAnsi="Arial"/>
                <w:sz w:val="18"/>
                <w:szCs w:val="18"/>
                <w:color w:val="auto"/>
              </w:rPr>
              <w:t>of each year, beginning on</w:t>
            </w:r>
          </w:p>
        </w:tc>
        <w:tc>
          <w:tcPr>
            <w:tcW w:w="4040" w:type="dxa"/>
            <w:vAlign w:val="bottom"/>
            <w:gridSpan w:val="2"/>
          </w:tcPr>
          <w:p>
            <w:pPr>
              <w:ind w:left="240"/>
              <w:spacing w:after="0"/>
              <w:rPr>
                <w:sz w:val="20"/>
                <w:szCs w:val="20"/>
                <w:color w:val="auto"/>
              </w:rPr>
            </w:pPr>
            <w:r>
              <w:rPr>
                <w:rFonts w:ascii="Arial" w:cs="Arial" w:eastAsia="Arial" w:hAnsi="Arial"/>
                <w:sz w:val="18"/>
                <w:szCs w:val="18"/>
                <w:color w:val="auto"/>
                <w:w w:val="96"/>
              </w:rPr>
              <w:t>, 2019, and at maturity (or any earlier redemption</w:t>
            </w:r>
          </w:p>
        </w:tc>
        <w:tc>
          <w:tcPr>
            <w:tcW w:w="180" w:type="dxa"/>
            <w:vAlign w:val="bottom"/>
          </w:tcPr>
          <w:p>
            <w:pPr>
              <w:spacing w:after="0"/>
              <w:rPr>
                <w:sz w:val="18"/>
                <w:szCs w:val="18"/>
                <w:color w:val="auto"/>
              </w:rPr>
            </w:pPr>
          </w:p>
        </w:tc>
      </w:tr>
      <w:tr>
        <w:trPr>
          <w:trHeight w:val="230"/>
        </w:trPr>
        <w:tc>
          <w:tcPr>
            <w:tcW w:w="2900" w:type="dxa"/>
            <w:vAlign w:val="bottom"/>
          </w:tcPr>
          <w:p>
            <w:pPr>
              <w:spacing w:after="0"/>
              <w:rPr>
                <w:sz w:val="20"/>
                <w:szCs w:val="20"/>
                <w:color w:val="auto"/>
              </w:rPr>
            </w:pPr>
          </w:p>
        </w:tc>
        <w:tc>
          <w:tcPr>
            <w:tcW w:w="1740" w:type="dxa"/>
            <w:vAlign w:val="bottom"/>
          </w:tcPr>
          <w:p>
            <w:pPr>
              <w:ind w:left="1300"/>
              <w:spacing w:after="0"/>
              <w:rPr>
                <w:sz w:val="20"/>
                <w:szCs w:val="20"/>
                <w:color w:val="auto"/>
              </w:rPr>
            </w:pPr>
            <w:r>
              <w:rPr>
                <w:rFonts w:ascii="Arial" w:cs="Arial" w:eastAsia="Arial" w:hAnsi="Arial"/>
                <w:sz w:val="18"/>
                <w:szCs w:val="18"/>
                <w:color w:val="auto"/>
                <w:w w:val="91"/>
              </w:rPr>
              <w:t>date).</w:t>
            </w:r>
          </w:p>
        </w:tc>
        <w:tc>
          <w:tcPr>
            <w:tcW w:w="21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5"/>
        </w:trPr>
        <w:tc>
          <w:tcPr>
            <w:tcW w:w="2900" w:type="dxa"/>
            <w:vAlign w:val="bottom"/>
          </w:tcPr>
          <w:p>
            <w:pPr>
              <w:spacing w:after="0"/>
              <w:rPr>
                <w:sz w:val="20"/>
                <w:szCs w:val="20"/>
                <w:color w:val="auto"/>
              </w:rPr>
            </w:pPr>
            <w:r>
              <w:rPr>
                <w:rFonts w:ascii="Arial" w:cs="Arial" w:eastAsia="Arial" w:hAnsi="Arial"/>
                <w:sz w:val="18"/>
                <w:szCs w:val="18"/>
                <w:color w:val="auto"/>
              </w:rPr>
              <w:t>Ranking</w:t>
            </w:r>
          </w:p>
        </w:tc>
        <w:tc>
          <w:tcPr>
            <w:tcW w:w="7940" w:type="dxa"/>
            <w:vAlign w:val="bottom"/>
            <w:gridSpan w:val="4"/>
          </w:tcPr>
          <w:p>
            <w:pPr>
              <w:ind w:left="1300"/>
              <w:spacing w:after="0"/>
              <w:rPr>
                <w:sz w:val="20"/>
                <w:szCs w:val="20"/>
                <w:color w:val="auto"/>
              </w:rPr>
            </w:pPr>
            <w:r>
              <w:rPr>
                <w:rFonts w:ascii="Arial" w:cs="Arial" w:eastAsia="Arial" w:hAnsi="Arial"/>
                <w:sz w:val="18"/>
                <w:szCs w:val="18"/>
                <w:color w:val="auto"/>
                <w:w w:val="91"/>
              </w:rPr>
              <w:t xml:space="preserve">The notes will be our senior unsecured obligations and will rank </w:t>
            </w:r>
            <w:r>
              <w:rPr>
                <w:rFonts w:ascii="Arial" w:cs="Arial" w:eastAsia="Arial" w:hAnsi="Arial"/>
                <w:sz w:val="18"/>
                <w:szCs w:val="18"/>
                <w:i w:val="1"/>
                <w:iCs w:val="1"/>
                <w:color w:val="auto"/>
                <w:w w:val="91"/>
              </w:rPr>
              <w:t>pari passu</w:t>
            </w:r>
            <w:r>
              <w:rPr>
                <w:rFonts w:ascii="Arial" w:cs="Arial" w:eastAsia="Arial" w:hAnsi="Arial"/>
                <w:sz w:val="18"/>
                <w:szCs w:val="18"/>
                <w:color w:val="auto"/>
                <w:w w:val="91"/>
              </w:rPr>
              <w:t>, or equally, with</w:t>
            </w:r>
          </w:p>
        </w:tc>
        <w:tc>
          <w:tcPr>
            <w:tcW w:w="18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7940" w:type="dxa"/>
            <w:vAlign w:val="bottom"/>
            <w:gridSpan w:val="4"/>
          </w:tcPr>
          <w:p>
            <w:pPr>
              <w:ind w:left="1300"/>
              <w:spacing w:after="0"/>
              <w:rPr>
                <w:sz w:val="20"/>
                <w:szCs w:val="20"/>
                <w:color w:val="auto"/>
              </w:rPr>
            </w:pPr>
            <w:r>
              <w:rPr>
                <w:rFonts w:ascii="Arial" w:cs="Arial" w:eastAsia="Arial" w:hAnsi="Arial"/>
                <w:sz w:val="18"/>
                <w:szCs w:val="18"/>
                <w:color w:val="auto"/>
                <w:w w:val="93"/>
              </w:rPr>
              <w:t>all of our other unsecured and unsubordinated indebtedness. The notes will be effectively</w:t>
            </w:r>
          </w:p>
        </w:tc>
        <w:tc>
          <w:tcPr>
            <w:tcW w:w="18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8120" w:type="dxa"/>
            <w:vAlign w:val="bottom"/>
            <w:gridSpan w:val="5"/>
          </w:tcPr>
          <w:p>
            <w:pPr>
              <w:ind w:left="1300"/>
              <w:spacing w:after="0"/>
              <w:rPr>
                <w:sz w:val="20"/>
                <w:szCs w:val="20"/>
                <w:color w:val="auto"/>
              </w:rPr>
            </w:pPr>
            <w:r>
              <w:rPr>
                <w:rFonts w:ascii="Arial" w:cs="Arial" w:eastAsia="Arial" w:hAnsi="Arial"/>
                <w:sz w:val="18"/>
                <w:szCs w:val="18"/>
                <w:color w:val="auto"/>
                <w:w w:val="91"/>
              </w:rPr>
              <w:t>subordinated to the prior claims of each secured mortgage lender to any specific property that</w:t>
            </w:r>
          </w:p>
        </w:tc>
      </w:tr>
      <w:tr>
        <w:trPr>
          <w:trHeight w:val="230"/>
        </w:trPr>
        <w:tc>
          <w:tcPr>
            <w:tcW w:w="2900" w:type="dxa"/>
            <w:vAlign w:val="bottom"/>
          </w:tcPr>
          <w:p>
            <w:pPr>
              <w:spacing w:after="0"/>
              <w:rPr>
                <w:sz w:val="20"/>
                <w:szCs w:val="20"/>
                <w:color w:val="auto"/>
              </w:rPr>
            </w:pPr>
          </w:p>
        </w:tc>
        <w:tc>
          <w:tcPr>
            <w:tcW w:w="8120" w:type="dxa"/>
            <w:vAlign w:val="bottom"/>
            <w:gridSpan w:val="5"/>
          </w:tcPr>
          <w:p>
            <w:pPr>
              <w:ind w:left="1300"/>
              <w:spacing w:after="0"/>
              <w:rPr>
                <w:sz w:val="20"/>
                <w:szCs w:val="20"/>
                <w:color w:val="auto"/>
              </w:rPr>
            </w:pPr>
            <w:r>
              <w:rPr>
                <w:rFonts w:ascii="Arial" w:cs="Arial" w:eastAsia="Arial" w:hAnsi="Arial"/>
                <w:sz w:val="18"/>
                <w:szCs w:val="18"/>
                <w:color w:val="auto"/>
                <w:w w:val="89"/>
              </w:rPr>
              <w:t>secures such lender’s mortgage and to all of the unsecured indebtedness of our subsidiaries. At</w:t>
            </w:r>
          </w:p>
        </w:tc>
      </w:tr>
    </w:tbl>
    <w:p>
      <w:pPr>
        <w:ind w:left="4400" w:right="40"/>
        <w:spacing w:after="0" w:line="251" w:lineRule="auto"/>
        <w:rPr>
          <w:sz w:val="20"/>
          <w:szCs w:val="20"/>
          <w:color w:val="auto"/>
        </w:rPr>
      </w:pPr>
      <w:r>
        <w:rPr>
          <w:rFonts w:ascii="Arial" w:cs="Arial" w:eastAsia="Arial" w:hAnsi="Arial"/>
          <w:sz w:val="18"/>
          <w:szCs w:val="18"/>
          <w:color w:val="auto"/>
        </w:rPr>
        <w:t>March 31, 2019, we had outstanding approximately $454 million (excluding net unamortized premium and debt issuance costs) of consolidated secured indebtedness, which was issued by our subsidiaries and is collateralized by all or parts of 12 properties, and which will rank senior to the notes to the extent of the securing collateral and will also be structurally senior to the notes, approximately $4 million (excluding net unamortized debt issuance costs) of unsecured indebtedness issued by our subsidiaries, which will be structurally senior to the notes, and approximately $2,714 million of unsecured indebtedness (excluding net unamortized discount or premium and debt issuance costs), which will rank equally with the notes.</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9">
              <w:r>
                <w:rPr>
                  <w:rFonts w:ascii="Arial" w:cs="Arial" w:eastAsia="Arial" w:hAnsi="Arial"/>
                  <w:sz w:val="18"/>
                  <w:szCs w:val="18"/>
                  <w:b w:val="1"/>
                  <w:bCs w:val="1"/>
                  <w:color w:val="0000EE"/>
                  <w:w w:val="88"/>
                </w:rPr>
                <w:t>Table of Contents</w:t>
              </w:r>
            </w:hyperlink>
          </w:p>
        </w:tc>
        <w:tc>
          <w:tcPr>
            <w:tcW w:w="2140" w:type="dxa"/>
            <w:vAlign w:val="bottom"/>
          </w:tcPr>
          <w:p>
            <w:pPr>
              <w:spacing w:after="0"/>
              <w:rPr>
                <w:sz w:val="17"/>
                <w:szCs w:val="17"/>
                <w:color w:val="auto"/>
              </w:rPr>
            </w:pPr>
          </w:p>
        </w:tc>
        <w:tc>
          <w:tcPr>
            <w:tcW w:w="7720" w:type="dxa"/>
            <w:vAlign w:val="bottom"/>
          </w:tcPr>
          <w:p>
            <w:pPr>
              <w:spacing w:after="0"/>
              <w:rPr>
                <w:sz w:val="17"/>
                <w:szCs w:val="17"/>
                <w:color w:val="auto"/>
              </w:rPr>
            </w:pPr>
          </w:p>
        </w:tc>
      </w:tr>
      <w:tr>
        <w:trPr>
          <w:trHeight w:val="519"/>
        </w:trPr>
        <w:tc>
          <w:tcPr>
            <w:tcW w:w="3500" w:type="dxa"/>
            <w:vAlign w:val="bottom"/>
            <w:gridSpan w:val="2"/>
          </w:tcPr>
          <w:p>
            <w:pPr>
              <w:ind w:left="200"/>
              <w:spacing w:after="0"/>
              <w:rPr>
                <w:sz w:val="20"/>
                <w:szCs w:val="20"/>
                <w:color w:val="auto"/>
              </w:rPr>
            </w:pPr>
            <w:r>
              <w:rPr>
                <w:rFonts w:ascii="Arial" w:cs="Arial" w:eastAsia="Arial" w:hAnsi="Arial"/>
                <w:sz w:val="18"/>
                <w:szCs w:val="18"/>
                <w:color w:val="auto"/>
              </w:rPr>
              <w:t>Use of proceeds</w:t>
            </w:r>
          </w:p>
        </w:tc>
        <w:tc>
          <w:tcPr>
            <w:tcW w:w="7720" w:type="dxa"/>
            <w:vAlign w:val="bottom"/>
          </w:tcPr>
          <w:p>
            <w:pPr>
              <w:ind w:left="900"/>
              <w:spacing w:after="0"/>
              <w:rPr>
                <w:sz w:val="20"/>
                <w:szCs w:val="20"/>
                <w:color w:val="auto"/>
              </w:rPr>
            </w:pPr>
            <w:r>
              <w:rPr>
                <w:rFonts w:ascii="Arial" w:cs="Arial" w:eastAsia="Arial" w:hAnsi="Arial"/>
                <w:sz w:val="18"/>
                <w:szCs w:val="18"/>
                <w:color w:val="auto"/>
                <w:w w:val="91"/>
              </w:rPr>
              <w:t>We intend to use the net proceeds from this offering to repay in full the outstanding balance of</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7"/>
              </w:rPr>
              <w:t>our unsecured term loan and for general corporate purposes. See “Use of Proceeds” on</w:t>
            </w:r>
          </w:p>
        </w:tc>
      </w:tr>
      <w:tr>
        <w:trPr>
          <w:trHeight w:val="230"/>
        </w:trPr>
        <w:tc>
          <w:tcPr>
            <w:tcW w:w="1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page S-7 for more information.</w:t>
            </w:r>
          </w:p>
        </w:tc>
      </w:tr>
      <w:tr>
        <w:trPr>
          <w:trHeight w:val="459"/>
        </w:trPr>
        <w:tc>
          <w:tcPr>
            <w:tcW w:w="3500" w:type="dxa"/>
            <w:vAlign w:val="bottom"/>
            <w:gridSpan w:val="2"/>
          </w:tcPr>
          <w:p>
            <w:pPr>
              <w:ind w:left="200"/>
              <w:spacing w:after="0"/>
              <w:rPr>
                <w:sz w:val="20"/>
                <w:szCs w:val="20"/>
                <w:color w:val="auto"/>
              </w:rPr>
            </w:pPr>
            <w:r>
              <w:rPr>
                <w:rFonts w:ascii="Arial" w:cs="Arial" w:eastAsia="Arial" w:hAnsi="Arial"/>
                <w:sz w:val="18"/>
                <w:szCs w:val="18"/>
                <w:color w:val="auto"/>
              </w:rPr>
              <w:t>Limitations on incurrence of debt</w:t>
            </w:r>
          </w:p>
        </w:tc>
        <w:tc>
          <w:tcPr>
            <w:tcW w:w="7720" w:type="dxa"/>
            <w:vAlign w:val="bottom"/>
          </w:tcPr>
          <w:p>
            <w:pPr>
              <w:ind w:left="900"/>
              <w:spacing w:after="0"/>
              <w:rPr>
                <w:sz w:val="20"/>
                <w:szCs w:val="20"/>
                <w:color w:val="auto"/>
              </w:rPr>
            </w:pPr>
            <w:r>
              <w:rPr>
                <w:rFonts w:ascii="Arial" w:cs="Arial" w:eastAsia="Arial" w:hAnsi="Arial"/>
                <w:sz w:val="18"/>
                <w:szCs w:val="18"/>
                <w:color w:val="auto"/>
              </w:rPr>
              <w:t>The notes contain various covenants, including the following:</w:t>
            </w:r>
          </w:p>
        </w:tc>
      </w:tr>
      <w:tr>
        <w:trPr>
          <w:trHeight w:val="458"/>
        </w:trPr>
        <w:tc>
          <w:tcPr>
            <w:tcW w:w="1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8"/>
              </w:rPr>
              <w:t>(1) we will not, and will not permit any subsidiary to, incur any Debt if, immediately after</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4"/>
              </w:rPr>
              <w:t>giving effect to the incurrence of such Debt and the application of the proceeds thereof, the</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aggregate principal amount of all of our and our subsidiaries’ outstanding Debt on a</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1"/>
              </w:rPr>
              <w:t>consolidated basis determined in accordance with generally accepted accounting principles is</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6"/>
              </w:rPr>
              <w:t>greater than 60% of the sum of (without duplication) (a) Total Assets as of the end of the</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calendar quarter covered in our Annual Report on Form 10-K or Quarterly Report on</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7"/>
              </w:rPr>
              <w:t>Form 10-Q, as the case may be, most recently filed with the SEC (or, if such filing is not</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3"/>
              </w:rPr>
              <w:t>permitted under the Exchange Act, with U.S. Bank National Association, the trustee) prior to</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2"/>
              </w:rPr>
              <w:t>the incurrence of such additional Debt and (b) the purchase price of any real estate assets or</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89"/>
              </w:rPr>
              <w:t>mortgages receivable acquired, and the amount of any securities offering proceeds received (to</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88"/>
              </w:rPr>
              <w:t>the extent such proceeds were not used to acquire real estate assets or mortgages receivable or</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0"/>
              </w:rPr>
              <w:t>used to reduce Debt), by us or any subsidiary since the end of such calendar quarter, including</w:t>
            </w:r>
          </w:p>
        </w:tc>
      </w:tr>
      <w:tr>
        <w:trPr>
          <w:trHeight w:val="230"/>
        </w:trPr>
        <w:tc>
          <w:tcPr>
            <w:tcW w:w="1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those proceeds obtained in connection with the incurrence of such additional Debt;</w:t>
            </w:r>
          </w:p>
        </w:tc>
      </w:tr>
      <w:tr>
        <w:trPr>
          <w:trHeight w:val="445"/>
        </w:trPr>
        <w:tc>
          <w:tcPr>
            <w:tcW w:w="1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(2) we will not, and will not permit any subsidiary to, incur any Debt secured by any</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2"/>
              </w:rPr>
              <w:t>mortgage, lien, charge, pledge, encumbrance or security interest of any kind upon any of our</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7"/>
              </w:rPr>
              <w:t>or any of our subsidiaries’ property if, immediately after giving effect to the incurrence of</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0"/>
              </w:rPr>
              <w:t>such Debt and the application of the proceeds thereof, the aggregate principal amount of all of</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3"/>
              </w:rPr>
              <w:t>our and our subsidiaries’ outstanding Debt on a consolidated basis which is secured by any</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3"/>
              </w:rPr>
              <w:t>mortgage, lien, charge, pledge, encumbrance or security interest on our or our subsidiaries’</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1"/>
              </w:rPr>
              <w:t>property is greater than 40% of the sum of (without duplication) (a) Total Assets as of the end</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4"/>
              </w:rPr>
              <w:t>of the calendar quarter covered in our Annual Report on Form 10-K or Quarterly Report on</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7"/>
              </w:rPr>
              <w:t>Form 10-Q, as the case may be, most recently filed with the SEC (or, if such filing is not</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2"/>
              </w:rPr>
              <w:t>permitted under the Exchange Act, with the trustee) prior to the incurrence of such additional</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88"/>
              </w:rPr>
              <w:t>Debt and (b) the purchase price of any real estate assets or mortgages receivable acquired, and</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0"/>
              </w:rPr>
              <w:t>the amount of any securities offering proceeds received (to the extent such proceeds were not</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88"/>
              </w:rPr>
              <w:t>used to acquire real estate assets or mortgages receivable or used to reduce Debt), by us or any</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7"/>
              </w:rPr>
              <w:t>subsidiary since the end of such calendar quarter, including those proceeds obtained in</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6"/>
              </w:rPr>
              <w:t xml:space="preserve">connection with the incurrence of such additional Debt; </w:t>
            </w:r>
            <w:r>
              <w:rPr>
                <w:rFonts w:ascii="Arial" w:cs="Arial" w:eastAsia="Arial" w:hAnsi="Arial"/>
                <w:sz w:val="18"/>
                <w:szCs w:val="18"/>
                <w:i w:val="1"/>
                <w:iCs w:val="1"/>
                <w:color w:val="auto"/>
                <w:w w:val="96"/>
              </w:rPr>
              <w:t>provided that</w:t>
            </w:r>
            <w:r>
              <w:rPr>
                <w:rFonts w:ascii="Arial" w:cs="Arial" w:eastAsia="Arial" w:hAnsi="Arial"/>
                <w:sz w:val="18"/>
                <w:szCs w:val="18"/>
                <w:color w:val="auto"/>
                <w:w w:val="96"/>
              </w:rPr>
              <w:t xml:space="preserve"> for purposes of this</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limitation, the amount of obligations under capital leases shown as a liability on our</w:t>
            </w:r>
          </w:p>
        </w:tc>
      </w:tr>
      <w:tr>
        <w:trPr>
          <w:trHeight w:val="230"/>
        </w:trPr>
        <w:tc>
          <w:tcPr>
            <w:tcW w:w="1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consolidated balance sheet shall be deducted from Debt and from Total Assets;</w:t>
            </w:r>
          </w:p>
        </w:tc>
      </w:tr>
      <w:tr>
        <w:trPr>
          <w:trHeight w:val="445"/>
        </w:trPr>
        <w:tc>
          <w:tcPr>
            <w:tcW w:w="1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(3) we will not, and will not permit any subsidiary to, incur any Debt if the ratio of</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4"/>
              </w:rPr>
              <w:t>Consolidated Income Available for Debt Service to the Annual Debt Service Charge for the</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0"/>
              </w:rPr>
              <w:t>four consecutive fiscal quarters most recently ended prior to the date on which such additional</w:t>
            </w:r>
          </w:p>
        </w:tc>
      </w:tr>
      <w:tr>
        <w:trPr>
          <w:trHeight w:val="230"/>
        </w:trPr>
        <w:tc>
          <w:tcPr>
            <w:tcW w:w="1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Debt</w:t>
            </w:r>
          </w:p>
        </w:tc>
      </w:tr>
      <w:tr>
        <w:trPr>
          <w:trHeight w:val="365"/>
        </w:trPr>
        <w:tc>
          <w:tcPr>
            <w:tcW w:w="1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720" w:type="dxa"/>
            <w:vAlign w:val="bottom"/>
          </w:tcPr>
          <w:p>
            <w:pPr>
              <w:ind w:left="2080"/>
              <w:spacing w:after="0"/>
              <w:rPr>
                <w:sz w:val="20"/>
                <w:szCs w:val="20"/>
                <w:color w:val="auto"/>
              </w:rPr>
            </w:pPr>
            <w:r>
              <w:rPr>
                <w:rFonts w:ascii="Arial" w:cs="Arial" w:eastAsia="Arial" w:hAnsi="Arial"/>
                <w:sz w:val="18"/>
                <w:szCs w:val="18"/>
                <w:color w:val="auto"/>
              </w:rPr>
              <w:t>S-2</w:t>
            </w:r>
          </w:p>
        </w:tc>
      </w:tr>
    </w:tbl>
    <w:p>
      <w:pPr>
        <w:ind w:left="2080"/>
        <w:spacing w:after="0"/>
        <w:rPr>
          <w:sz w:val="20"/>
          <w:szCs w:val="20"/>
          <w:color w:val="auto"/>
        </w:rPr>
        <w:sectPr>
          <w:pgSz w:w="11900" w:h="16838" w:orient="portrait"/>
          <w:cols w:equalWidth="0" w:num="1">
            <w:col w:w="11220"/>
          </w:cols>
          <w:pgMar w:left="24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07"/>
        </w:trPr>
        <w:tc>
          <w:tcPr>
            <w:tcW w:w="3840" w:type="dxa"/>
            <w:vAlign w:val="bottom"/>
            <w:gridSpan w:val="2"/>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Table of Contents</w:t>
              </w:r>
            </w:hyperlink>
          </w:p>
        </w:tc>
        <w:tc>
          <w:tcPr>
            <w:tcW w:w="2280" w:type="dxa"/>
            <w:vAlign w:val="bottom"/>
          </w:tcPr>
          <w:p>
            <w:pPr>
              <w:spacing w:after="0"/>
              <w:rPr>
                <w:sz w:val="17"/>
                <w:szCs w:val="17"/>
                <w:color w:val="auto"/>
              </w:rPr>
            </w:pPr>
          </w:p>
        </w:tc>
        <w:tc>
          <w:tcPr>
            <w:tcW w:w="508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2480" w:type="dxa"/>
            <w:vAlign w:val="bottom"/>
          </w:tcPr>
          <w:p>
            <w:pPr>
              <w:spacing w:after="0"/>
              <w:rPr>
                <w:sz w:val="24"/>
                <w:szCs w:val="24"/>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5"/>
              </w:rPr>
              <w:t>is to be incurred shall have been less than 1.5 to 1, on an unaudited pro forma basis after</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4"/>
              </w:rPr>
              <w:t>giving effect thereto and to the application of the proceeds therefrom and calculated on the</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2"/>
              </w:rPr>
              <w:t>assumption that: (a) such Debt and any other Debt incurred by us and our subsidiaries since</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9"/>
              </w:rPr>
              <w:t>the first day of such four-quarter period and the application of the proceeds therefrom,</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8"/>
              </w:rPr>
              <w:t>including to refinance other Debt, had occurred at the beginning of such period; (b) the</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4"/>
              </w:rPr>
              <w:t>repayment or retirement of any other Debt by us and our subsidiaries since the first day of</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4"/>
              </w:rPr>
              <w:t>such four-quarter period had been repaid or retired at the beginning of such period (except</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2"/>
              </w:rPr>
              <w:t>that, in making such computation, the amount of Debt under any revolving credit facility shall</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89"/>
              </w:rPr>
              <w:t>be computed based upon the average daily balance of such Debt during such period); (c) in the</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3"/>
              </w:rPr>
              <w:t>case of Acquired Debt or Debt incurred in connection with any acquisition since the first day</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5"/>
              </w:rPr>
              <w:t>of such four-quarter period, the related acquisition had occurred as of the first day of such</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4"/>
              </w:rPr>
              <w:t>period, with the appropriate adjustments with respect to such acquisition being included in</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2"/>
              </w:rPr>
              <w:t>such unaudited pro forma calculation; and (d) in the case of any acquisition or disposition by</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2"/>
              </w:rPr>
              <w:t>us or our subsidiaries of any asset or group of assets since the first day of such four-quarter</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0"/>
              </w:rPr>
              <w:t>period, whether by merger, stock purchase or sale, or asset purchase or sale, such acquisition</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0"/>
              </w:rPr>
              <w:t>or disposition or any related repayment of Debt had occurred as of the first day of such period,</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0"/>
              </w:rPr>
              <w:t>with the appropriate adjustments with respect to such acquisition or disposition being included</w:t>
            </w:r>
          </w:p>
        </w:tc>
      </w:tr>
      <w:tr>
        <w:trPr>
          <w:trHeight w:val="230"/>
        </w:trPr>
        <w:tc>
          <w:tcPr>
            <w:tcW w:w="1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rPr>
              <w:t>in such unaudited pro forma calculation; and</w:t>
            </w:r>
          </w:p>
        </w:tc>
      </w:tr>
      <w:tr>
        <w:trPr>
          <w:trHeight w:val="445"/>
        </w:trPr>
        <w:tc>
          <w:tcPr>
            <w:tcW w:w="13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0"/>
              </w:rPr>
              <w:t>(4) we, together with our subsidiaries, will maintain an Unencumbered Total Asset Value in an</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0"/>
              </w:rPr>
              <w:t>amount not less than 150% of the aggregate outstanding principal amount of all of our and our</w:t>
            </w:r>
          </w:p>
        </w:tc>
      </w:tr>
      <w:tr>
        <w:trPr>
          <w:trHeight w:val="230"/>
        </w:trPr>
        <w:tc>
          <w:tcPr>
            <w:tcW w:w="1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rPr>
              <w:t>subsidiaries’ unsecured Debt, taken as a whole.</w:t>
            </w:r>
          </w:p>
        </w:tc>
      </w:tr>
      <w:tr>
        <w:trPr>
          <w:trHeight w:val="445"/>
        </w:trPr>
        <w:tc>
          <w:tcPr>
            <w:tcW w:w="3840" w:type="dxa"/>
            <w:vAlign w:val="bottom"/>
            <w:gridSpan w:val="2"/>
          </w:tcPr>
          <w:p>
            <w:pPr>
              <w:ind w:left="200"/>
              <w:spacing w:after="0"/>
              <w:rPr>
                <w:sz w:val="20"/>
                <w:szCs w:val="20"/>
                <w:color w:val="auto"/>
              </w:rPr>
            </w:pPr>
            <w:r>
              <w:rPr>
                <w:rFonts w:ascii="Arial" w:cs="Arial" w:eastAsia="Arial" w:hAnsi="Arial"/>
                <w:sz w:val="18"/>
                <w:szCs w:val="18"/>
                <w:color w:val="auto"/>
              </w:rPr>
              <w:t>Optional redemption</w:t>
            </w: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4"/>
              </w:rPr>
              <w:t>The notes will be redeemable at any time at our option, in whole or in part. If the notes are</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80" w:type="dxa"/>
            <w:vAlign w:val="bottom"/>
          </w:tcPr>
          <w:p>
            <w:pPr>
              <w:ind w:left="560"/>
              <w:spacing w:after="0"/>
              <w:rPr>
                <w:sz w:val="20"/>
                <w:szCs w:val="20"/>
                <w:color w:val="auto"/>
              </w:rPr>
            </w:pPr>
            <w:r>
              <w:rPr>
                <w:rFonts w:ascii="Arial" w:cs="Arial" w:eastAsia="Arial" w:hAnsi="Arial"/>
                <w:sz w:val="18"/>
                <w:szCs w:val="18"/>
                <w:color w:val="auto"/>
              </w:rPr>
              <w:t>redeemed before</w:t>
            </w:r>
          </w:p>
        </w:tc>
        <w:tc>
          <w:tcPr>
            <w:tcW w:w="5080" w:type="dxa"/>
            <w:vAlign w:val="bottom"/>
          </w:tcPr>
          <w:p>
            <w:pPr>
              <w:jc w:val="center"/>
              <w:ind w:left="10"/>
              <w:spacing w:after="0"/>
              <w:rPr>
                <w:sz w:val="20"/>
                <w:szCs w:val="20"/>
                <w:color w:val="auto"/>
              </w:rPr>
            </w:pPr>
            <w:r>
              <w:rPr>
                <w:rFonts w:ascii="Arial" w:cs="Arial" w:eastAsia="Arial" w:hAnsi="Arial"/>
                <w:sz w:val="18"/>
                <w:szCs w:val="18"/>
                <w:color w:val="auto"/>
                <w:w w:val="94"/>
              </w:rPr>
              <w:t>(   months prior to the maturity date), the redemption price will</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3"/>
              </w:rPr>
              <w:t>be equal to the greater of (1) 100% of the principal amount of the notes being redeemed, or</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7"/>
              </w:rPr>
              <w:t>(2) the sum of the present values of the remaining scheduled payments of principal and</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3"/>
              </w:rPr>
              <w:t>interest thereon, discounted to the redemption date on a semi-annual basis at the Adjusted</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80" w:type="dxa"/>
            <w:vAlign w:val="bottom"/>
          </w:tcPr>
          <w:p>
            <w:pPr>
              <w:ind w:left="560"/>
              <w:spacing w:after="0"/>
              <w:rPr>
                <w:sz w:val="20"/>
                <w:szCs w:val="20"/>
                <w:color w:val="auto"/>
              </w:rPr>
            </w:pPr>
            <w:r>
              <w:rPr>
                <w:rFonts w:ascii="Arial" w:cs="Arial" w:eastAsia="Arial" w:hAnsi="Arial"/>
                <w:sz w:val="18"/>
                <w:szCs w:val="18"/>
                <w:color w:val="auto"/>
              </w:rPr>
              <w:t>Treasury Rate plus</w:t>
            </w:r>
          </w:p>
        </w:tc>
        <w:tc>
          <w:tcPr>
            <w:tcW w:w="5080" w:type="dxa"/>
            <w:vAlign w:val="bottom"/>
          </w:tcPr>
          <w:p>
            <w:pPr>
              <w:jc w:val="center"/>
              <w:ind w:left="10"/>
              <w:spacing w:after="0"/>
              <w:rPr>
                <w:sz w:val="20"/>
                <w:szCs w:val="20"/>
                <w:color w:val="auto"/>
              </w:rPr>
            </w:pPr>
            <w:r>
              <w:rPr>
                <w:rFonts w:ascii="Arial" w:cs="Arial" w:eastAsia="Arial" w:hAnsi="Arial"/>
                <w:sz w:val="18"/>
                <w:szCs w:val="18"/>
                <w:color w:val="auto"/>
                <w:w w:val="90"/>
              </w:rPr>
              <w:t>basis points (0.  %), plus, in each case, accrued and unpaid</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2"/>
              </w:rPr>
              <w:t>interest thereon to, but excluding, the redemption date. If the notes are redeemed on or after</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1320"/>
              <w:spacing w:after="0"/>
              <w:rPr>
                <w:sz w:val="20"/>
                <w:szCs w:val="20"/>
                <w:color w:val="auto"/>
              </w:rPr>
            </w:pPr>
            <w:r>
              <w:rPr>
                <w:rFonts w:ascii="Arial" w:cs="Arial" w:eastAsia="Arial" w:hAnsi="Arial"/>
                <w:sz w:val="18"/>
                <w:szCs w:val="18"/>
                <w:color w:val="auto"/>
                <w:w w:val="94"/>
              </w:rPr>
              <w:t>(   months prior to the maturity date), the redemption price will be equal to 100%</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0"/>
              </w:rPr>
              <w:t>of the principal amount of the notes being redeemed plus accrued and unpaid interest thereon</w:t>
            </w:r>
          </w:p>
        </w:tc>
      </w:tr>
      <w:tr>
        <w:trPr>
          <w:trHeight w:val="230"/>
        </w:trPr>
        <w:tc>
          <w:tcPr>
            <w:tcW w:w="1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rPr>
              <w:t>to, but excluding, the redemption date.</w:t>
            </w:r>
          </w:p>
        </w:tc>
      </w:tr>
      <w:tr>
        <w:trPr>
          <w:trHeight w:val="459"/>
        </w:trPr>
        <w:tc>
          <w:tcPr>
            <w:tcW w:w="13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rPr>
              <w:t>See “Description of Notes — Optional Redemption” for more information.</w:t>
            </w:r>
          </w:p>
        </w:tc>
      </w:tr>
      <w:tr>
        <w:trPr>
          <w:trHeight w:val="445"/>
        </w:trPr>
        <w:tc>
          <w:tcPr>
            <w:tcW w:w="3840" w:type="dxa"/>
            <w:vAlign w:val="bottom"/>
            <w:gridSpan w:val="2"/>
          </w:tcPr>
          <w:p>
            <w:pPr>
              <w:ind w:left="200"/>
              <w:spacing w:after="0"/>
              <w:rPr>
                <w:sz w:val="20"/>
                <w:szCs w:val="20"/>
                <w:color w:val="auto"/>
              </w:rPr>
            </w:pPr>
            <w:r>
              <w:rPr>
                <w:rFonts w:ascii="Arial" w:cs="Arial" w:eastAsia="Arial" w:hAnsi="Arial"/>
                <w:sz w:val="18"/>
                <w:szCs w:val="18"/>
                <w:color w:val="auto"/>
              </w:rPr>
              <w:t>Material federal income tax considerations</w:t>
            </w: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3"/>
              </w:rPr>
              <w:t>For a description of the material U.S. federal income tax considerations of an investment in</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7"/>
              </w:rPr>
              <w:t>the notes, please review the disclosure in this prospectus supplement under “Additional</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5"/>
              </w:rPr>
              <w:t>Material Federal Income Tax Considerations” and in the accompanying prospectus under</w:t>
            </w:r>
          </w:p>
        </w:tc>
      </w:tr>
      <w:tr>
        <w:trPr>
          <w:trHeight w:val="230"/>
        </w:trPr>
        <w:tc>
          <w:tcPr>
            <w:tcW w:w="1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rPr>
              <w:t>“Material Federal Income Tax Considerations.”</w:t>
            </w:r>
          </w:p>
        </w:tc>
      </w:tr>
      <w:tr>
        <w:trPr>
          <w:trHeight w:val="445"/>
        </w:trPr>
        <w:tc>
          <w:tcPr>
            <w:tcW w:w="3840" w:type="dxa"/>
            <w:vAlign w:val="bottom"/>
            <w:gridSpan w:val="2"/>
          </w:tcPr>
          <w:p>
            <w:pPr>
              <w:ind w:left="200"/>
              <w:spacing w:after="0"/>
              <w:rPr>
                <w:sz w:val="20"/>
                <w:szCs w:val="20"/>
                <w:color w:val="auto"/>
              </w:rPr>
            </w:pPr>
            <w:r>
              <w:rPr>
                <w:rFonts w:ascii="Arial" w:cs="Arial" w:eastAsia="Arial" w:hAnsi="Arial"/>
                <w:sz w:val="18"/>
                <w:szCs w:val="18"/>
                <w:color w:val="auto"/>
              </w:rPr>
              <w:t>Risk factors</w:t>
            </w: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94"/>
              </w:rPr>
              <w:t>Investing in the notes involves risks. Please review the risk factors discussed beginning on</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w w:val="89"/>
              </w:rPr>
              <w:t>page S-5 of this prospectus supplement, on page 3 of the accompanying prospectus and in our</w:t>
            </w:r>
          </w:p>
        </w:tc>
      </w:tr>
      <w:tr>
        <w:trPr>
          <w:trHeight w:val="230"/>
        </w:trPr>
        <w:tc>
          <w:tcPr>
            <w:tcW w:w="1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360" w:type="dxa"/>
            <w:vAlign w:val="bottom"/>
            <w:gridSpan w:val="2"/>
          </w:tcPr>
          <w:p>
            <w:pPr>
              <w:ind w:left="560"/>
              <w:spacing w:after="0"/>
              <w:rPr>
                <w:sz w:val="20"/>
                <w:szCs w:val="20"/>
                <w:color w:val="auto"/>
              </w:rPr>
            </w:pPr>
            <w:r>
              <w:rPr>
                <w:rFonts w:ascii="Arial" w:cs="Arial" w:eastAsia="Arial" w:hAnsi="Arial"/>
                <w:sz w:val="18"/>
                <w:szCs w:val="18"/>
                <w:color w:val="auto"/>
              </w:rPr>
              <w:t>Annual Report on Form 10-K for the year ended December 31, 2018, filed with the</w:t>
            </w:r>
          </w:p>
        </w:tc>
      </w:tr>
      <w:tr>
        <w:trPr>
          <w:trHeight w:val="365"/>
        </w:trPr>
        <w:tc>
          <w:tcPr>
            <w:tcW w:w="13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80" w:type="dxa"/>
            <w:vAlign w:val="bottom"/>
          </w:tcPr>
          <w:p>
            <w:pPr>
              <w:ind w:left="1740"/>
              <w:spacing w:after="0"/>
              <w:rPr>
                <w:sz w:val="20"/>
                <w:szCs w:val="20"/>
                <w:color w:val="auto"/>
              </w:rPr>
            </w:pPr>
            <w:r>
              <w:rPr>
                <w:rFonts w:ascii="Arial" w:cs="Arial" w:eastAsia="Arial" w:hAnsi="Arial"/>
                <w:sz w:val="18"/>
                <w:szCs w:val="18"/>
                <w:color w:val="auto"/>
              </w:rPr>
              <w:t>S-3</w:t>
            </w:r>
          </w:p>
        </w:tc>
        <w:tc>
          <w:tcPr>
            <w:tcW w:w="5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200"/>
          </w:cols>
          <w:pgMar w:left="240" w:top="446" w:right="4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0"/>
        <w:spacing w:after="0" w:line="293" w:lineRule="auto"/>
        <w:rPr>
          <w:sz w:val="20"/>
          <w:szCs w:val="20"/>
          <w:color w:val="auto"/>
        </w:rPr>
      </w:pPr>
      <w:r>
        <w:rPr>
          <w:rFonts w:ascii="Arial" w:cs="Arial" w:eastAsia="Arial" w:hAnsi="Arial"/>
          <w:sz w:val="16"/>
          <w:szCs w:val="16"/>
          <w:color w:val="auto"/>
        </w:rPr>
        <w:t>SEC on February 13, 2019, and the other information contained or incorporated by reference in this prospectus supplement and the accompanying prospectus for a discussion of factors you should consider before deciding to invest in the notes. You may obtain a copy of our Annual Report on Form 10-K and the other documents incorporated by reference in this prospectus supplement and the accompanying prospectus by following the procedures described under “Where You Can Find More Information” on page 51 of the accompanying prospectus.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for the year ended December 31, 2018 filed with the SEC on February 13, 2019 before you decide to purchase the notes. The risks and uncertainties described below and in the incorporated Form 10-K for the year ended December 31, 2018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121"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The notes will be structurally subordinated to the claims of our subsidiaries’ creditors and our subsidiaries’ preferred equity holders.</w:t>
      </w:r>
    </w:p>
    <w:p>
      <w:pPr>
        <w:spacing w:after="0" w:line="133"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Because the notes will not be guaranteed by our subsidiaries, the notes will be effectively subordinated in right of payment to all of our subsidiaries’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March 31, 2019, our consolidated subsidiaries had approximately $458 million of total secured and unsecured debt outstanding (excluding net unamortized premium and debt issuance costs),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notes will be unsecured and are effectively subordinated to our secured indebtedness.</w:t>
      </w:r>
    </w:p>
    <w:p>
      <w:pPr>
        <w:spacing w:after="0" w:line="121" w:lineRule="exact"/>
        <w:rPr>
          <w:sz w:val="20"/>
          <w:szCs w:val="20"/>
          <w:color w:val="auto"/>
        </w:rPr>
      </w:pPr>
    </w:p>
    <w:p>
      <w:pPr>
        <w:ind w:left="200" w:right="140"/>
        <w:spacing w:after="0" w:line="272" w:lineRule="auto"/>
        <w:rPr>
          <w:sz w:val="20"/>
          <w:szCs w:val="20"/>
          <w:color w:val="auto"/>
        </w:rPr>
      </w:pPr>
      <w:r>
        <w:rPr>
          <w:rFonts w:ascii="Arial" w:cs="Arial" w:eastAsia="Arial" w:hAnsi="Arial"/>
          <w:sz w:val="17"/>
          <w:szCs w:val="17"/>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March 31, 2019, we had approximately $454 million (excluding net unamortized premium and debt issuance costs) of consolidated secured debt outstanding, all of which was effectively senior to the notes to the extent of the value of the securing collateral.</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131" w:lineRule="exact"/>
        <w:rPr>
          <w:sz w:val="20"/>
          <w:szCs w:val="20"/>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225"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5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00"/>
          </w:cols>
          <w:pgMar w:left="240" w:top="459" w:right="6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0260" w:type="dxa"/>
            <w:vAlign w:val="bottom"/>
            <w:gridSpan w:val="2"/>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Table of Contents</w:t>
              </w:r>
            </w:hyperlink>
          </w:p>
        </w:tc>
        <w:tc>
          <w:tcPr>
            <w:tcW w:w="7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900" w:type="dxa"/>
            <w:vAlign w:val="bottom"/>
          </w:tcPr>
          <w:p>
            <w:pPr>
              <w:ind w:left="3520"/>
              <w:spacing w:after="0"/>
              <w:rPr>
                <w:sz w:val="20"/>
                <w:szCs w:val="20"/>
                <w:color w:val="auto"/>
              </w:rPr>
            </w:pPr>
            <w:r>
              <w:rPr>
                <w:rFonts w:ascii="Arial" w:cs="Arial" w:eastAsia="Arial" w:hAnsi="Arial"/>
                <w:sz w:val="18"/>
                <w:szCs w:val="18"/>
                <w:b w:val="1"/>
                <w:bCs w:val="1"/>
                <w:color w:val="auto"/>
              </w:rPr>
              <w:t>USE OF PROCEEDS</w:t>
            </w:r>
          </w:p>
        </w:tc>
        <w:tc>
          <w:tcPr>
            <w:tcW w:w="720" w:type="dxa"/>
            <w:vAlign w:val="bottom"/>
          </w:tcPr>
          <w:p>
            <w:pPr>
              <w:spacing w:after="0"/>
              <w:rPr>
                <w:sz w:val="24"/>
                <w:szCs w:val="24"/>
                <w:color w:val="auto"/>
              </w:rPr>
            </w:pPr>
          </w:p>
        </w:tc>
      </w:tr>
      <w:tr>
        <w:trPr>
          <w:trHeight w:val="432"/>
        </w:trPr>
        <w:tc>
          <w:tcPr>
            <w:tcW w:w="10260" w:type="dxa"/>
            <w:vAlign w:val="bottom"/>
            <w:gridSpan w:val="2"/>
          </w:tcPr>
          <w:p>
            <w:pPr>
              <w:ind w:left="200"/>
              <w:spacing w:after="0"/>
              <w:rPr>
                <w:sz w:val="20"/>
                <w:szCs w:val="20"/>
                <w:color w:val="auto"/>
              </w:rPr>
            </w:pPr>
            <w:r>
              <w:rPr>
                <w:rFonts w:ascii="Arial" w:cs="Arial" w:eastAsia="Arial" w:hAnsi="Arial"/>
                <w:sz w:val="18"/>
                <w:szCs w:val="18"/>
                <w:color w:val="auto"/>
                <w:w w:val="90"/>
              </w:rPr>
              <w:t>The net proceeds to us from the issuance and sale of the notes offered by this prospectus supplement are estimated to be approximately $</w:t>
            </w:r>
          </w:p>
        </w:tc>
        <w:tc>
          <w:tcPr>
            <w:tcW w:w="720" w:type="dxa"/>
            <w:vAlign w:val="bottom"/>
          </w:tcPr>
          <w:p>
            <w:pPr>
              <w:ind w:left="200"/>
              <w:spacing w:after="0"/>
              <w:rPr>
                <w:sz w:val="20"/>
                <w:szCs w:val="20"/>
                <w:color w:val="auto"/>
              </w:rPr>
            </w:pPr>
            <w:r>
              <w:rPr>
                <w:rFonts w:ascii="Arial" w:cs="Arial" w:eastAsia="Arial" w:hAnsi="Arial"/>
                <w:sz w:val="18"/>
                <w:szCs w:val="18"/>
                <w:color w:val="auto"/>
                <w:w w:val="97"/>
              </w:rPr>
              <w:t>million</w:t>
            </w:r>
          </w:p>
        </w:tc>
      </w:tr>
    </w:tbl>
    <w:p>
      <w:pPr>
        <w:ind w:left="200"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deducting the underwriting discount and other estimated expenses of this offering payable by us. We intend to use these net proceeds to repay in full the outstanding balance of our unsecured term loan and for general corporate purposes. Pending application of the net proceeds, we may invest the net proceeds in short-term income-producing investments or may use the net proceeds to temporarily repay amounts outstanding under our revolving credit facility.</w:t>
      </w:r>
    </w:p>
    <w:p>
      <w:pPr>
        <w:spacing w:after="0" w:line="19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Our $275 million unsecured term loan matures on November 21, 2019. As of March 31, 2019, our unsecured term loan accrued interest at a rate of LIBOR plus 0.90%.</w:t>
      </w:r>
    </w:p>
    <w:p>
      <w:pPr>
        <w:spacing w:after="0" w:line="17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Our $800 million revolving credit facility matures on April 20, 2020, subject to two six-month extensions at our option. LIBOR loans outstanding under our revolving credit facility bear interest at seven day, one month, three month or six month LIBOR, at our election, plus a spread of 82.5 basis points, subject to adjustment based on our credit rating. In addition, we have an option (subject to the approval of the lenders under our revolving credit facility) to increase our revolving credit facility through an accordion feature to $1.5 billion. As of March 31, 2019, we had $20.0 million outstanding under our revolving credit facility.</w:t>
      </w:r>
    </w:p>
    <w:p>
      <w:pPr>
        <w:spacing w:after="0" w:line="188"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Affiliates of certain of the underwriters are lenders under our unsecured term loan or our revolving credit facility and will receive a pro rata portion of the net proceeds used to repay our unsecured term loan or amounts outstanding under our revolving credit facility, as applicable. See “Underwriting (Conflicts of Interest) — Conflicts of Interest.”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00"/>
          </w:cols>
          <w:pgMar w:left="240" w:top="44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i w:val="1"/>
          <w:iCs w:val="1"/>
          <w:color w:val="auto"/>
        </w:rPr>
        <w:t>The following description of the particular terms of the notes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220"/>
          </w:cols>
          <w:pgMar w:left="240" w:top="459" w:right="439" w:bottom="1440" w:gutter="0" w:footer="0" w:header="0"/>
        </w:sectPr>
      </w:pP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are offering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million of our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notes maturing 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2029, which may be redeemed prior to that date in accordance with their</w:t>
      </w:r>
    </w:p>
    <w:p>
      <w:pPr>
        <w:spacing w:after="0" w:line="46" w:lineRule="exact"/>
        <w:rPr>
          <w:sz w:val="20"/>
          <w:szCs w:val="20"/>
          <w:color w:val="auto"/>
        </w:rPr>
      </w:pPr>
    </w:p>
    <w:p>
      <w:pPr>
        <w:sectPr>
          <w:pgSz w:w="11900" w:h="16838" w:orient="portrait"/>
          <w:cols w:equalWidth="0" w:num="4">
            <w:col w:w="1460" w:space="400"/>
            <w:col w:w="1000" w:space="240"/>
            <w:col w:w="1720" w:space="720"/>
            <w:col w:w="568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8"/>
          <w:szCs w:val="18"/>
          <w:color w:val="auto"/>
        </w:rPr>
        <w:t>terms.</w:t>
      </w:r>
    </w:p>
    <w:p>
      <w:pPr>
        <w:spacing w:after="0" w:line="211" w:lineRule="exact"/>
        <w:rPr>
          <w:sz w:val="20"/>
          <w:szCs w:val="20"/>
          <w:color w:val="auto"/>
        </w:rPr>
      </w:pPr>
    </w:p>
    <w:p>
      <w:pPr>
        <w:ind w:left="200"/>
        <w:spacing w:after="0"/>
        <w:tabs>
          <w:tab w:leader="none" w:pos="5980" w:val="left"/>
          <w:tab w:leader="none" w:pos="7340" w:val="left"/>
          <w:tab w:leader="none" w:pos="8580" w:val="left"/>
        </w:tabs>
        <w:rPr>
          <w:sz w:val="20"/>
          <w:szCs w:val="20"/>
          <w:color w:val="auto"/>
        </w:rPr>
      </w:pPr>
      <w:r>
        <w:rPr>
          <w:rFonts w:ascii="Arial" w:cs="Arial" w:eastAsia="Arial" w:hAnsi="Arial"/>
          <w:sz w:val="18"/>
          <w:szCs w:val="18"/>
          <w:color w:val="auto"/>
        </w:rPr>
        <w:t>We will pay interest on the notes semi-annually in arrears at an annual rate of</w:t>
        <w:tab/>
        <w:t>%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of each year, beginning</w:t>
      </w:r>
    </w:p>
    <w:p>
      <w:pPr>
        <w:spacing w:after="0" w:line="23" w:lineRule="exact"/>
        <w:rPr>
          <w:sz w:val="20"/>
          <w:szCs w:val="20"/>
          <w:color w:val="auto"/>
        </w:rPr>
      </w:pPr>
    </w:p>
    <w:p>
      <w:pPr>
        <w:ind w:left="1100"/>
        <w:spacing w:after="0"/>
        <w:tabs>
          <w:tab w:leader="none" w:pos="6480" w:val="left"/>
          <w:tab w:leader="none" w:pos="7680" w:val="left"/>
        </w:tabs>
        <w:rPr>
          <w:sz w:val="20"/>
          <w:szCs w:val="20"/>
          <w:color w:val="auto"/>
        </w:rPr>
      </w:pPr>
      <w:r>
        <w:rPr>
          <w:rFonts w:ascii="Arial" w:cs="Arial" w:eastAsia="Arial" w:hAnsi="Arial"/>
          <w:sz w:val="18"/>
          <w:szCs w:val="18"/>
          <w:color w:val="auto"/>
        </w:rPr>
        <w:t>, 2019, to the registered holders of the notes on the preceding</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Interest will be computed and paid on the basis</w:t>
      </w:r>
    </w:p>
    <w:p>
      <w:pPr>
        <w:sectPr>
          <w:pgSz w:w="11900" w:h="16838" w:orient="portrait"/>
          <w:cols w:equalWidth="0" w:num="1">
            <w:col w:w="11220"/>
          </w:cols>
          <w:pgMar w:left="240" w:top="459" w:right="439" w:bottom="1440" w:gutter="0" w:footer="0" w:header="0"/>
          <w:type w:val="continuous"/>
        </w:sectPr>
      </w:pPr>
    </w:p>
    <w:p>
      <w:pPr>
        <w:spacing w:after="0" w:line="9"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7"/>
          <w:szCs w:val="17"/>
          <w:color w:val="auto"/>
        </w:rPr>
        <w:t>of a 360-day year consisting of twelve 30-day months. If any interest 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notes will be issued only in registered form in denominations of $2,000 and integral multiples of $1,000 in excess thereof.</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 fund.</w:t>
      </w:r>
    </w:p>
    <w:p>
      <w:pPr>
        <w:spacing w:after="0" w:line="248"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public offer price, the date on which interest begins to accrue and, in some circumstances, the first interest payment date, such that these additional debt securities would form a single series with the notes. If any such additional debt securities are not fungible with the notes offered hereby for the U.S. federal income tax purposes, the additional debt securities will have a separate CUSIP number. We also may issue from time to time other series of debt securities under the indenture consisting of notes or other unsecured evidences of indebtedness.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 xml:space="preserve">The notes will be our senior unsecured obligations and will rank </w:t>
      </w:r>
      <w:r>
        <w:rPr>
          <w:rFonts w:ascii="Arial" w:cs="Arial" w:eastAsia="Arial" w:hAnsi="Arial"/>
          <w:sz w:val="17"/>
          <w:szCs w:val="17"/>
          <w:i w:val="1"/>
          <w:iCs w:val="1"/>
          <w:color w:val="auto"/>
        </w:rPr>
        <w:t>pari passu</w:t>
      </w:r>
      <w:r>
        <w:rPr>
          <w:rFonts w:ascii="Arial" w:cs="Arial" w:eastAsia="Arial" w:hAnsi="Arial"/>
          <w:sz w:val="17"/>
          <w:szCs w:val="17"/>
          <w:color w:val="auto"/>
        </w:rPr>
        <w:t>, or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 At March 31, 2019, we had outstanding approximately $454 million (excluding net unamortized premium and debt issuance costs) of consolidated secured indebtedness, which was issued by our subsidiaries and is collateralized by all or parts of 12 properties, and which ranks senior to the notes to the extent of securing collateral and will also be structurally senior to the notes, approximately $4 million (excluding net unamortized debt issuance costs) of unsecured indebtedness issued by our subsidiaries, which will be structurally senior to the notes, and approximately $2,714 million of unsecured indebtedness (excluding net unamortized premium or discount and debt issuance costs), which will rank equally with the notes.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200"/>
        <w:spacing w:after="0"/>
        <w:tabs>
          <w:tab w:leader="none" w:pos="8940" w:val="left"/>
        </w:tabs>
        <w:rPr>
          <w:sz w:val="20"/>
          <w:szCs w:val="20"/>
          <w:color w:val="auto"/>
        </w:rPr>
      </w:pPr>
      <w:r>
        <w:rPr>
          <w:rFonts w:ascii="Arial" w:cs="Arial" w:eastAsia="Arial" w:hAnsi="Arial"/>
          <w:sz w:val="18"/>
          <w:szCs w:val="18"/>
          <w:color w:val="auto"/>
        </w:rPr>
        <w:t>The notes will be redeemable at any time at our option, in whole or in part. If the notes are redeemed before</w:t>
      </w:r>
      <w:r>
        <w:rPr>
          <w:sz w:val="20"/>
          <w:szCs w:val="20"/>
          <w:color w:val="auto"/>
        </w:rPr>
        <w:tab/>
      </w:r>
      <w:r>
        <w:rPr>
          <w:rFonts w:ascii="Arial" w:cs="Arial" w:eastAsia="Arial" w:hAnsi="Arial"/>
          <w:sz w:val="16"/>
          <w:szCs w:val="16"/>
          <w:color w:val="auto"/>
        </w:rPr>
        <w:t>(the “Par Call Date”), the</w:t>
      </w:r>
    </w:p>
    <w:p>
      <w:pPr>
        <w:spacing w:after="0" w:line="23"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redemption price will be equal to the greater of (1) 100% of the principal amount of the notes being redeemed, or (2) as determined by the Quotation Agent (as defined below), the sum of the present values of the remaining scheduled payments of principal and interest (not including any portion of such payments of interest accrued to the applicable redemption date) on the notes to be redeemed, assuming that</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240" w:top="459" w:right="4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such notes matured, and that interest on such notes was payable on, the Par Call Date, discounted to such redemption date on a semi-annual basis</w:t>
      </w:r>
    </w:p>
    <w:p>
      <w:pPr>
        <w:spacing w:after="0" w:line="46"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color w:val="auto"/>
        </w:rPr>
        <w:t>(assuming a 360-day year consisting of twelve 30-day months) at the Adjusted Treasury Rate (as defined below) plus basis points (0. %), plus, in each case, accrued and unpaid interest thereon to, but excluding, the redemption date. If the notes are redeemed on or after the Par Call Date, the redemption price will be equal to 100% of the principal amount of the notes being redeemed plus accrued and unpaid interest thereon to, but excluding, the redemption date.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ind w:left="200" w:right="4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(assuming for this purpose that such notes matured on the Par Call Date) that would be utilized, at the time of selection and in accordance with customary financial practice, in pricing new issues of corporate debt securities of comparable maturity to the remaining term of such notes.</w:t>
      </w:r>
    </w:p>
    <w:p>
      <w:pPr>
        <w:spacing w:after="0" w:line="187"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225" w:lineRule="exact"/>
        <w:rPr>
          <w:sz w:val="20"/>
          <w:szCs w:val="20"/>
          <w:color w:val="auto"/>
        </w:rPr>
      </w:pPr>
    </w:p>
    <w:p>
      <w:pPr>
        <w:ind w:left="200" w:right="3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a Primary Treasury Dealer selected by each of (1) BofA Securities, Inc., Jefferies LLC and U.S. Bancorp Investments, Inc.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Reference Treasury Dealer ceases to be a primary U.S. Government securities dealer, or a Primary Treasury Dealer, we will substitute therefor another Primary Treasury Dealer; and (2) any two other Primary Treasury Dealers selected by us.</w:t>
      </w:r>
    </w:p>
    <w:p>
      <w:pPr>
        <w:spacing w:after="0" w:line="187"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Notice of any redemption of the notes will be mailed at least 15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b w:val="1"/>
          <w:bCs w:val="1"/>
          <w:i w:val="1"/>
          <w:iCs w:val="1"/>
          <w:color w:val="auto"/>
        </w:rPr>
        <w:t>Limitations on Incurrence of Debt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not, and will not permit any subsidiary to, incur any Debt if, immediately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 xml:space="preserve">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173"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71" w:lineRule="exact"/>
        <w:rPr>
          <w:sz w:val="20"/>
          <w:szCs w:val="20"/>
          <w:color w:val="auto"/>
        </w:rPr>
      </w:pPr>
    </w:p>
    <w:p>
      <w:pPr>
        <w:ind w:left="200" w:right="580"/>
        <w:spacing w:after="0" w:line="266"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will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176" w:lineRule="exact"/>
        <w:rPr>
          <w:sz w:val="20"/>
          <w:szCs w:val="20"/>
          <w:color w:val="auto"/>
        </w:rPr>
      </w:pPr>
    </w:p>
    <w:p>
      <w:pPr>
        <w:ind w:left="200" w:right="20"/>
        <w:spacing w:after="0" w:line="298" w:lineRule="auto"/>
        <w:rPr>
          <w:sz w:val="20"/>
          <w:szCs w:val="20"/>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and will cause each of our subsidiaries to, maintain insurance with financially sound and reputable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insurance 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7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70" w:lineRule="exact"/>
        <w:rPr>
          <w:sz w:val="20"/>
          <w:szCs w:val="20"/>
          <w:color w:val="auto"/>
        </w:rPr>
      </w:pPr>
    </w:p>
    <w:p>
      <w:pPr>
        <w:ind w:left="200" w:right="10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w:t>
      </w:r>
    </w:p>
    <w:p>
      <w:pPr>
        <w:spacing w:after="0" w:line="2" w:lineRule="exact"/>
        <w:rPr>
          <w:sz w:val="20"/>
          <w:szCs w:val="20"/>
          <w:color w:val="auto"/>
        </w:rPr>
      </w:pPr>
    </w:p>
    <w:p>
      <w:pPr>
        <w:ind w:left="200" w:right="20" w:firstLine="4"/>
        <w:spacing w:after="0" w:line="287" w:lineRule="auto"/>
        <w:tabs>
          <w:tab w:leader="none" w:pos="45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principal amount of all of our or any of our subsidiaries’ obligations with respect to redemption, repayment or other repurchase of any Disqualified Stock or (5) any lease of property by us or any subsidiary as lessee which is reflected on our consolidated balance sheet as a financing lease liability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66"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54"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70" w:lineRule="exact"/>
        <w:rPr>
          <w:sz w:val="20"/>
          <w:szCs w:val="20"/>
          <w:color w:val="auto"/>
        </w:rPr>
      </w:pPr>
    </w:p>
    <w:p>
      <w:pPr>
        <w:ind w:left="200" w:right="8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Assets</w:t>
      </w:r>
      <w:r>
        <w:rPr>
          <w:rFonts w:ascii="Arial" w:cs="Arial" w:eastAsia="Arial" w:hAnsi="Arial"/>
          <w:sz w:val="17"/>
          <w:szCs w:val="17"/>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147"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the cost (original cost plus capital improvements) of our and our subsidiaries’ real estate assets and finance lease right of use assets on such date, before depreciation and amortization determined on a consolidated basis in accordance with generally accepted accounting principles.</w:t>
      </w:r>
    </w:p>
    <w:p>
      <w:pPr>
        <w:spacing w:after="0" w:line="181"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i w:val="1"/>
          <w:iCs w:val="1"/>
          <w:color w:val="auto"/>
        </w:rPr>
        <w:t xml:space="preserve">“Unencumbered Total Asset Value” </w:t>
      </w:r>
      <w:r>
        <w:rPr>
          <w:rFonts w:ascii="Arial" w:cs="Arial" w:eastAsia="Arial" w:hAnsi="Arial"/>
          <w:sz w:val="16"/>
          <w:szCs w:val="16"/>
          <w:color w:val="auto"/>
        </w:rPr>
        <w:t>as of any date means the sum of (a) those Undepreciated Real Estate Assets not encumbered by any mortgage, lien,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“Description of Debt Securities — Certain Covenants” in the accompanying prospectus for a description of additional covenants applicable to us.</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The notes will be subject to the following events of default:</w:t>
      </w:r>
    </w:p>
    <w:p>
      <w:pPr>
        <w:spacing w:after="0" w:line="117" w:lineRule="exact"/>
        <w:rPr>
          <w:sz w:val="20"/>
          <w:szCs w:val="20"/>
          <w:color w:val="auto"/>
        </w:rPr>
      </w:pPr>
    </w:p>
    <w:p>
      <w:pPr>
        <w:ind w:left="200" w:right="200" w:firstLine="4"/>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62" w:lineRule="exact"/>
        <w:rPr>
          <w:rFonts w:ascii="Arial" w:cs="Arial" w:eastAsia="Arial" w:hAnsi="Arial"/>
          <w:sz w:val="18"/>
          <w:szCs w:val="18"/>
          <w:color w:val="auto"/>
        </w:rPr>
      </w:pPr>
    </w:p>
    <w:p>
      <w:pPr>
        <w:ind w:left="200" w:right="360" w:firstLine="4"/>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62" w:lineRule="exact"/>
        <w:rPr>
          <w:rFonts w:ascii="Arial" w:cs="Arial" w:eastAsia="Arial" w:hAnsi="Arial"/>
          <w:sz w:val="18"/>
          <w:szCs w:val="18"/>
          <w:color w:val="auto"/>
        </w:rPr>
      </w:pPr>
    </w:p>
    <w:p>
      <w:pPr>
        <w:ind w:left="380" w:hanging="176"/>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17" w:lineRule="exact"/>
        <w:rPr>
          <w:rFonts w:ascii="Arial" w:cs="Arial" w:eastAsia="Arial" w:hAnsi="Arial"/>
          <w:sz w:val="18"/>
          <w:szCs w:val="18"/>
          <w:color w:val="auto"/>
        </w:rPr>
      </w:pPr>
    </w:p>
    <w:p>
      <w:pPr>
        <w:ind w:left="200" w:firstLine="4"/>
        <w:spacing w:after="0" w:line="264"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73" w:lineRule="exact"/>
        <w:rPr>
          <w:sz w:val="20"/>
          <w:szCs w:val="20"/>
          <w:color w:val="auto"/>
        </w:rPr>
      </w:pPr>
    </w:p>
    <w:p>
      <w:pPr>
        <w:ind w:left="440" w:hanging="2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17" w:lineRule="exact"/>
        <w:rPr>
          <w:rFonts w:ascii="Arial" w:cs="Arial" w:eastAsia="Arial" w:hAnsi="Arial"/>
          <w:sz w:val="18"/>
          <w:szCs w:val="18"/>
          <w:color w:val="auto"/>
        </w:rPr>
      </w:pPr>
    </w:p>
    <w:p>
      <w:pPr>
        <w:ind w:left="460" w:hanging="256"/>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117" w:lineRule="exact"/>
        <w:rPr>
          <w:sz w:val="20"/>
          <w:szCs w:val="20"/>
          <w:color w:val="auto"/>
        </w:rPr>
      </w:pPr>
    </w:p>
    <w:p>
      <w:pPr>
        <w:ind w:left="200" w:right="40" w:firstLine="4"/>
        <w:spacing w:after="0" w:line="290"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reflected on the balance sheet of the lessee as financing lease liabilities under generally accepted accounting principles but not including any indebtedness or obligations for which recourse is limited to one or more properties)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one or more properties)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58" w:lineRule="exact"/>
        <w:rPr>
          <w:rFonts w:ascii="Arial" w:cs="Arial" w:eastAsia="Arial" w:hAnsi="Arial"/>
          <w:sz w:val="16"/>
          <w:szCs w:val="16"/>
          <w:color w:val="auto"/>
        </w:rPr>
      </w:pPr>
    </w:p>
    <w:p>
      <w:pPr>
        <w:ind w:left="380" w:hanging="176"/>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117" w:lineRule="exact"/>
        <w:rPr>
          <w:sz w:val="20"/>
          <w:szCs w:val="20"/>
          <w:color w:val="auto"/>
        </w:rPr>
      </w:pPr>
    </w:p>
    <w:p>
      <w:pPr>
        <w:ind w:left="440" w:hanging="23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17" w:lineRule="exact"/>
        <w:rPr>
          <w:rFonts w:ascii="Arial" w:cs="Arial" w:eastAsia="Arial" w:hAnsi="Arial"/>
          <w:sz w:val="18"/>
          <w:szCs w:val="18"/>
          <w:color w:val="auto"/>
        </w:rPr>
      </w:pPr>
    </w:p>
    <w:p>
      <w:pPr>
        <w:ind w:left="460" w:hanging="256"/>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117" w:lineRule="exact"/>
        <w:rPr>
          <w:rFonts w:ascii="Arial" w:cs="Arial" w:eastAsia="Arial" w:hAnsi="Arial"/>
          <w:sz w:val="18"/>
          <w:szCs w:val="18"/>
          <w:color w:val="auto"/>
        </w:rPr>
      </w:pPr>
    </w:p>
    <w:p>
      <w:pPr>
        <w:ind w:left="440" w:hanging="236"/>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 90 days.</w:t>
      </w:r>
    </w:p>
    <w:p>
      <w:pPr>
        <w:spacing w:after="0" w:line="140"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7. We or any of our significant subsidiaries do any of the following:</w:t>
      </w:r>
    </w:p>
    <w:p>
      <w:pPr>
        <w:spacing w:after="0" w:line="117" w:lineRule="exact"/>
        <w:rPr>
          <w:rFonts w:ascii="Arial" w:cs="Arial" w:eastAsia="Arial" w:hAnsi="Arial"/>
          <w:sz w:val="16"/>
          <w:szCs w:val="16"/>
          <w:color w:val="auto"/>
        </w:rPr>
      </w:pPr>
    </w:p>
    <w:p>
      <w:pPr>
        <w:ind w:left="440" w:hanging="23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
        <w:spacing w:after="0" w:line="277"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62" w:lineRule="exact"/>
        <w:rPr>
          <w:rFonts w:ascii="Arial" w:cs="Arial" w:eastAsia="Arial" w:hAnsi="Arial"/>
          <w:sz w:val="18"/>
          <w:szCs w:val="18"/>
          <w:color w:val="auto"/>
        </w:rPr>
      </w:pPr>
    </w:p>
    <w:p>
      <w:pPr>
        <w:ind w:left="440" w:hanging="236"/>
        <w:spacing w:after="0"/>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128" w:lineRule="exact"/>
        <w:rPr>
          <w:rFonts w:ascii="Arial" w:cs="Arial" w:eastAsia="Arial" w:hAnsi="Arial"/>
          <w:sz w:val="17"/>
          <w:szCs w:val="17"/>
          <w:color w:val="auto"/>
        </w:rPr>
      </w:pPr>
    </w:p>
    <w:p>
      <w:pPr>
        <w:ind w:left="460" w:hanging="256"/>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Form</w:t>
      </w:r>
    </w:p>
    <w:p>
      <w:pPr>
        <w:spacing w:after="0" w:line="121" w:lineRule="exact"/>
        <w:rPr>
          <w:sz w:val="20"/>
          <w:szCs w:val="20"/>
          <w:color w:val="auto"/>
        </w:rPr>
      </w:pPr>
    </w:p>
    <w:p>
      <w:pPr>
        <w:ind w:left="200" w:right="140"/>
        <w:spacing w:after="0" w:line="276" w:lineRule="auto"/>
        <w:rPr>
          <w:sz w:val="20"/>
          <w:szCs w:val="20"/>
          <w:color w:val="auto"/>
        </w:rPr>
      </w:pPr>
      <w:r>
        <w:rPr>
          <w:rFonts w:ascii="Arial" w:cs="Arial" w:eastAsia="Arial" w:hAnsi="Arial"/>
          <w:sz w:val="17"/>
          <w:szCs w:val="17"/>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73"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97"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w:t>
      </w:r>
    </w:p>
    <w:p>
      <w:pPr>
        <w:spacing w:after="0" w:line="2" w:lineRule="exact"/>
        <w:rPr>
          <w:sz w:val="20"/>
          <w:szCs w:val="20"/>
          <w:color w:val="auto"/>
        </w:rPr>
      </w:pPr>
    </w:p>
    <w:p>
      <w:pPr>
        <w:ind w:left="200" w:right="60" w:firstLine="4"/>
        <w:spacing w:after="0" w:line="271" w:lineRule="auto"/>
        <w:tabs>
          <w:tab w:leader="none" w:pos="4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7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87" w:lineRule="exact"/>
        <w:rPr>
          <w:sz w:val="20"/>
          <w:szCs w:val="20"/>
          <w:color w:val="auto"/>
        </w:rPr>
      </w:pPr>
    </w:p>
    <w:p>
      <w:pPr>
        <w:ind w:left="200" w:right="80"/>
        <w:spacing w:after="0" w:line="293"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54"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79"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93"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87" w:lineRule="exact"/>
        <w:rPr>
          <w:sz w:val="20"/>
          <w:szCs w:val="20"/>
          <w:color w:val="auto"/>
        </w:rPr>
      </w:pPr>
    </w:p>
    <w:p>
      <w:pPr>
        <w:ind w:left="200" w:right="60"/>
        <w:spacing w:after="0" w:line="290" w:lineRule="auto"/>
        <w:rPr>
          <w:sz w:val="20"/>
          <w:szCs w:val="20"/>
          <w:color w:val="auto"/>
        </w:rPr>
      </w:pPr>
      <w:r>
        <w:rPr>
          <w:rFonts w:ascii="Arial" w:cs="Arial" w:eastAsia="Arial" w:hAnsi="Arial"/>
          <w:sz w:val="16"/>
          <w:szCs w:val="16"/>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6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70" w:lineRule="exact"/>
        <w:rPr>
          <w:sz w:val="20"/>
          <w:szCs w:val="20"/>
          <w:color w:val="auto"/>
        </w:rPr>
      </w:pPr>
    </w:p>
    <w:p>
      <w:pPr>
        <w:jc w:val="both"/>
        <w:ind w:left="200" w:right="160"/>
        <w:spacing w:after="0" w:line="259"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229"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For a discussion of the material federal income tax issues that you may consider relevant relating to our taxation as a REIT, see “Material Federal Income Tax Considerations” beginning on page 29 of the accompanying prospectus. For a general discussion of the material U.S. federal income tax considerations applicable to the acquisition, ownership and disposition of the notes, see below under “— Taxation of Holders of the Notes.” These discussions apply only to initial beneficial owners of the notes who purchase notes in this offering at their issue price (as defined below) and who hold the notes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generation-skipping or gift tax) other than U.S. federal income tax considerations, that may be applicable to particular holders. This discussion does not address all the tax consequences that may be relevant to a particular holder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This discussion does not address the tax consequences applicable to taxpayers subject to Section 451(b) of the Code. Except as specifically provided below with respect to Non-U.S. Holders (as defined below), the discussion is limited to beneficial owners of notes that are U.S. Holders.</w:t>
      </w:r>
    </w:p>
    <w:p>
      <w:pPr>
        <w:spacing w:after="0" w:line="279" w:lineRule="exact"/>
        <w:rPr>
          <w:sz w:val="20"/>
          <w:szCs w:val="20"/>
          <w:color w:val="auto"/>
        </w:rPr>
      </w:pPr>
    </w:p>
    <w:p>
      <w:pPr>
        <w:ind w:left="200" w:right="640"/>
        <w:spacing w:after="0" w:line="313" w:lineRule="auto"/>
        <w:rPr>
          <w:sz w:val="20"/>
          <w:szCs w:val="20"/>
          <w:color w:val="auto"/>
        </w:rPr>
      </w:pPr>
      <w:r>
        <w:rPr>
          <w:rFonts w:ascii="Arial" w:cs="Arial" w:eastAsia="Arial" w:hAnsi="Arial"/>
          <w:sz w:val="17"/>
          <w:szCs w:val="17"/>
          <w:b w:val="1"/>
          <w:bCs w:val="1"/>
          <w:color w:val="auto"/>
        </w:rPr>
        <w:t>PROSPECTIVE INVESTORS SHOULD CONSULT THEIR TAX ADVISORS REGARDING THE U.S. FEDERAL, STATE, LOCAL, FOREIGN AND OTHER TAX CONSEQUENCES OF THE ACQUISITION, OWNERSHIP AND DISPOSITION OF THE NOTES.</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Holders of the Notes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131"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1060" w:right="120" w:hanging="316"/>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181"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“Non-U.S. Holder” means any beneficial owner of a note that is neither a U.S. Holder nor an entity or arrangement treated as a partnership for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federal income tax purposes.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 xml:space="preserve">Stated Interest on the Notes. </w:t>
      </w:r>
      <w:r>
        <w:rPr>
          <w:rFonts w:ascii="Arial" w:cs="Arial" w:eastAsia="Arial" w:hAnsi="Arial"/>
          <w:sz w:val="18"/>
          <w:szCs w:val="18"/>
          <w:color w:val="auto"/>
        </w:rPr>
        <w:t>A 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generally will be required to include stated interest payable on the notes as ordinary income when received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accrued in accordance with the U.S. Holder’s regular method of tax accounting.</w:t>
      </w:r>
    </w:p>
    <w:p>
      <w:pPr>
        <w:spacing w:after="0" w:line="170" w:lineRule="exact"/>
        <w:rPr>
          <w:sz w:val="20"/>
          <w:szCs w:val="20"/>
          <w:color w:val="auto"/>
        </w:rPr>
      </w:pPr>
    </w:p>
    <w:p>
      <w:pPr>
        <w:ind w:left="200" w:right="140"/>
        <w:spacing w:after="0" w:line="276" w:lineRule="auto"/>
        <w:rPr>
          <w:sz w:val="20"/>
          <w:szCs w:val="20"/>
          <w:color w:val="auto"/>
        </w:rPr>
      </w:pPr>
      <w:r>
        <w:rPr>
          <w:rFonts w:ascii="Arial" w:cs="Arial" w:eastAsia="Arial" w:hAnsi="Arial"/>
          <w:sz w:val="17"/>
          <w:szCs w:val="17"/>
          <w:b w:val="1"/>
          <w:bCs w:val="1"/>
          <w:i w:val="1"/>
          <w:iCs w:val="1"/>
          <w:color w:val="auto"/>
        </w:rPr>
        <w:t xml:space="preserve">OID and Issue Price of the Notes. </w:t>
      </w:r>
      <w:r>
        <w:rPr>
          <w:rFonts w:ascii="Arial" w:cs="Arial" w:eastAsia="Arial" w:hAnsi="Arial"/>
          <w:sz w:val="17"/>
          <w:szCs w:val="17"/>
          <w:color w:val="auto"/>
        </w:rPr>
        <w:t>A debt instrument generally has original issue discount, or OID, if its “stated redemption price at maturity” exceeds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its “issue price” by an amount that is equal to or greater than a statutory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173"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If the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whether and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167"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 xml:space="preserve">The remainder of this discussion assumes that the issue price of the notes will not be less than the stated principal amount of the notes by an amount that is equal to or greater than the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U.S. Holders should consult their tax advisors regarding the determination of the issue price of the notes and the possible application of the OID rules.</w:t>
      </w:r>
    </w:p>
    <w:p>
      <w:pPr>
        <w:spacing w:after="0" w:line="181"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b w:val="1"/>
          <w:bCs w:val="1"/>
          <w:i w:val="1"/>
          <w:iCs w:val="1"/>
          <w:color w:val="auto"/>
        </w:rPr>
        <w:t xml:space="preserve">Sale, Exchange, Redemption, or Other Taxable Disposition of the Notes. </w:t>
      </w:r>
      <w:r>
        <w:rPr>
          <w:rFonts w:ascii="Arial" w:cs="Arial" w:eastAsia="Arial" w:hAnsi="Arial"/>
          <w:sz w:val="17"/>
          <w:szCs w:val="17"/>
          <w:color w:val="auto"/>
        </w:rPr>
        <w:t>Unless a non-recognition provision applies, upon the sale, exchange,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redemption or 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75"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b w:val="1"/>
          <w:bCs w:val="1"/>
          <w:i w:val="1"/>
          <w:iCs w:val="1"/>
          <w:color w:val="auto"/>
        </w:rPr>
        <w:t>Unearned Income Medicare Contribution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U.S. Holders that are individuals, estates or trusts are subject to a 3.8% Medicare tax on all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84" w:lineRule="exact"/>
        <w:rPr>
          <w:sz w:val="20"/>
          <w:szCs w:val="20"/>
          <w:color w:val="auto"/>
        </w:rPr>
      </w:pPr>
    </w:p>
    <w:p>
      <w:pPr>
        <w:ind w:left="200" w:right="1040"/>
        <w:spacing w:after="0" w:line="277" w:lineRule="auto"/>
        <w:rPr>
          <w:sz w:val="20"/>
          <w:szCs w:val="20"/>
          <w:color w:val="auto"/>
        </w:rPr>
      </w:pPr>
      <w:r>
        <w:rPr>
          <w:rFonts w:ascii="Arial" w:cs="Arial" w:eastAsia="Arial" w:hAnsi="Arial"/>
          <w:sz w:val="18"/>
          <w:szCs w:val="18"/>
          <w:b w:val="1"/>
          <w:bCs w:val="1"/>
          <w:i w:val="1"/>
          <w:iCs w:val="1"/>
          <w:color w:val="auto"/>
        </w:rPr>
        <w:t xml:space="preserve">U.S. Holders Holding Notes Through Foreign Accounts or Intermediaries. </w:t>
      </w:r>
      <w:r>
        <w:rPr>
          <w:rFonts w:ascii="Arial" w:cs="Arial" w:eastAsia="Arial" w:hAnsi="Arial"/>
          <w:sz w:val="18"/>
          <w:szCs w:val="18"/>
          <w:color w:val="auto"/>
        </w:rPr>
        <w:t>U.S. Holders holding their notes through foreign accounts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intermediaries should refer to “— Non-U.S. Holders — FATCA Regime” below.</w:t>
      </w:r>
    </w:p>
    <w:p>
      <w:pPr>
        <w:spacing w:after="0" w:line="166" w:lineRule="exact"/>
        <w:rPr>
          <w:sz w:val="20"/>
          <w:szCs w:val="20"/>
          <w:color w:val="auto"/>
        </w:rPr>
      </w:pPr>
    </w:p>
    <w:p>
      <w:pPr>
        <w:ind w:left="200" w:right="440"/>
        <w:spacing w:after="0" w:line="313" w:lineRule="auto"/>
        <w:rPr>
          <w:sz w:val="20"/>
          <w:szCs w:val="20"/>
          <w:color w:val="auto"/>
        </w:rPr>
      </w:pPr>
      <w:r>
        <w:rPr>
          <w:rFonts w:ascii="Arial" w:cs="Arial" w:eastAsia="Arial" w:hAnsi="Arial"/>
          <w:sz w:val="17"/>
          <w:szCs w:val="17"/>
          <w:b w:val="1"/>
          <w:bCs w:val="1"/>
          <w:i w:val="1"/>
          <w:iCs w:val="1"/>
          <w:color w:val="auto"/>
        </w:rPr>
        <w:t>Information Reporting and Backup Withholding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general, information reporting will apply to a U.S. Holder (other than an “exempt recipient,”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 corporation and certain other persons who, when required, demonstrate their exempt status) with respect to:</w:t>
      </w:r>
    </w:p>
    <w:p>
      <w:pPr>
        <w:spacing w:after="0" w:line="48"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225" w:lineRule="exact"/>
        <w:rPr>
          <w:sz w:val="20"/>
          <w:szCs w:val="20"/>
          <w:color w:val="auto"/>
        </w:rPr>
      </w:pPr>
    </w:p>
    <w:p>
      <w:pPr>
        <w:ind w:left="200" w:right="320"/>
        <w:spacing w:after="0" w:line="286" w:lineRule="auto"/>
        <w:rPr>
          <w:sz w:val="20"/>
          <w:szCs w:val="20"/>
          <w:color w:val="auto"/>
        </w:rPr>
      </w:pPr>
      <w:r>
        <w:rPr>
          <w:rFonts w:ascii="Arial" w:cs="Arial" w:eastAsia="Arial" w:hAnsi="Arial"/>
          <w:sz w:val="17"/>
          <w:szCs w:val="17"/>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 xml:space="preserve">Interest on the Notes. </w:t>
      </w:r>
      <w:r>
        <w:rPr>
          <w:rFonts w:ascii="Arial" w:cs="Arial" w:eastAsia="Arial" w:hAnsi="Arial"/>
          <w:sz w:val="17"/>
          <w:szCs w:val="17"/>
          <w:color w:val="auto"/>
        </w:rPr>
        <w:t>Subject to the rules described below under “— Information Reporting and Backup Withholding” and “— FATCA Regime,” a</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Non-U.S. Holder generally will not be subject to U.S. federal income or withholding tax on payments of interest on a note, provided that:</w:t>
      </w:r>
    </w:p>
    <w:p>
      <w:pPr>
        <w:spacing w:after="0" w:line="116"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direct, indirect or constructive owner of 10% or more of our voting stock;</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 bank whose receipt of interest on a note is pursuant to a loan agreement entered into in the ordinary course of business;</w:t>
      </w:r>
    </w:p>
    <w:p>
      <w:pPr>
        <w:spacing w:after="0" w:line="142" w:lineRule="exact"/>
        <w:rPr>
          <w:rFonts w:ascii="Arial" w:cs="Arial" w:eastAsia="Arial" w:hAnsi="Arial"/>
          <w:sz w:val="17"/>
          <w:szCs w:val="17"/>
          <w:color w:val="auto"/>
        </w:rPr>
      </w:pPr>
    </w:p>
    <w:p>
      <w:pPr>
        <w:ind w:left="1060" w:right="48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interest payments are not effectively connected with the conduct by the Non-U.S. Holder of a trade or business within the United States; and</w:t>
      </w:r>
    </w:p>
    <w:p>
      <w:pPr>
        <w:spacing w:after="0" w:line="75"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17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A Non-U.S. Holder that is not exempt from tax under these rules generally will be subject to U.S. federal income tax withholding at a rate of 30% unless:</w:t>
      </w:r>
    </w:p>
    <w:p>
      <w:pPr>
        <w:spacing w:after="0" w:line="76" w:lineRule="exact"/>
        <w:rPr>
          <w:sz w:val="20"/>
          <w:szCs w:val="20"/>
          <w:color w:val="auto"/>
        </w:rPr>
      </w:pPr>
    </w:p>
    <w:p>
      <w:pPr>
        <w:ind w:left="1060" w:right="22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75"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Non-U.S. Holder is entitled to the benefits of an applicable income tax treaty, which provides for a lower rate of, or exemption from, withholding tax.</w:t>
      </w:r>
    </w:p>
    <w:p>
      <w:pPr>
        <w:spacing w:after="0" w:line="17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actual or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may be required to be periodically updated.</w:t>
      </w:r>
    </w:p>
    <w:p>
      <w:pPr>
        <w:spacing w:after="0" w:line="183"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 Information Reporting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Backup Withholding” and “— FATCA Regime,” a Non-U.S. Holder generally will not be subject to U.S. federal income or withholding tax on gain from the sale, exchange, redemption or other taxable disposition of a note unless:</w:t>
      </w:r>
    </w:p>
    <w:p>
      <w:pPr>
        <w:spacing w:after="0" w:line="87" w:lineRule="exact"/>
        <w:rPr>
          <w:sz w:val="20"/>
          <w:szCs w:val="20"/>
          <w:color w:val="auto"/>
        </w:rPr>
      </w:pPr>
    </w:p>
    <w:p>
      <w:pPr>
        <w:ind w:left="1060" w:right="120" w:hanging="316"/>
        <w:spacing w:after="0" w:line="342" w:lineRule="auto"/>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0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17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the branch profits tax described above. If such gains are realized by a Non-U.S. Holder who is an individual present in the United States for 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Interest on the Notes.” Non-U.S. Holders should consult their tax advisors on the treatment of any accrued but unpaid interest on the notes.</w:t>
      </w:r>
    </w:p>
    <w:p>
      <w:pPr>
        <w:spacing w:after="0" w:line="178"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Interest on the Notes” above, has been received or an exemption has otherwise been established provided that neither we nor our paying agent have actual knowledge or reason to know that the Non-U.S. Holder is a U.S. person or that the conditions of any other exemption are not, in fact, satisfied.</w:t>
      </w:r>
    </w:p>
    <w:p>
      <w:pPr>
        <w:spacing w:after="0" w:line="189"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87"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 are held by U.S. persons or if it is engaged in the conduct of a trade or business in the U.S.;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a U.S. branch of a foreign bank or insurance company that is treated as a U.S. person;</w:t>
      </w:r>
    </w:p>
    <w:p>
      <w:pPr>
        <w:spacing w:after="0" w:line="225"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173"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b w:val="1"/>
          <w:bCs w:val="1"/>
          <w:i w:val="1"/>
          <w:iCs w:val="1"/>
          <w:color w:val="auto"/>
        </w:rPr>
        <w:t>FATCA Regime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sections 1471 through 1474 of the Code, Treasury regulations and related guidance (commonly referred to as “FATCA”), a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withholding tax will be imposed in certain circumstances on payments of (i) interest on the notes and (ii) subject to the proposed Treasury regulations discussed below, gross proceeds from the sale or other disposition of the notes (which includes redemption and retirement of the notes). Treasury regulations proposed in December 2018 (and upon which taxpayers and withholding agents are entitled to rely) would, when finalized, eliminate FATCA withholding on the gross proceeds from a sale or other disposition of instruments, such as the notes, that produce withholdable payments.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U.S. person that directly or indirectly owns more than a specified percentage of such entity). If a note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interest on the notes or payments in retirement or redemption of the notes,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notes.</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We intend to offer the notes through the underwriters named below, for whom BofA Securities, Inc., Jefferies LLC and U.S. Bancorp Investments, Inc.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93"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378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378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03"/>
        </w:trPr>
        <w:tc>
          <w:tcPr>
            <w:tcW w:w="4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20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2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2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20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60" w:type="dxa"/>
            <w:vAlign w:val="bottom"/>
            <w:gridSpan w:val="2"/>
            <w:shd w:val="clear" w:color="auto" w:fill="CCEEFF"/>
          </w:tcPr>
          <w:p>
            <w:pPr>
              <w:jc w:val="right"/>
              <w:ind w:right="70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181"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8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$600,000.</w:t>
      </w:r>
    </w:p>
    <w:p>
      <w:pPr>
        <w:spacing w:after="0" w:line="225"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 of the principal amount of the notes. The underwriters may allow, and the dealers may reallow, a discount not in excess of % of the principal amount of the notes on sales to other dealers. After the initial offering, the public offering price and concession to dealers may be changed.</w:t>
      </w:r>
    </w:p>
    <w:p>
      <w:pPr>
        <w:spacing w:after="0" w:line="187"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89"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38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Paid by Us</w:t>
            </w: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30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24"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Affiliates of certain of the underwriters are lenders under our unsecured term loan or our revolving credit facility and will receive a pro rata portion of the net proceeds used to repay our unsecured term loan or amounts outstanding under our revolving credit facility, as applicable.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 U.S. Bank National Association, the trustee under the indenture, is an affiliate of U.S. Bancorp Investments, Inc., one of the underwriters.</w:t>
      </w:r>
    </w:p>
    <w:p>
      <w:pPr>
        <w:spacing w:after="0" w:line="181"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The communication of this prospectus supplement, the accompanying prospectus and any other document or materials relating to the issue of the notes offered hereby is not being made, and such documents and/or materials have not been approved, by an authorized person for the purposes of section 21 of the United Kingdom’s Financial Services and Markets Act 2000, as amended (the “FSMA”). Accordingly, such documents and/or materials are not being distributed to, and must not be passed on to, the general public in the United Kingdom. The communication of such documents and/or materials as a financial promotion is only being made to those persons in the United Kingdom who have professional experience in matters relating to investments and who fall within the definition of investment professionals (as defined in Article 19(5) of the Financial Services and Markets Act 2000 (Financial Promotion) Order 2005, as amended (the “Order”)) or who fall within Article 49(2)(a) to (d) of the Order or who are any other persons to whom it may otherwise lawfully be communicated under the Order (each such person being referred to as a “relevant person”). In the United Kingdom, the notes are only available to, and any investment or investment activity to which this prospectus supplement and the accompanying prospectus relate will be engaged in only with, relevant persons. Any person in the United Kingdom who is not a relevant person should not act or rely on this prospectus supplement or the accompanying prospectus or any of their contents.</w:t>
      </w:r>
    </w:p>
    <w:p>
      <w:pPr>
        <w:spacing w:after="0" w:line="183" w:lineRule="exact"/>
        <w:rPr>
          <w:sz w:val="20"/>
          <w:szCs w:val="20"/>
          <w:color w:val="auto"/>
        </w:rPr>
      </w:pPr>
    </w:p>
    <w:p>
      <w:pPr>
        <w:jc w:val="both"/>
        <w:ind w:left="200" w:right="200"/>
        <w:spacing w:after="0" w:line="264"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FSMA) in connection with the issue or sale of the notes may only be communicated or caused to be communicated in circumstances in which Section 21(1) of the FSMA does not apply to Federal Realty Investment Trust.</w:t>
      </w:r>
    </w:p>
    <w:p>
      <w:pPr>
        <w:spacing w:after="0" w:line="18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notes in, from or otherwise involving the United Kingdom.</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Neither this prospectus supplement nor the accompanying prospectus is a prospectus for the purposes of the Prospectus Directive (as defined below). This prospectus supplement and the accompanying prospectus have been prepared on the basis that any offer of notes in any Member State of the European Economic Area (the “EEA”) which has implemented the Prospectus Directive (each, a “Relevant Member State”) will only be made to a legal entity which is a qualified investor under the Prospectus Directive (“Qualified Investors”). Accordingly any person making or intending to make an offer in that Relevant Member State of notes which are the subject of the offering contemplated in this prospectus supplement and the accompanying prospectus may only do so with respect to Qualified Investors. Neither Federal Realty Investment Trust nor the underwriters have authorized, nor do they authorize, the making of any offer of notes other than to Qualified Investors. The expression “Prospectus Directive” means Directive 2003/71/EC (as amended or superseded), and includes any relevant implementing measure in the Relevant Member State.</w:t>
      </w:r>
    </w:p>
    <w:p>
      <w:pPr>
        <w:spacing w:after="0" w:line="166"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i w:val="1"/>
          <w:iCs w:val="1"/>
          <w:color w:val="auto"/>
        </w:rPr>
        <w:t xml:space="preserve">Prohibition of Sales to EEA Retail Investors </w:t>
      </w:r>
      <w:r>
        <w:rPr>
          <w:rFonts w:ascii="Arial" w:cs="Arial" w:eastAsia="Arial" w:hAnsi="Arial"/>
          <w:sz w:val="18"/>
          <w:szCs w:val="18"/>
          <w:color w:val="auto"/>
        </w:rPr>
        <w:t>– The notes are not intended to be offered, sold or otherwise made available to and should not be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sold or otherwise made available to any retail investor in the EEA. For these purposes: (a) a retail investor means a person who is one (or more) of: (i) a retail client as defined in point (11) of Article 4(1) of Directive 2014/65/EU, as amended (“MiFID II”); or (ii) a customer within the meaning of Directive (EU) 2016/97 (the Insurance Distribution Directive), as amended or superseded, where that customer would not qualify as a professional client as defined in point (10) of Article 4(1) of MiFID II; or (iii) not a qualified investor as defined in the Prospectus Directive; and (b)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Federal Realty Investment Trust does not intend to offer the notes in any Member State other than the United Kingdom.</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200" w:right="260"/>
        <w:spacing w:after="0" w:line="279" w:lineRule="auto"/>
        <w:rPr>
          <w:sz w:val="20"/>
          <w:szCs w:val="20"/>
          <w:color w:val="auto"/>
        </w:rPr>
      </w:pPr>
      <w:r>
        <w:rPr>
          <w:rFonts w:ascii="Arial" w:cs="Arial" w:eastAsia="Arial" w:hAnsi="Arial"/>
          <w:sz w:val="17"/>
          <w:szCs w:val="17"/>
          <w:color w:val="auto"/>
        </w:rPr>
        <w:t xml:space="preserve">The notes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notes must be made in accordance with an exemption from, or in a transaction not subject to, the prospectus requirements of applicable securities laws.</w:t>
      </w:r>
    </w:p>
    <w:p>
      <w:pPr>
        <w:spacing w:after="0" w:line="17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audited consolidated financial statements, schedules and management’s assessment of the effectiveness of our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underwriters.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172085</wp:posOffset>
            </wp:positionV>
            <wp:extent cx="2246630" cy="909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4663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193040</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May 7, 2018.</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2"/>
            <w:vMerge w:val="restart"/>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980" w:type="dxa"/>
            <w:vAlign w:val="bottom"/>
            <w:gridSpan w:val="12"/>
            <w:vMerge w:val="continue"/>
          </w:tcPr>
          <w:p>
            <w:pPr>
              <w:spacing w:after="0"/>
              <w:rPr>
                <w:sz w:val="13"/>
                <w:szCs w:val="13"/>
                <w:color w:val="auto"/>
              </w:rPr>
            </w:pPr>
          </w:p>
        </w:tc>
        <w:tc>
          <w:tcPr>
            <w:tcW w:w="70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gridSpan w:val="1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Forward-Looking Statements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24"/>
                <w:szCs w:val="24"/>
                <w:color w:val="auto"/>
              </w:rPr>
            </w:pPr>
          </w:p>
        </w:tc>
        <w:tc>
          <w:tcPr>
            <w:tcW w:w="1860" w:type="dxa"/>
            <w:vAlign w:val="bottom"/>
            <w:gridSpan w:val="5"/>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Risk Factors</w:t>
              </w:r>
            </w:hyperlink>
          </w:p>
        </w:tc>
        <w:tc>
          <w:tcPr>
            <w:tcW w:w="3060" w:type="dxa"/>
            <w:vAlign w:val="bottom"/>
            <w:gridSpan w:val="10"/>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Use of Proceeds</w:t>
              </w:r>
            </w:hyperlink>
          </w:p>
        </w:tc>
        <w:tc>
          <w:tcPr>
            <w:tcW w:w="2800" w:type="dxa"/>
            <w:vAlign w:val="bottom"/>
            <w:gridSpan w:val="8"/>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Description of Debt Securities</w:t>
              </w:r>
            </w:hyperlink>
          </w:p>
        </w:tc>
        <w:tc>
          <w:tcPr>
            <w:tcW w:w="1780" w:type="dxa"/>
            <w:vAlign w:val="bottom"/>
            <w:gridSpan w:val="4"/>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Description of Shares of Beneficial Interest</w:t>
              </w:r>
            </w:hyperlink>
          </w:p>
        </w:tc>
        <w:tc>
          <w:tcPr>
            <w:tcW w:w="840" w:type="dxa"/>
            <w:vAlign w:val="bottom"/>
            <w:gridSpan w:val="2"/>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Material Federal Income Tax Considerations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78">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24"/>
                <w:szCs w:val="24"/>
                <w:color w:val="auto"/>
              </w:rPr>
            </w:pPr>
          </w:p>
        </w:tc>
        <w:tc>
          <w:tcPr>
            <w:tcW w:w="760" w:type="dxa"/>
            <w:vAlign w:val="bottom"/>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Legal Matters</w:t>
              </w:r>
            </w:hyperlink>
          </w:p>
        </w:tc>
        <w:tc>
          <w:tcPr>
            <w:tcW w:w="2960" w:type="dxa"/>
            <w:vAlign w:val="bottom"/>
            <w:gridSpan w:val="9"/>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80">
              <w:r>
                <w:rPr>
                  <w:rFonts w:ascii="Arial" w:cs="Arial" w:eastAsia="Arial" w:hAnsi="Arial"/>
                  <w:sz w:val="18"/>
                  <w:szCs w:val="18"/>
                  <w:color w:val="0000EE"/>
                  <w:w w:val="88"/>
                </w:rPr>
                <w:t>Experts</w:t>
              </w:r>
            </w:hyperlink>
          </w:p>
        </w:tc>
        <w:tc>
          <w:tcPr>
            <w:tcW w:w="3420" w:type="dxa"/>
            <w:vAlign w:val="bottom"/>
            <w:gridSpan w:val="11"/>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Where You Can Find More Information</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0" w:type="dxa"/>
            <w:vAlign w:val="bottom"/>
            <w:gridSpan w:val="3"/>
          </w:tcPr>
          <w:p>
            <w:pPr>
              <w:jc w:val="right"/>
              <w:ind w:right="564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650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66503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2018, we owned or had a majority interest in community and neighborhood shopping centers and mixed-use properties which are operated as 104 predominantly retail real estate projects comprising approximately 24.2 million square feet. In total, the real estate projects were 94.8% leased and 93.3% occupied at March 31, 2018. We have paid quarterly dividends to our shareholders continuously since our founding in 1962 and have increased our dividends per common share for 50 consecutive years.</w:t>
      </w:r>
    </w:p>
    <w:p>
      <w:pPr>
        <w:spacing w:after="0" w:line="16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have qualified for taxation as a REIT pursuant to the Internal Revenue Code of 1986, as amended, or the Code, since we were founded, and we intend to operate in a manner that will allow us to maintain such qualification.</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Ratios of Earnings to Fixed Charges and Combined Fixed Charges and Preferred Share Dividends</w:t>
      </w:r>
    </w:p>
    <w:p>
      <w:pPr>
        <w:spacing w:after="0" w:line="22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following table sets forth our historical ratios of earnings to fixed charges and combined Fixed Charges and preferred share dividends for the periods indicated:</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For the Three Months</w:t>
            </w:r>
          </w:p>
        </w:tc>
        <w:tc>
          <w:tcPr>
            <w:tcW w:w="280" w:type="dxa"/>
            <w:vAlign w:val="bottom"/>
          </w:tcPr>
          <w:p>
            <w:pPr>
              <w:spacing w:after="0"/>
              <w:rPr>
                <w:sz w:val="14"/>
                <w:szCs w:val="14"/>
                <w:color w:val="auto"/>
              </w:rPr>
            </w:pPr>
          </w:p>
        </w:tc>
        <w:tc>
          <w:tcPr>
            <w:tcW w:w="2320" w:type="dxa"/>
            <w:vAlign w:val="bottom"/>
            <w:gridSpan w:val="7"/>
            <w:vMerge w:val="restart"/>
          </w:tcPr>
          <w:p>
            <w:pPr>
              <w:ind w:left="120"/>
              <w:spacing w:after="0"/>
              <w:rPr>
                <w:sz w:val="20"/>
                <w:szCs w:val="20"/>
                <w:color w:val="auto"/>
              </w:rPr>
            </w:pPr>
            <w:r>
              <w:rPr>
                <w:rFonts w:ascii="Arial" w:cs="Arial" w:eastAsia="Arial" w:hAnsi="Arial"/>
                <w:sz w:val="14"/>
                <w:szCs w:val="14"/>
                <w:b w:val="1"/>
                <w:bCs w:val="1"/>
                <w:color w:val="auto"/>
                <w:w w:val="94"/>
              </w:rPr>
              <w:t>For the Years Ended December 31,</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Ended March 31,</w:t>
            </w:r>
          </w:p>
        </w:tc>
        <w:tc>
          <w:tcPr>
            <w:tcW w:w="280" w:type="dxa"/>
            <w:vAlign w:val="bottom"/>
          </w:tcPr>
          <w:p>
            <w:pPr>
              <w:spacing w:after="0"/>
              <w:rPr>
                <w:sz w:val="14"/>
                <w:szCs w:val="14"/>
                <w:color w:val="auto"/>
              </w:rPr>
            </w:pPr>
          </w:p>
        </w:tc>
        <w:tc>
          <w:tcPr>
            <w:tcW w:w="2320" w:type="dxa"/>
            <w:vAlign w:val="bottom"/>
            <w:gridSpan w:val="7"/>
            <w:vMerge w:val="continue"/>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360" w:type="dxa"/>
            <w:vAlign w:val="bottom"/>
            <w:tcBorders>
              <w:top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2017</w:t>
            </w: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left="200" w:right="120" w:hanging="4"/>
        <w:spacing w:after="0" w:line="254" w:lineRule="auto"/>
        <w:tabs>
          <w:tab w:leader="none" w:pos="4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0"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risks. Before making an investment decision, please consider the risks described under the caption “Risk Factors” in our Annual Report on Form 10-K for the fiscal year ended December 31, 2017,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4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87"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30" w:lineRule="exact"/>
        <w:rPr>
          <w:rFonts w:ascii="Arial" w:cs="Arial" w:eastAsia="Arial" w:hAnsi="Arial"/>
          <w:sz w:val="18"/>
          <w:szCs w:val="18"/>
          <w:color w:val="auto"/>
        </w:rPr>
      </w:pPr>
    </w:p>
    <w:p>
      <w:pPr>
        <w:ind w:left="900" w:right="520" w:hanging="446"/>
        <w:spacing w:after="0" w:line="34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75"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46"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Mandatory Redemption. </w:t>
      </w:r>
      <w:r>
        <w:rPr>
          <w:rFonts w:ascii="Arial" w:cs="Arial" w:eastAsia="Arial" w:hAnsi="Arial"/>
          <w:sz w:val="18"/>
          <w:szCs w:val="18"/>
          <w:color w:val="auto"/>
        </w:rPr>
        <w:t>The obligation, if any, we have to redeem or repurchase the offered debt securities pursuant to any sinking fund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similar provisions or upon the happening of a specified event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87"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92"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index or pursuant to a formula or other method, the manner in which such amounts will be determined.</w:t>
      </w:r>
    </w:p>
    <w:p>
      <w:pPr>
        <w:spacing w:after="0" w:line="75"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 Rights. </w:t>
      </w:r>
      <w:r>
        <w:rPr>
          <w:rFonts w:ascii="Arial" w:cs="Arial" w:eastAsia="Arial" w:hAnsi="Arial"/>
          <w:sz w:val="17"/>
          <w:szCs w:val="17"/>
          <w:color w:val="auto"/>
        </w:rPr>
        <w:t>Provisions, if any, granting special rights to the holders of the offered debt securities if certain specified events occur.</w:t>
      </w:r>
    </w:p>
    <w:p>
      <w:pPr>
        <w:spacing w:after="0" w:line="142" w:lineRule="exact"/>
        <w:rPr>
          <w:rFonts w:ascii="Arial" w:cs="Arial" w:eastAsia="Arial" w:hAnsi="Arial"/>
          <w:sz w:val="17"/>
          <w:szCs w:val="17"/>
          <w:color w:val="auto"/>
        </w:rPr>
      </w:pPr>
    </w:p>
    <w:p>
      <w:pPr>
        <w:ind w:left="900" w:right="6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92"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6" w:lineRule="exact"/>
        <w:rPr>
          <w:rFonts w:ascii="Arial" w:cs="Arial" w:eastAsia="Arial" w:hAnsi="Arial"/>
          <w:sz w:val="18"/>
          <w:szCs w:val="18"/>
          <w:color w:val="auto"/>
        </w:rPr>
      </w:pPr>
    </w:p>
    <w:p>
      <w:pPr>
        <w:ind w:left="900" w:right="420" w:hanging="446"/>
        <w:spacing w:after="0" w:line="308"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Payees. </w:t>
      </w:r>
      <w:r>
        <w:rPr>
          <w:rFonts w:ascii="Arial" w:cs="Arial" w:eastAsia="Arial" w:hAnsi="Arial"/>
          <w:sz w:val="17"/>
          <w:szCs w:val="17"/>
          <w:color w:val="auto"/>
        </w:rPr>
        <w:t>If other than as provided in the applicable indenture, the person to whom any interest on any registered security of the series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the manner in which, or the person to whom, any interest on any bearer securities of the series will be payable.</w:t>
      </w:r>
    </w:p>
    <w:p>
      <w:pPr>
        <w:spacing w:after="0" w:line="51" w:lineRule="exact"/>
        <w:rPr>
          <w:rFonts w:ascii="Arial" w:cs="Arial" w:eastAsia="Arial" w:hAnsi="Arial"/>
          <w:sz w:val="17"/>
          <w:szCs w:val="17"/>
          <w:color w:val="auto"/>
        </w:rPr>
      </w:pPr>
    </w:p>
    <w:p>
      <w:pPr>
        <w:ind w:left="900" w:right="300" w:hanging="446"/>
        <w:spacing w:after="0" w:line="308"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indenture, including, without limitation, the definition of “unrestricted subsidiary” to be used for such series.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446"/>
        <w:spacing w:after="0" w:line="34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2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75" w:lineRule="exact"/>
        <w:rPr>
          <w:rFonts w:ascii="Arial" w:cs="Arial" w:eastAsia="Arial" w:hAnsi="Arial"/>
          <w:sz w:val="18"/>
          <w:szCs w:val="18"/>
          <w:color w:val="auto"/>
        </w:rPr>
      </w:pPr>
    </w:p>
    <w:p>
      <w:pPr>
        <w:jc w:val="both"/>
        <w:ind w:left="900" w:right="180" w:hanging="446"/>
        <w:spacing w:after="0" w:line="286"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The terms, if any, upon which the offered debt securities may be converted or exchanged into or for our common shares,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900" w:right="38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jc w:val="both"/>
        <w:ind w:left="900" w:right="40" w:hanging="446"/>
        <w:spacing w:after="0" w:line="31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225"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U.S. Bank National Association, 214 North Tryon Street, 27</w:t>
      </w:r>
      <w:r>
        <w:rPr>
          <w:rFonts w:ascii="Arial" w:cs="Arial" w:eastAsia="Arial" w:hAnsi="Arial"/>
          <w:sz w:val="14"/>
          <w:szCs w:val="14"/>
          <w:color w:val="auto"/>
        </w:rPr>
        <w:t>th</w:t>
      </w:r>
      <w:r>
        <w:rPr>
          <w:rFonts w:ascii="Arial" w:cs="Arial" w:eastAsia="Arial" w:hAnsi="Arial"/>
          <w:sz w:val="17"/>
          <w:szCs w:val="17"/>
          <w:color w:val="auto"/>
        </w:rPr>
        <w:t xml:space="preserve"> Floor, Charlotte, North Carolina 28202. We will notify you of any change in the office’s location. At our option, however, we may make any interest payments on debt securities issued in registered form by:</w:t>
      </w:r>
    </w:p>
    <w:p>
      <w:pPr>
        <w:spacing w:after="0" w:line="71"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Existence. </w:t>
      </w:r>
      <w:r>
        <w:rPr>
          <w:rFonts w:ascii="Arial" w:cs="Arial" w:eastAsia="Arial" w:hAnsi="Arial"/>
          <w:sz w:val="17"/>
          <w:szCs w:val="17"/>
          <w:color w:val="auto"/>
        </w:rPr>
        <w:t>Except as permitted under “Consolidation, Merger or Sale of Assets,” we will do or cause to be done all things necessary to preserve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66"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131"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29" w:lineRule="exact"/>
        <w:rPr>
          <w:sz w:val="20"/>
          <w:szCs w:val="20"/>
          <w:color w:val="auto"/>
        </w:rPr>
      </w:pPr>
    </w:p>
    <w:p>
      <w:pPr>
        <w:jc w:val="both"/>
        <w:ind w:left="900" w:right="200" w:hanging="446"/>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460" w:right="140" w:hanging="547"/>
        <w:spacing w:after="0" w:line="264"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7"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460" w:right="60" w:hanging="547"/>
        <w:spacing w:after="0" w:line="312" w:lineRule="auto"/>
        <w:tabs>
          <w:tab w:leader="none" w:pos="14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52" w:lineRule="exact"/>
        <w:rPr>
          <w:rFonts w:ascii="Arial" w:cs="Arial" w:eastAsia="Arial" w:hAnsi="Arial"/>
          <w:sz w:val="16"/>
          <w:szCs w:val="16"/>
          <w:color w:val="auto"/>
        </w:rPr>
      </w:pPr>
    </w:p>
    <w:p>
      <w:pPr>
        <w:ind w:left="1460" w:right="80" w:hanging="547"/>
        <w:spacing w:after="0" w:line="277"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there will be no restrictions in any subordinated indenture upon the creation of additional senior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76"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must resume payment on our subordinated debt securities, and make any payments we have missed, when one of the following has occurred:</w:t>
      </w:r>
    </w:p>
    <w:p>
      <w:pPr>
        <w:spacing w:after="0" w:line="142"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7"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53"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right="140" w:firstLine="464"/>
        <w:spacing w:after="0" w:line="277" w:lineRule="auto"/>
        <w:tabs>
          <w:tab w:leader="none" w:pos="6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280" w:firstLine="464"/>
        <w:spacing w:after="0" w:line="277" w:lineRule="auto"/>
        <w:tabs>
          <w:tab w:leader="none" w:pos="6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firstLine="464"/>
        <w:spacing w:after="0" w:line="264" w:lineRule="auto"/>
        <w:tabs>
          <w:tab w:leader="none" w:pos="6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1" w:lineRule="exact"/>
        <w:rPr>
          <w:sz w:val="20"/>
          <w:szCs w:val="20"/>
          <w:color w:val="auto"/>
        </w:rPr>
      </w:pPr>
    </w:p>
    <w:p>
      <w:pPr>
        <w:ind w:left="700" w:hanging="23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20" w:firstLine="464"/>
        <w:spacing w:after="0" w:line="271" w:lineRule="auto"/>
        <w:tabs>
          <w:tab w:leader="none" w:pos="633"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78" w:lineRule="exact"/>
        <w:rPr>
          <w:rFonts w:ascii="Arial" w:cs="Arial" w:eastAsia="Arial" w:hAnsi="Arial"/>
          <w:sz w:val="17"/>
          <w:szCs w:val="17"/>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sz w:val="20"/>
          <w:szCs w:val="20"/>
          <w:color w:val="auto"/>
        </w:rPr>
      </w:pPr>
    </w:p>
    <w:p>
      <w:pPr>
        <w:ind w:left="700" w:hanging="23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jc w:val="center"/>
        <w:ind w:left="5620" w:right="240" w:hanging="5156"/>
        <w:spacing w:after="0" w:line="449" w:lineRule="auto"/>
        <w:tabs>
          <w:tab w:leader="none" w:pos="7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 and the order or decree remains unstayed and in effect for 90 days. 10</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We or any of our significant subsidiaries do any of the following:</w:t>
      </w:r>
    </w:p>
    <w:p>
      <w:pPr>
        <w:spacing w:after="0" w:line="225" w:lineRule="exact"/>
        <w:rPr>
          <w:sz w:val="20"/>
          <w:szCs w:val="20"/>
          <w:color w:val="auto"/>
        </w:rPr>
      </w:pPr>
    </w:p>
    <w:p>
      <w:pPr>
        <w:ind w:left="700" w:hanging="23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76"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460" w:right="660" w:hanging="547"/>
        <w:spacing w:after="0" w:line="277" w:lineRule="auto"/>
        <w:tabs>
          <w:tab w:leader="none" w:pos="14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460" w:right="120" w:hanging="547"/>
        <w:spacing w:after="0" w:line="277" w:lineRule="auto"/>
        <w:tabs>
          <w:tab w:leader="none" w:pos="14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Notices of Default. </w:t>
      </w:r>
      <w:r>
        <w:rPr>
          <w:rFonts w:ascii="Arial" w:cs="Arial" w:eastAsia="Arial" w:hAnsi="Arial"/>
          <w:sz w:val="17"/>
          <w:szCs w:val="17"/>
          <w:color w:val="auto"/>
        </w:rPr>
        <w:t>Unless we say otherwise in a prospectus supplement, we are required to deliver to the trustee, on or before a date not more than 120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 securities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9"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 powers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6"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66"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7" w:lineRule="exact"/>
        <w:rPr>
          <w:sz w:val="20"/>
          <w:szCs w:val="20"/>
          <w:color w:val="auto"/>
        </w:rPr>
      </w:pPr>
    </w:p>
    <w:p>
      <w:pPr>
        <w:ind w:left="900" w:right="24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900" w:right="220" w:hanging="446"/>
        <w:spacing w:after="0" w:line="342"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46" w:lineRule="exact"/>
        <w:rPr>
          <w:rFonts w:ascii="Arial" w:cs="Arial" w:eastAsia="Arial" w:hAnsi="Arial"/>
          <w:sz w:val="16"/>
          <w:szCs w:val="16"/>
          <w:color w:val="auto"/>
        </w:rPr>
      </w:pPr>
    </w:p>
    <w:p>
      <w:pPr>
        <w:ind w:left="900" w:right="180"/>
        <w:spacing w:after="0" w:line="323"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87"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7" w:lineRule="exact"/>
        <w:rPr>
          <w:sz w:val="20"/>
          <w:szCs w:val="20"/>
          <w:color w:val="auto"/>
        </w:rPr>
      </w:pPr>
    </w:p>
    <w:p>
      <w:pPr>
        <w:ind w:left="900" w:right="22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900" w:right="20" w:hanging="446"/>
        <w:spacing w:after="0" w:line="286"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2"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900" w:right="14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78"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and Series C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the articles supplementary with respect to our Series 1 preferred shares, and the articles supplementary with respect to our Series C preferred shares.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May 4, 2018, we had issued and outstanding 73,221,458 common shares, 399,896 preferred shares, which are designated as 5.417% Series 1 Cumulative Convertible Preferred Shares, which we refer to as the Series 1 preferred shares, and 6,000 preferred shares, which are designated as 5.000% Series C Cumulative Redeemable Preferred Shares, which we refer to as the Series C preferred shares.</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76" w:lineRule="exact"/>
        <w:rPr>
          <w:sz w:val="20"/>
          <w:szCs w:val="20"/>
          <w:color w:val="auto"/>
        </w:rPr>
      </w:pPr>
    </w:p>
    <w:p>
      <w:pPr>
        <w:ind w:left="900" w:right="28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w:t>
      </w:r>
    </w:p>
    <w:p>
      <w:pPr>
        <w:spacing w:after="0" w:line="16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7" w:lineRule="exact"/>
        <w:rPr>
          <w:sz w:val="20"/>
          <w:szCs w:val="20"/>
          <w:color w:val="auto"/>
        </w:rPr>
      </w:pPr>
    </w:p>
    <w:p>
      <w:pPr>
        <w:jc w:val="both"/>
        <w:ind w:left="900" w:right="120" w:hanging="446"/>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92"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70"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The Series 1 preferred shares rank pari pasu with the Series C preferred shares and senior to the common shares with respect to the payment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93"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purpose, cumulative preferential dividends payable in cash at a rate of 5.417% of the liquidation price of $25, which is equivalent to $1.35425 per annum.</w:t>
      </w:r>
    </w:p>
    <w:p>
      <w:pPr>
        <w:spacing w:after="0" w:line="12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1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per share, plus all accrued and unpaid dividends, before any distribution shall be made with respect to the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Subject to other applicable provisions within the articles supplementary for the Series 1 preferred shares, from the date of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C Preferred Shares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September 2017, we issued 6,000 Series C preferred shares and we filed articles supplementary to our declaration of trust setting forth the terms of the Series C preferred shares. Below is a brief description of the terms of the Series C preferred shares, which is subject to and qualified in its entirety by reference to the articles supplementary.</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Rank. </w:t>
      </w:r>
      <w:r>
        <w:rPr>
          <w:rFonts w:ascii="Arial" w:cs="Arial" w:eastAsia="Arial" w:hAnsi="Arial"/>
          <w:sz w:val="16"/>
          <w:szCs w:val="16"/>
          <w:color w:val="auto"/>
        </w:rPr>
        <w:t>The Series C preferred shares rank pari pasu with the Series 1 preferred shares and senior to the common shares with respect to the payment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dividends and the distribution of assets upon our liquidation, dissolution or winding up. Our declaration of trust provides that, unless full cumulative dividends on all outstanding Series C preferred shares and any other class or series of our shares of beneficial interest ranking, as to the payment of dividends and the distribution of assets upon liquidation, dissolution or winding up, on parity with the Series C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C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6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Each Series C preferred share is entitled to receive, when, as and if authorized by our Board of Trustees out of funds legally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purpose, cumulative preferential dividends payable in cash at a rate of 5.000% of the liquidation price of $25,000, which is equivalent to $1,250 per annum.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C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$25,000 per share, plus all accrued and unpaid dividends, before any distribution shall be made with respect to the common shares.</w:t>
      </w:r>
    </w:p>
    <w:p>
      <w:pPr>
        <w:spacing w:after="0" w:line="14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C preferred shares generally have no voting rights. However, if and whenever dividends payable on the Series C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Series C preferred shares have no conversion rights.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by the Trust. </w:t>
      </w:r>
      <w:r>
        <w:rPr>
          <w:rFonts w:ascii="Arial" w:cs="Arial" w:eastAsia="Arial" w:hAnsi="Arial"/>
          <w:sz w:val="18"/>
          <w:szCs w:val="18"/>
          <w:color w:val="auto"/>
        </w:rPr>
        <w:t>The Series C preferred shares may be redeemed for cash, in whole or from time to time in part, on any date on or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29, 2022 at the option of the Trust at a price per share equal to $25,000.00 plus accrued and unpaid dividends thereon, if any, to, but excluding, the redemption date.</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 xml:space="preserve">Depositary Shares. </w:t>
      </w:r>
      <w:r>
        <w:rPr>
          <w:rFonts w:ascii="Arial" w:cs="Arial" w:eastAsia="Arial" w:hAnsi="Arial"/>
          <w:sz w:val="16"/>
          <w:szCs w:val="16"/>
          <w:color w:val="auto"/>
        </w:rPr>
        <w:t>Interests in the Series C preferred shares are represented by depositary shares, which we refer to as the Series C depositary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Series C depositary share represents a 1/1000th fractional interest in a Series C preferred share. The Series C preferred shares have been deposited with American Stock Transfer &amp;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 xml:space="preserve">Stock Exchange Listing. </w:t>
      </w:r>
      <w:r>
        <w:rPr>
          <w:rFonts w:ascii="Arial" w:cs="Arial" w:eastAsia="Arial" w:hAnsi="Arial"/>
          <w:sz w:val="17"/>
          <w:szCs w:val="17"/>
          <w:color w:val="auto"/>
        </w:rPr>
        <w:t>The Series C depositary shares are traded on the New York Stock Exchange under the trading symbol “FRTPRC.”</w:t>
      </w:r>
    </w:p>
    <w:p>
      <w:pPr>
        <w:spacing w:after="0" w:line="23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C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47"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54"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76"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Subject to any preferential rights of any outstanding shares or series of shares and to the provisions of our declaration of trust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As to any liquidation preference applicable to preferred shares offered through this prospectus, the applicable supplement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76"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We may issue receipts for depositary shares, each of which will represent a fractional interest of a share of a particular series of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May 4, 2018, we had 6,000,000 depositary shares issued and outstanding, each representing a 1/1000th fractional interest in a Series C preferred share. See “—Series C Preferred Shares.”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8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w:t>
      </w:r>
    </w:p>
    <w:p>
      <w:pPr>
        <w:ind w:right="40"/>
        <w:spacing w:after="0" w:line="295" w:lineRule="auto"/>
        <w:rPr>
          <w:sz w:val="20"/>
          <w:szCs w:val="20"/>
          <w:color w:val="auto"/>
        </w:rPr>
      </w:pPr>
      <w:r>
        <w:rPr>
          <w:rFonts w:ascii="Arial" w:cs="Arial" w:eastAsia="Arial" w:hAnsi="Arial"/>
          <w:sz w:val="16"/>
          <w:szCs w:val="16"/>
          <w:color w:val="auto"/>
        </w:rPr>
        <w:t>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6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51" w:lineRule="exact"/>
        <w:rPr>
          <w:rFonts w:ascii="Arial" w:cs="Arial" w:eastAsia="Arial" w:hAnsi="Arial"/>
          <w:sz w:val="17"/>
          <w:szCs w:val="17"/>
          <w:color w:val="auto"/>
        </w:rPr>
      </w:pPr>
    </w:p>
    <w:p>
      <w:pPr>
        <w:ind w:left="900" w:right="74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31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52"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7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7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right="60" w:firstLine="456"/>
        <w:spacing w:after="0" w:line="281"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90"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77"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Number of Trustees. </w:t>
      </w:r>
      <w:r>
        <w:rPr>
          <w:rFonts w:ascii="Arial" w:cs="Arial" w:eastAsia="Arial" w:hAnsi="Arial"/>
          <w:sz w:val="18"/>
          <w:szCs w:val="18"/>
          <w:color w:val="auto"/>
        </w:rPr>
        <w:t>The number of trustees may be increased or decreased pursuant to the bylaws, provided that the total number of trustees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less than five or more than 10. Under Maryland law and our declaration of trust, trustees are elected for one-year terms.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86" w:lineRule="exact"/>
        <w:rPr>
          <w:sz w:val="20"/>
          <w:szCs w:val="20"/>
          <w:color w:val="auto"/>
        </w:rPr>
      </w:pPr>
    </w:p>
    <w:p>
      <w:pPr>
        <w:ind w:left="900" w:right="4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b w:val="1"/>
          <w:bCs w:val="1"/>
          <w:i w:val="1"/>
          <w:iCs w:val="1"/>
          <w:color w:val="auto"/>
        </w:rPr>
        <w:t>Meetings of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provide for an annual meeting of shareholders, to be held in May after delivery of the annual report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69"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5"/>
          <w:szCs w:val="15"/>
          <w:color w:val="auto"/>
        </w:rPr>
        <w:t>th</w:t>
      </w:r>
      <w:r>
        <w:rPr>
          <w:rFonts w:ascii="Arial" w:cs="Arial" w:eastAsia="Arial" w:hAnsi="Arial"/>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9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7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 xml:space="preserve">Shareholder Liability and Indemnification. </w:t>
      </w:r>
      <w:r>
        <w:rPr>
          <w:rFonts w:ascii="Arial" w:cs="Arial" w:eastAsia="Arial" w:hAnsi="Arial"/>
          <w:sz w:val="17"/>
          <w:szCs w:val="17"/>
          <w:color w:val="auto"/>
        </w:rPr>
        <w:t>Under Maryland law, you will not be personally liable for any obligation of ours solely because you are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2"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2017;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6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92" w:lineRule="exact"/>
        <w:rPr>
          <w:sz w:val="20"/>
          <w:szCs w:val="20"/>
          <w:color w:val="auto"/>
        </w:rPr>
      </w:pPr>
    </w:p>
    <w:p>
      <w:pPr>
        <w:ind w:left="900" w:right="34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our taxable years ending on or prior to December 31, 2017, we may be subject to the “alternative minimum tax” on any items of tax preference that we do not distribute or allocate to our shareholders;</w:t>
      </w:r>
    </w:p>
    <w:p>
      <w:pPr>
        <w:spacing w:after="0" w:line="75" w:lineRule="exact"/>
        <w:rPr>
          <w:rFonts w:ascii="Arial" w:cs="Arial" w:eastAsia="Arial" w:hAnsi="Arial"/>
          <w:sz w:val="18"/>
          <w:szCs w:val="18"/>
          <w:color w:val="auto"/>
        </w:rPr>
      </w:pPr>
    </w:p>
    <w:p>
      <w:pPr>
        <w:jc w:val="both"/>
        <w:ind w:left="900" w:right="60" w:hanging="446"/>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60" w:hanging="446"/>
        <w:spacing w:after="0" w:line="286" w:lineRule="auto"/>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94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 Under partnership audit changes enacted in 2015 and generally effective for audits in 2018 and later, a partnership (and not the partners) must pay any “imputed underpayments,” consisting of delinquent taxes, interest, and penalties deemed to arise out of an audit of the partnership, unless certain alternative methods are available and the partnership elects to utilize them. The IRS has proposed regulations providing details on some of these provisions, but the timing and content of final regulations remains uncertain.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900" w:right="60" w:hanging="446"/>
        <w:spacing w:after="0" w:line="271"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84" w:lineRule="exact"/>
        <w:rPr>
          <w:rFonts w:ascii="Arial" w:cs="Arial" w:eastAsia="Arial" w:hAnsi="Arial"/>
          <w:sz w:val="17"/>
          <w:szCs w:val="17"/>
          <w:color w:val="auto"/>
        </w:rPr>
      </w:pPr>
    </w:p>
    <w:p>
      <w:pPr>
        <w:ind w:left="900" w:right="100" w:hanging="446"/>
        <w:spacing w:after="0" w:line="279"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hanging="446"/>
        <w:spacing w:after="0" w:line="297"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63" w:lineRule="exact"/>
        <w:rPr>
          <w:rFonts w:ascii="Arial" w:cs="Arial" w:eastAsia="Arial" w:hAnsi="Arial"/>
          <w:sz w:val="16"/>
          <w:szCs w:val="16"/>
          <w:color w:val="auto"/>
        </w:rPr>
      </w:pPr>
    </w:p>
    <w:p>
      <w:pPr>
        <w:ind w:left="900" w:hanging="446"/>
        <w:spacing w:after="0" w:line="269"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5" w:lineRule="exact"/>
        <w:rPr>
          <w:rFonts w:ascii="Arial" w:cs="Arial" w:eastAsia="Arial" w:hAnsi="Arial"/>
          <w:sz w:val="17"/>
          <w:szCs w:val="17"/>
          <w:color w:val="auto"/>
        </w:rPr>
      </w:pPr>
    </w:p>
    <w:p>
      <w:pPr>
        <w:ind w:left="900" w:right="100" w:hanging="446"/>
        <w:spacing w:after="0" w:line="273"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900" w:hanging="446"/>
        <w:spacing w:after="0" w:line="253"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0"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In general,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73"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66"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60" w:hanging="446"/>
        <w:spacing w:after="0" w:line="308"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20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900" w:right="220" w:hanging="446"/>
        <w:spacing w:after="0" w:line="26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6" w:lineRule="exact"/>
        <w:rPr>
          <w:rFonts w:ascii="Arial" w:cs="Arial" w:eastAsia="Arial" w:hAnsi="Arial"/>
          <w:sz w:val="18"/>
          <w:szCs w:val="18"/>
          <w:color w:val="auto"/>
        </w:rPr>
      </w:pPr>
    </w:p>
    <w:p>
      <w:pPr>
        <w:ind w:left="900" w:right="60" w:hanging="446"/>
        <w:spacing w:after="0" w:line="308"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Tax on Prohibited Transactions. </w:t>
      </w:r>
      <w:r>
        <w:rPr>
          <w:rFonts w:ascii="Arial" w:cs="Arial" w:eastAsia="Arial" w:hAnsi="Arial"/>
          <w:sz w:val="18"/>
          <w:szCs w:val="18"/>
          <w:color w:val="auto"/>
        </w:rPr>
        <w:t>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w:t>
      </w:r>
    </w:p>
    <w:p>
      <w:pPr>
        <w:spacing w:after="0" w:line="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Tax and Deduction Limits on Certain Transactions with Taxable REIT Subsidiaries. </w:t>
      </w:r>
      <w:r>
        <w:rPr>
          <w:rFonts w:ascii="Arial" w:cs="Arial" w:eastAsia="Arial" w:hAnsi="Arial"/>
          <w:sz w:val="18"/>
          <w:szCs w:val="18"/>
          <w:color w:val="auto"/>
        </w:rPr>
        <w:t>A REIT will incur a 100% tax on certain transactions between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but recent changes to the interest deduction rules may affect interest deductions of our taxable REIT subsidiaries under some circumstances.</w:t>
      </w:r>
    </w:p>
    <w:p>
      <w:pPr>
        <w:spacing w:after="0" w:line="18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92"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b w:val="1"/>
          <w:bCs w:val="1"/>
          <w:i w:val="1"/>
          <w:iCs w:val="1"/>
          <w:color w:val="auto"/>
        </w:rPr>
        <w:t xml:space="preserve">Like-Kind Exchanges. </w:t>
      </w:r>
      <w:r>
        <w:rPr>
          <w:rFonts w:ascii="Arial" w:cs="Arial" w:eastAsia="Arial" w:hAnsi="Arial"/>
          <w:sz w:val="17"/>
          <w:szCs w:val="17"/>
          <w:color w:val="auto"/>
        </w:rPr>
        <w:t>We may dispose of properties in transactions intended to qualify as like-kind exchanges under the Code. Such like-kind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Recent legislative changes eliminate like-kind exchanges for most personal property.</w:t>
      </w:r>
    </w:p>
    <w:p>
      <w:pPr>
        <w:spacing w:after="0" w:line="17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900" w:right="42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60" w:right="60" w:hanging="547"/>
        <w:spacing w:after="0" w:line="259" w:lineRule="auto"/>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our properties qualify as real estate assets.</w:t>
      </w:r>
    </w:p>
    <w:p>
      <w:pPr>
        <w:spacing w:after="0" w:line="92" w:lineRule="exact"/>
        <w:rPr>
          <w:rFonts w:ascii="Arial" w:cs="Arial" w:eastAsia="Arial" w:hAnsi="Arial"/>
          <w:sz w:val="18"/>
          <w:szCs w:val="18"/>
          <w:color w:val="auto"/>
        </w:rPr>
      </w:pPr>
    </w:p>
    <w:p>
      <w:pPr>
        <w:jc w:val="both"/>
        <w:ind w:left="1460" w:right="100" w:hanging="547"/>
        <w:spacing w:after="0" w:line="264" w:lineRule="auto"/>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60" w:right="200" w:hanging="547"/>
        <w:spacing w:after="0" w:line="277" w:lineRule="auto"/>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87"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in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and (C) no more than 25% of the value of our total assets may consist of the securities of taxable REIT subsidiaries (unless they would otherwise be treated as real estate assets)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74"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value of our securities in one or more taxable REIT subsidiaries (unless they would otherwise be treated as real estate assets) may not exceed 20% of the value of our total assets.</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value of our holdings in debt instruments of publicly offered REITs (unless they would otherwise be treated as real estate assets) may not exceed 25% of the value of our total assets.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67"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w:t>
      </w:r>
    </w:p>
    <w:p>
      <w:pPr>
        <w:ind w:right="20"/>
        <w:spacing w:after="0" w:line="277" w:lineRule="auto"/>
        <w:rPr>
          <w:sz w:val="20"/>
          <w:szCs w:val="20"/>
          <w:color w:val="auto"/>
        </w:rPr>
      </w:pPr>
      <w:r>
        <w:rPr>
          <w:rFonts w:ascii="Arial" w:cs="Arial" w:eastAsia="Arial" w:hAnsi="Arial"/>
          <w:sz w:val="17"/>
          <w:szCs w:val="17"/>
          <w:color w:val="auto"/>
        </w:rPr>
        <w:t>$10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5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Further, with respect to our 2014 and prior taxable years, in order for distributions to have been counted as satisfying the annual distribution requirements for REITs and to provide us with a dividends paid deduction, our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our organizational documents. For taxable years beginning after December 31, 2014, the preferential dividend rule does not apply to publicly offered REITs. We are a publicly offered REIT. Thus, so long as we continue to qualify as a publicly offered REIT, the preferential dividend rule does not apply to our 2015 and subsequent taxable years.</w:t>
      </w:r>
    </w:p>
    <w:p>
      <w:pPr>
        <w:spacing w:after="0" w:line="17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6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procedure applicable to publicly offered REITs that will treat distributions that, at the election of each shareholder, are paid partly in cash and partly in shares as dividends that satisfy the REIT annual distribution requirement and qualify for the dividends paid deduction for federal income tax purposes, provided certain conditions are satisfied. We have no current intention to make such an elective cash/shares distribution or a distribution of debt securities, but in the event of an elective cash/shares distribution we expect to structure it so as to comply with the revenue procedure.</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 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after 2017 and prior to 2026, generally non-corporate shareholders are allowed to deduct 20% of the aggregate amount of ordinary dividends distributed by us, subject to certain limitations.</w:t>
      </w:r>
    </w:p>
    <w:p>
      <w:pPr>
        <w:spacing w:after="0" w:line="19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w:t>
      </w:r>
    </w:p>
    <w:p>
      <w:pPr>
        <w:spacing w:after="0" w:line="2" w:lineRule="exact"/>
        <w:rPr>
          <w:sz w:val="20"/>
          <w:szCs w:val="20"/>
          <w:color w:val="auto"/>
        </w:rPr>
      </w:pPr>
    </w:p>
    <w:p>
      <w:pPr>
        <w:ind w:firstLine="8"/>
        <w:spacing w:after="0" w:line="269" w:lineRule="auto"/>
        <w:tabs>
          <w:tab w:leader="none" w:pos="215"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66"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9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6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5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Medicare Tax on Unearned Income. </w:t>
      </w:r>
      <w:r>
        <w:rPr>
          <w:rFonts w:ascii="Arial" w:cs="Arial" w:eastAsia="Arial" w:hAnsi="Arial"/>
          <w:sz w:val="18"/>
          <w:szCs w:val="18"/>
          <w:color w:val="auto"/>
        </w:rPr>
        <w:t>Certain taxable U.S. shareholders who are individuals, estates or trusts are subject to a 3.8% Medicare tax on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 portion of their “net investment income,” which may include all or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81"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b w:val="1"/>
          <w:bCs w:val="1"/>
          <w:i w:val="1"/>
          <w:iCs w:val="1"/>
          <w:color w:val="auto"/>
        </w:rPr>
        <w:t xml:space="preserve">Current Tax Rates. </w:t>
      </w:r>
      <w:r>
        <w:rPr>
          <w:rFonts w:ascii="Arial" w:cs="Arial" w:eastAsia="Arial" w:hAnsi="Arial"/>
          <w:sz w:val="17"/>
          <w:szCs w:val="17"/>
          <w:color w:val="auto"/>
        </w:rPr>
        <w:t>The maximum tax rate on the long-term capital gains of domestic non-corporate taxpayers is 20%. The maximum tax rate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after 2017 and prior to 2026, generally non-corporate shareholders are allowed to deduct 20% of the aggregate amount of ordinary dividends distributed by us, subject to certain limitations. Further, with respect to non-corporate taxpayers, the lower qualified dividend income/capital gains tax rate (at a maximum of 20%) does generally apply to:</w:t>
      </w:r>
    </w:p>
    <w:p>
      <w:pPr>
        <w:spacing w:after="0" w:line="83"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95"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Ordinary Dividends. </w:t>
      </w:r>
      <w:r>
        <w:rPr>
          <w:rFonts w:ascii="Arial" w:cs="Arial" w:eastAsia="Arial" w:hAnsi="Arial"/>
          <w:sz w:val="17"/>
          <w:szCs w:val="17"/>
          <w:color w:val="auto"/>
        </w:rPr>
        <w:t>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71"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9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Capital Gain Dividends. </w:t>
      </w:r>
      <w:r>
        <w:rPr>
          <w:rFonts w:ascii="Arial" w:cs="Arial" w:eastAsia="Arial" w:hAnsi="Arial"/>
          <w:sz w:val="17"/>
          <w:szCs w:val="17"/>
          <w:color w:val="auto"/>
        </w:rPr>
        <w:t>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or preferred shares as long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 “domestically controlled REIT.” A “domestically controlled REIT” is a REIT in which at all times during a specified testing period non-U.S.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8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i w:val="1"/>
          <w:iCs w:val="1"/>
          <w:color w:val="auto"/>
        </w:rPr>
        <w:t xml:space="preserve">Conversion of Preferred Shares to Common Shares. </w:t>
      </w:r>
      <w:r>
        <w:rPr>
          <w:rFonts w:ascii="Arial" w:cs="Arial" w:eastAsia="Arial" w:hAnsi="Arial"/>
          <w:sz w:val="16"/>
          <w:szCs w:val="16"/>
          <w:color w:val="auto"/>
        </w:rPr>
        <w:t>The conversion of preferred shares into our common shares may be a taxable exchange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Non-U.S. shareholders should consult with their tax advisors regarding the federal income tax consequences of any transaction by which such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 exchanges our common shares received on a conversion of preferred shares for cash or other property.</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Backup withholding (currently at the rate of 24%)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70"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9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2018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State and Local Taxes. </w:t>
      </w:r>
      <w:r>
        <w:rPr>
          <w:rFonts w:ascii="Arial" w:cs="Arial" w:eastAsia="Arial" w:hAnsi="Arial"/>
          <w:sz w:val="16"/>
          <w:szCs w:val="16"/>
          <w:color w:val="auto"/>
        </w:rPr>
        <w:t>We and/or you may be subject to state and local tax in various states and localities, including those states and localities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4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i w:val="1"/>
          <w:iCs w:val="1"/>
          <w:color w:val="auto"/>
        </w:rPr>
        <w:t xml:space="preserve">Changes to Tax Laws and Regulations. </w:t>
      </w:r>
      <w:r>
        <w:rPr>
          <w:rFonts w:ascii="Arial" w:cs="Arial" w:eastAsia="Arial" w:hAnsi="Arial"/>
          <w:sz w:val="16"/>
          <w:szCs w:val="16"/>
          <w:color w:val="auto"/>
        </w:rPr>
        <w:t>The rules dealing with federal income taxation are subject to revision by the U.S. Congress, the IRS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Department of the 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substantial December 2017 amendments to the Code.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46" w:lineRule="exact"/>
        <w:rPr>
          <w:sz w:val="20"/>
          <w:szCs w:val="20"/>
          <w:color w:val="auto"/>
        </w:rPr>
      </w:pPr>
    </w:p>
    <w:p>
      <w:pPr>
        <w:ind w:left="260" w:hanging="252"/>
        <w:spacing w:after="0"/>
        <w:tabs>
          <w:tab w:leader="none" w:pos="2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through agents; (3) in “at the market offerings” to or through a market maker or into an existing trading market or securities exchange or otherwise;</w:t>
      </w:r>
    </w:p>
    <w:p>
      <w:pPr>
        <w:spacing w:after="0" w:line="20" w:lineRule="exact"/>
        <w:rPr>
          <w:rFonts w:ascii="Arial" w:cs="Arial" w:eastAsia="Arial" w:hAnsi="Arial"/>
          <w:sz w:val="17"/>
          <w:szCs w:val="17"/>
          <w:color w:val="auto"/>
        </w:rPr>
      </w:pPr>
    </w:p>
    <w:p>
      <w:pPr>
        <w:ind w:right="20" w:firstLine="8"/>
        <w:spacing w:after="0" w:line="273" w:lineRule="auto"/>
        <w:tabs>
          <w:tab w:leader="none" w:pos="2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900" w:right="8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purchases by a dealer as principal and resale by such dealer for its account pursuant to this prospectus or any prospectus supplement;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7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72"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87"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9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2017, filed with the SEC on February 13, 2018;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Our Definitive </w:t>
      </w:r>
      <w:hyperlink r:id="rId99">
        <w:r>
          <w:rPr>
            <w:rFonts w:ascii="Arial" w:cs="Arial" w:eastAsia="Arial" w:hAnsi="Arial"/>
            <w:sz w:val="18"/>
            <w:szCs w:val="18"/>
            <w:u w:val="single" w:color="auto"/>
            <w:color w:val="0000EE"/>
          </w:rPr>
          <w:t>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our 2018 Annual Meeting of Shareholders, filed with the SEC on March 23, 2018;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100">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quarter ended March 31, 2018, filed with the SEC on May 2, 2018;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Our Current Report on </w:t>
      </w:r>
      <w:hyperlink r:id="rId101">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May 4, 2018;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Description of our common shares contained in the Registration Statement on </w:t>
      </w:r>
      <w:hyperlink r:id="rId102">
        <w:r>
          <w:rPr>
            <w:rFonts w:ascii="Arial" w:cs="Arial" w:eastAsia="Arial" w:hAnsi="Arial"/>
            <w:sz w:val="18"/>
            <w:szCs w:val="18"/>
            <w:u w:val="single" w:color="auto"/>
            <w:color w:val="0000EE"/>
          </w:rPr>
          <w:t>Form 8-A/A</w:t>
        </w:r>
      </w:hyperlink>
      <w:r>
        <w:rPr>
          <w:rFonts w:ascii="Arial" w:cs="Arial" w:eastAsia="Arial" w:hAnsi="Arial"/>
          <w:sz w:val="18"/>
          <w:szCs w:val="18"/>
          <w:color w:val="auto"/>
        </w:rPr>
        <w:t>, filed with the SEC on June 6, 2002;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Description of our Series C preferred shares contained in the Registration Statement on </w:t>
      </w:r>
      <w:hyperlink r:id="rId103">
        <w:r>
          <w:rPr>
            <w:rFonts w:ascii="Arial" w:cs="Arial" w:eastAsia="Arial" w:hAnsi="Arial"/>
            <w:sz w:val="16"/>
            <w:szCs w:val="16"/>
            <w:u w:val="single" w:color="auto"/>
            <w:color w:val="0000EE"/>
          </w:rPr>
          <w:t>Form 8-A</w:t>
        </w:r>
      </w:hyperlink>
      <w:r>
        <w:rPr>
          <w:rFonts w:ascii="Arial" w:cs="Arial" w:eastAsia="Arial" w:hAnsi="Arial"/>
          <w:sz w:val="16"/>
          <w:szCs w:val="16"/>
          <w:color w:val="auto"/>
        </w:rPr>
        <w:t>, filed with the SEC on September 29, 2017.</w:t>
      </w:r>
    </w:p>
    <w:p>
      <w:pPr>
        <w:spacing w:after="0" w:line="248" w:lineRule="exact"/>
        <w:rPr>
          <w:rFonts w:ascii="Arial" w:cs="Arial" w:eastAsia="Arial" w:hAnsi="Arial"/>
          <w:sz w:val="18"/>
          <w:szCs w:val="18"/>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2"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282575</wp:posOffset>
            </wp:positionV>
            <wp:extent cx="6997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60"/>
        <w:spacing w:after="0"/>
        <w:rPr>
          <w:sz w:val="20"/>
          <w:szCs w:val="20"/>
          <w:color w:val="auto"/>
        </w:rPr>
      </w:pPr>
      <w:r>
        <w:rPr>
          <w:rFonts w:ascii="Arial" w:cs="Arial" w:eastAsia="Arial" w:hAnsi="Arial"/>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340360</wp:posOffset>
            </wp:positionV>
            <wp:extent cx="2178050" cy="875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217805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406400</wp:posOffset>
            </wp:positionV>
            <wp:extent cx="14662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242570</wp:posOffset>
            </wp:positionV>
            <wp:extent cx="14662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BofA Merrill Lynch</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Jefferies</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US Bancorp</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Regions Securities LLC</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6"/>
          <w:szCs w:val="26"/>
          <w:b w:val="1"/>
          <w:bCs w:val="1"/>
          <w:color w:val="auto"/>
        </w:rPr>
        <w:t>SunTrust Robinson Humphrey</w:t>
      </w:r>
    </w:p>
    <w:p>
      <w:pPr>
        <w:spacing w:after="0" w:line="147"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TD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408940</wp:posOffset>
            </wp:positionV>
            <wp:extent cx="14662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18"/>
          <w:szCs w:val="18"/>
          <w:b w:val="1"/>
          <w:bCs w:val="1"/>
          <w:color w:val="auto"/>
        </w:rPr>
        <w:t>June</w:t>
        <w:tab/>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429260</wp:posOffset>
            </wp:positionV>
            <wp:extent cx="6997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488950</wp:posOffset>
            </wp:positionV>
            <wp:extent cx="699770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lvl w:ilvl="1">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1)"/>
      <w:numFmt w:val="decimal"/>
      <w:start w:val="4"/>
    </w:lvl>
  </w:abstractNum>
  <w:abstractNum w:abstractNumId="5">
    <w:nsid w:val="79A1DEAA"/>
    <w:multiLevelType w:val="hybridMultilevel"/>
    <w:lvl w:ilvl="0">
      <w:lvlJc w:val="left"/>
      <w:lvlText w:val="%1."/>
      <w:numFmt w:val="decimal"/>
      <w:start w:val="1"/>
    </w:lvl>
  </w:abstractNum>
  <w:abstractNum w:abstractNumId="6">
    <w:nsid w:val="75C6C33A"/>
    <w:multiLevelType w:val="hybridMultilevel"/>
    <w:lvl w:ilvl="0">
      <w:lvlJc w:val="left"/>
      <w:lvlText w:val="(%1)"/>
      <w:numFmt w:val="lowerLetter"/>
      <w:start w:val="1"/>
    </w:lvl>
  </w:abstractNum>
  <w:abstractNum w:abstractNumId="7">
    <w:nsid w:val="12E685FB"/>
    <w:multiLevelType w:val="hybridMultilevel"/>
    <w:lvl w:ilvl="0">
      <w:lvlJc w:val="left"/>
      <w:lvlText w:val="%1."/>
      <w:numFmt w:val="decimal"/>
      <w:start w:val="5"/>
    </w:lvl>
  </w:abstractNum>
  <w:abstractNum w:abstractNumId="8">
    <w:nsid w:val="70C6A529"/>
    <w:multiLevelType w:val="hybridMultilevel"/>
    <w:lvl w:ilvl="0">
      <w:lvlJc w:val="left"/>
      <w:lvlText w:val="(%1)"/>
      <w:numFmt w:val="lowerLetter"/>
      <w:start w:val="1"/>
    </w:lvl>
  </w:abstractNum>
  <w:abstractNum w:abstractNumId="9">
    <w:nsid w:val="520EEDD1"/>
    <w:multiLevelType w:val="hybridMultilevel"/>
    <w:lvl w:ilvl="0">
      <w:lvlJc w:val="left"/>
      <w:lvlText w:val="(%1)"/>
      <w:numFmt w:val="lowerLetter"/>
      <w:start w:val="1"/>
    </w:lvl>
  </w:abstractNum>
  <w:abstractNum w:abstractNumId="10">
    <w:nsid w:val="374A3FE6"/>
    <w:multiLevelType w:val="hybridMultilevel"/>
    <w:lvl w:ilvl="0">
      <w:lvlJc w:val="left"/>
      <w:lvlText w:val="(%1)"/>
      <w:numFmt w:val="lowerLetter"/>
      <w:start w:val="2"/>
    </w:lvl>
  </w:abstractNum>
  <w:abstractNum w:abstractNumId="11">
    <w:nsid w:val="4F4EF005"/>
    <w:multiLevelType w:val="hybridMultilevel"/>
    <w:lvl w:ilvl="0">
      <w:lvlJc w:val="left"/>
      <w:lvlText w:val="(%1)"/>
      <w:numFmt w:val="decimal"/>
      <w:start w:val="2"/>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lvl w:ilvl="1">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1)"/>
      <w:numFmt w:val="lowerLetter"/>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lvl w:ilvl="1">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lvl w:ilvl="1">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1."/>
      <w:numFmt w:val="decimal"/>
      <w:start w:val="1"/>
    </w:lvl>
  </w:abstractNum>
  <w:abstractNum w:abstractNumId="42">
    <w:nsid w:val="5F5E7FD0"/>
    <w:multiLevelType w:val="hybridMultilevel"/>
    <w:lvl w:ilvl="0">
      <w:lvlJc w:val="left"/>
      <w:lvlText w:val="(%1)"/>
      <w:numFmt w:val="lowerLetter"/>
      <w:start w:val="1"/>
    </w:lvl>
  </w:abstractNum>
  <w:abstractNum w:abstractNumId="43">
    <w:nsid w:val="98A3148"/>
    <w:multiLevelType w:val="hybridMultilevel"/>
    <w:lvl w:ilvl="0">
      <w:lvlJc w:val="left"/>
      <w:lvlText w:val="%1."/>
      <w:numFmt w:val="decimal"/>
      <w:start w:val="5"/>
    </w:lvl>
  </w:abstractNum>
  <w:abstractNum w:abstractNumId="44">
    <w:nsid w:val="799D0247"/>
    <w:multiLevelType w:val="hybridMultilevel"/>
    <w:lvl w:ilvl="0">
      <w:lvlJc w:val="left"/>
      <w:lvlText w:val="(%1)"/>
      <w:numFmt w:val="lowerLetter"/>
      <w:start w:val="1"/>
    </w:lvl>
  </w:abstractNum>
  <w:abstractNum w:abstractNumId="45">
    <w:nsid w:val="6B94764"/>
    <w:multiLevelType w:val="hybridMultilevel"/>
    <w:lvl w:ilvl="0">
      <w:lvlJc w:val="left"/>
      <w:lvlText w:val="(%1)"/>
      <w:numFmt w:val="lowerLetter"/>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lvl w:ilvl="1">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lvl w:ilvl="1">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
      <w:numFmt w:val="bullet"/>
      <w:start w:val="1"/>
    </w:lvl>
    <w:lvl w:ilvl="1">
      <w:lvlJc w:val="left"/>
      <w:lvlText w:val="•"/>
      <w:numFmt w:val="bullet"/>
      <w:start w:val="1"/>
    </w:lvl>
  </w:abstractNum>
  <w:abstractNum w:abstractNumId="69">
    <w:nsid w:val="71EA1109"/>
    <w:multiLevelType w:val="hybridMultilevel"/>
    <w:lvl w:ilvl="0">
      <w:lvlJc w:val="left"/>
      <w:lvlText w:val="•"/>
      <w:numFmt w:val="bullet"/>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
      <w:numFmt w:val="bullet"/>
      <w:start w:val="1"/>
    </w:lvl>
    <w:lvl w:ilvl="1">
      <w:lvlJc w:val="left"/>
      <w:lvlText w:val="•"/>
      <w:numFmt w:val="bullet"/>
      <w:start w:val="1"/>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
      <w:numFmt w:val="bullet"/>
      <w:start w:val="1"/>
    </w:lvl>
  </w:abstractNum>
  <w:abstractNum w:abstractNumId="78">
    <w:nsid w:val="1716703B"/>
    <w:multiLevelType w:val="hybridMultilevel"/>
    <w:lvl w:ilvl="0">
      <w:lvlJc w:val="left"/>
      <w:lvlText w:val="%1."/>
      <w:numFmt w:val="decimal"/>
      <w:start w:val="1"/>
    </w:lvl>
  </w:abstractNum>
  <w:abstractNum w:abstractNumId="79">
    <w:nsid w:val="14E17E33"/>
    <w:multiLevelType w:val="hybridMultilevel"/>
    <w:lvl w:ilvl="0">
      <w:lvlJc w:val="left"/>
      <w:lvlText w:val="•"/>
      <w:numFmt w:val="bullet"/>
      <w:start w:val="1"/>
    </w:lvl>
  </w:abstractNum>
  <w:abstractNum w:abstractNumId="80">
    <w:nsid w:val="3222E7CD"/>
    <w:multiLevelType w:val="hybridMultilevel"/>
    <w:lvl w:ilvl="0">
      <w:lvlJc w:val="left"/>
      <w:lvlText w:val="•"/>
      <w:numFmt w:val="bullet"/>
      <w:start w:val="1"/>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
      <w:numFmt w:val="bullet"/>
      <w:start w:val="1"/>
    </w:lvl>
  </w:abstractNum>
  <w:abstractNum w:abstractNumId="84">
    <w:nsid w:val="46B7D447"/>
    <w:multiLevelType w:val="hybridMultilevel"/>
    <w:lvl w:ilvl="0">
      <w:lvlJc w:val="left"/>
      <w:lvlText w:val="\emdash "/>
      <w:numFmt w:val="bullet"/>
      <w:start w:val="1"/>
    </w:lvl>
  </w:abstractNum>
  <w:abstractNum w:abstractNumId="85">
    <w:nsid w:val="4A2AC315"/>
    <w:multiLevelType w:val="hybridMultilevel"/>
    <w:lvl w:ilvl="0">
      <w:lvlJc w:val="left"/>
      <w:lvlText w:val="•"/>
      <w:numFmt w:val="bullet"/>
      <w:start w:val="1"/>
    </w:lvl>
    <w:lvl w:ilvl="1">
      <w:lvlJc w:val="left"/>
      <w:lvlText w:val="•"/>
      <w:numFmt w:val="bullet"/>
      <w:start w:val="1"/>
    </w:lvl>
  </w:abstractNum>
  <w:abstractNum w:abstractNumId="86">
    <w:nsid w:val="39EE015C"/>
    <w:multiLevelType w:val="hybridMultilevel"/>
    <w:lvl w:ilvl="0">
      <w:lvlJc w:val="left"/>
      <w:lvlText w:val="•"/>
      <w:numFmt w:val="bullet"/>
      <w:start w:val="1"/>
    </w:lvl>
  </w:abstractNum>
  <w:abstractNum w:abstractNumId="87">
    <w:nsid w:val="57FC4FBB"/>
    <w:multiLevelType w:val="hybridMultilevel"/>
    <w:lvl w:ilvl="0">
      <w:lvlJc w:val="left"/>
      <w:lvlText w:val="(%1)"/>
      <w:numFmt w:val="lowerRoman"/>
      <w:start w:val="2"/>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1)"/>
      <w:numFmt w:val="lowerRoman"/>
      <w:start w:val="1"/>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
      <w:numFmt w:val="bullet"/>
      <w:start w:val="1"/>
    </w:lvl>
  </w:abstractNum>
  <w:abstractNum w:abstractNumId="93">
    <w:nsid w:val="49DA307D"/>
    <w:multiLevelType w:val="hybridMultilevel"/>
    <w:lvl w:ilvl="0">
      <w:lvlJc w:val="left"/>
      <w:lvlText w:val="(%1)"/>
      <w:numFmt w:val="decimal"/>
      <w:start w:val="2"/>
    </w:lvl>
  </w:abstractNum>
  <w:abstractNum w:abstractNumId="94">
    <w:nsid w:val="7055A5F5"/>
    <w:multiLevelType w:val="hybridMultilevel"/>
    <w:lvl w:ilvl="0">
      <w:lvlJc w:val="left"/>
      <w:lvlText w:val="(%1)"/>
      <w:numFmt w:val="decimal"/>
      <w:start w:val="4"/>
    </w:lvl>
  </w:abstractNum>
  <w:abstractNum w:abstractNumId="95">
    <w:nsid w:val="5FB8370B"/>
    <w:multiLevelType w:val="hybridMultilevel"/>
    <w:lvl w:ilvl="0">
      <w:lvlJc w:val="left"/>
      <w:lvlText w:val="•"/>
      <w:numFmt w:val="bullet"/>
      <w:start w:val="1"/>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jpe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98" Type="http://schemas.openxmlformats.org/officeDocument/2006/relationships/hyperlink" Target="http://www.sec.gov/Archives/edgar/data/34903/000003490318000009/frt-1231201710k.htm" TargetMode="External"/><Relationship Id="rId99" Type="http://schemas.openxmlformats.org/officeDocument/2006/relationships/hyperlink" Target="http://www.sec.gov/Archives/edgar/data/34903/000119312518093016/d501572ddef14a.htm" TargetMode="External"/><Relationship Id="rId100" Type="http://schemas.openxmlformats.org/officeDocument/2006/relationships/hyperlink" Target="http://www.sec.gov/Archives/edgar/data/34903/000003490318000016/frt-03312018x10q.htm" TargetMode="External"/><Relationship Id="rId101" Type="http://schemas.openxmlformats.org/officeDocument/2006/relationships/hyperlink" Target="http://www.sec.gov/Archives/edgar/data/34903/000003490318000018/frt-050420188kdocument.htm" TargetMode="External"/><Relationship Id="rId102" Type="http://schemas.openxmlformats.org/officeDocument/2006/relationships/hyperlink" Target="http://www.sec.gov/Archives/edgar/data/34903/000092838502002234/d8a12ba.txt" TargetMode="External"/><Relationship Id="rId103" Type="http://schemas.openxmlformats.org/officeDocument/2006/relationships/hyperlink" Target="http://www.sec.gov/Archives/edgar/data/34903/000119312517299279/d45358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2019-12-02T01:12:33Z</dcterms:created>
  <dcterms:modified xsi:type="dcterms:W3CDTF">2019-12-02T01:12:33Z</dcterms:modified>
</cp:coreProperties>
</file>