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2920"/>
        <w:spacing w:after="0"/>
        <w:rPr>
          <w:sz w:val="20"/>
          <w:szCs w:val="20"/>
          <w:color w:val="auto"/>
        </w:rPr>
      </w:pPr>
      <w:r>
        <w:rPr>
          <w:rFonts w:ascii="Arial" w:cs="Arial" w:eastAsia="Arial" w:hAnsi="Arial"/>
          <w:sz w:val="22"/>
          <w:szCs w:val="22"/>
          <w:b w:val="1"/>
          <w:bCs w:val="1"/>
          <w:color w:val="auto"/>
        </w:rPr>
        <w:t>Date of Report (Date of earliest event reported): May 6,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93"/>
              </w:rPr>
              <w:t>Maryland</w:t>
            </w: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(301) 998-8100</w:t>
      </w:r>
    </w:p>
    <w:p>
      <w:pPr>
        <w:spacing w:after="0" w:line="9"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34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May 6, 2013, Federal Realty Investment Trust (the “Registrant”) entered into an underwriting agreement with Wells Fargo Securities, LLC and Merrill Lynch, Pierce, Fenner &amp; Smith Incorporated, as representatives of the several underwriters named in Schedule I to the related pricing agreement, whereby the Registrant agreed to issue and sell $275,000,000 aggregate principal amount of 2.75% Notes due 2023 (the “Notes”) in an underwritten public offering. The Notes will be governed by the Indenture, dated as of September 1, 1998, between the Registrant and U.S. Bank National Association (successor trustee to Wachovia Bank, National Association (successor trustee to First Union National Bank)). The offering is expected to close on May 9, 2013.</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Notes will be senior unsecured obligations of the Registrant and will rank equally with all of the Registrant’s other senior unsecured indebtedness. The Notes will bear interest at 2.75% per annum, and interest will be payable on June 1 and December 1 of each year, beginning on December 1, 2013. The Notes will mature on June 1, 2023.</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61"/>
        </w:trPr>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No.</w:t>
            </w:r>
          </w:p>
        </w:tc>
        <w:tc>
          <w:tcPr>
            <w:tcW w:w="540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4700" w:type="dxa"/>
            <w:vAlign w:val="bottom"/>
          </w:tcPr>
          <w:p>
            <w:pPr>
              <w:spacing w:after="0"/>
              <w:rPr>
                <w:sz w:val="14"/>
                <w:szCs w:val="14"/>
                <w:color w:val="auto"/>
              </w:rPr>
            </w:pPr>
          </w:p>
        </w:tc>
      </w:tr>
      <w:tr>
        <w:trPr>
          <w:trHeight w:val="309"/>
        </w:trPr>
        <w:tc>
          <w:tcPr>
            <w:tcW w:w="460" w:type="dxa"/>
            <w:vAlign w:val="bottom"/>
          </w:tcPr>
          <w:p>
            <w:pPr>
              <w:jc w:val="right"/>
              <w:ind w:right="57"/>
              <w:spacing w:after="0"/>
              <w:rPr>
                <w:sz w:val="20"/>
                <w:szCs w:val="20"/>
                <w:color w:val="auto"/>
              </w:rPr>
            </w:pPr>
            <w:r>
              <w:rPr>
                <w:rFonts w:ascii="Arial" w:cs="Arial" w:eastAsia="Arial" w:hAnsi="Arial"/>
                <w:sz w:val="18"/>
                <w:szCs w:val="18"/>
                <w:color w:val="auto"/>
              </w:rPr>
              <w:t>1.1</w:t>
            </w:r>
          </w:p>
        </w:tc>
        <w:tc>
          <w:tcPr>
            <w:tcW w:w="10820" w:type="dxa"/>
            <w:vAlign w:val="bottom"/>
            <w:gridSpan w:val="3"/>
          </w:tcPr>
          <w:p>
            <w:pPr>
              <w:ind w:left="560"/>
              <w:spacing w:after="0"/>
              <w:rPr>
                <w:sz w:val="20"/>
                <w:szCs w:val="20"/>
                <w:color w:val="auto"/>
              </w:rPr>
            </w:pPr>
            <w:r>
              <w:rPr>
                <w:rFonts w:ascii="Arial" w:cs="Arial" w:eastAsia="Arial" w:hAnsi="Arial"/>
                <w:sz w:val="18"/>
                <w:szCs w:val="18"/>
                <w:color w:val="auto"/>
                <w:w w:val="89"/>
              </w:rPr>
              <w:t>Underwriting Agreement, dated May 6, 2013, by and among the Registrant and Wells Fargo Securities, LLC and Merrill Lynch, Pierce, Fenner &amp;</w:t>
            </w:r>
          </w:p>
        </w:tc>
      </w:tr>
      <w:tr>
        <w:trPr>
          <w:trHeight w:val="222"/>
        </w:trPr>
        <w:tc>
          <w:tcPr>
            <w:tcW w:w="460" w:type="dxa"/>
            <w:vAlign w:val="bottom"/>
          </w:tcPr>
          <w:p>
            <w:pPr>
              <w:spacing w:after="0"/>
              <w:rPr>
                <w:sz w:val="19"/>
                <w:szCs w:val="19"/>
                <w:color w:val="auto"/>
              </w:rPr>
            </w:pPr>
          </w:p>
        </w:tc>
        <w:tc>
          <w:tcPr>
            <w:tcW w:w="10820" w:type="dxa"/>
            <w:vAlign w:val="bottom"/>
            <w:gridSpan w:val="3"/>
          </w:tcPr>
          <w:p>
            <w:pPr>
              <w:ind w:left="560"/>
              <w:spacing w:after="0"/>
              <w:rPr>
                <w:sz w:val="20"/>
                <w:szCs w:val="20"/>
                <w:color w:val="auto"/>
              </w:rPr>
            </w:pPr>
            <w:r>
              <w:rPr>
                <w:rFonts w:ascii="Arial" w:cs="Arial" w:eastAsia="Arial" w:hAnsi="Arial"/>
                <w:sz w:val="18"/>
                <w:szCs w:val="18"/>
                <w:color w:val="auto"/>
              </w:rPr>
              <w:t>Smith Incorporated, as representatives of the underwriters named in Schedule I to the related pricing agreement</w:t>
            </w:r>
          </w:p>
        </w:tc>
      </w:tr>
      <w:tr>
        <w:trPr>
          <w:trHeight w:val="318"/>
        </w:trPr>
        <w:tc>
          <w:tcPr>
            <w:tcW w:w="460" w:type="dxa"/>
            <w:vAlign w:val="bottom"/>
          </w:tcPr>
          <w:p>
            <w:pPr>
              <w:jc w:val="right"/>
              <w:ind w:right="57"/>
              <w:spacing w:after="0"/>
              <w:rPr>
                <w:sz w:val="20"/>
                <w:szCs w:val="20"/>
                <w:color w:val="auto"/>
              </w:rPr>
            </w:pPr>
            <w:r>
              <w:rPr>
                <w:rFonts w:ascii="Arial" w:cs="Arial" w:eastAsia="Arial" w:hAnsi="Arial"/>
                <w:sz w:val="18"/>
                <w:szCs w:val="18"/>
                <w:color w:val="auto"/>
              </w:rPr>
              <w:t>1.2</w:t>
            </w:r>
          </w:p>
        </w:tc>
        <w:tc>
          <w:tcPr>
            <w:tcW w:w="10820" w:type="dxa"/>
            <w:vAlign w:val="bottom"/>
            <w:gridSpan w:val="3"/>
          </w:tcPr>
          <w:p>
            <w:pPr>
              <w:ind w:left="560"/>
              <w:spacing w:after="0"/>
              <w:rPr>
                <w:sz w:val="20"/>
                <w:szCs w:val="20"/>
                <w:color w:val="auto"/>
              </w:rPr>
            </w:pPr>
            <w:r>
              <w:rPr>
                <w:rFonts w:ascii="Arial" w:cs="Arial" w:eastAsia="Arial" w:hAnsi="Arial"/>
                <w:sz w:val="18"/>
                <w:szCs w:val="18"/>
                <w:color w:val="auto"/>
                <w:w w:val="89"/>
              </w:rPr>
              <w:t>Pricing Agreement, dated May 6, 2013, by and among the Registrant and Wells Fargo Securities, LLC and Merrill Lynch, Pierce, Fenner &amp; Smith</w:t>
            </w:r>
          </w:p>
        </w:tc>
      </w:tr>
      <w:tr>
        <w:trPr>
          <w:trHeight w:val="222"/>
        </w:trPr>
        <w:tc>
          <w:tcPr>
            <w:tcW w:w="460" w:type="dxa"/>
            <w:vAlign w:val="bottom"/>
          </w:tcPr>
          <w:p>
            <w:pPr>
              <w:spacing w:after="0"/>
              <w:rPr>
                <w:sz w:val="19"/>
                <w:szCs w:val="19"/>
                <w:color w:val="auto"/>
              </w:rPr>
            </w:pPr>
          </w:p>
        </w:tc>
        <w:tc>
          <w:tcPr>
            <w:tcW w:w="10820" w:type="dxa"/>
            <w:vAlign w:val="bottom"/>
            <w:gridSpan w:val="3"/>
          </w:tcPr>
          <w:p>
            <w:pPr>
              <w:ind w:left="560"/>
              <w:spacing w:after="0"/>
              <w:rPr>
                <w:sz w:val="20"/>
                <w:szCs w:val="20"/>
                <w:color w:val="auto"/>
              </w:rPr>
            </w:pPr>
            <w:r>
              <w:rPr>
                <w:rFonts w:ascii="Arial" w:cs="Arial" w:eastAsia="Arial" w:hAnsi="Arial"/>
                <w:sz w:val="18"/>
                <w:szCs w:val="18"/>
                <w:color w:val="auto"/>
              </w:rPr>
              <w:t>Incorporated, as representatives of the underwriters named therein</w:t>
            </w:r>
          </w:p>
        </w:tc>
      </w:tr>
      <w:tr>
        <w:trPr>
          <w:trHeight w:val="324"/>
        </w:trPr>
        <w:tc>
          <w:tcPr>
            <w:tcW w:w="460" w:type="dxa"/>
            <w:vAlign w:val="bottom"/>
          </w:tcPr>
          <w:p>
            <w:pPr>
              <w:jc w:val="right"/>
              <w:ind w:right="57"/>
              <w:spacing w:after="0"/>
              <w:rPr>
                <w:sz w:val="20"/>
                <w:szCs w:val="20"/>
                <w:color w:val="auto"/>
              </w:rPr>
            </w:pPr>
            <w:r>
              <w:rPr>
                <w:rFonts w:ascii="Arial" w:cs="Arial" w:eastAsia="Arial" w:hAnsi="Arial"/>
                <w:sz w:val="18"/>
                <w:szCs w:val="18"/>
                <w:color w:val="auto"/>
              </w:rPr>
              <w:t>4.1</w:t>
            </w:r>
          </w:p>
        </w:tc>
        <w:tc>
          <w:tcPr>
            <w:tcW w:w="10820" w:type="dxa"/>
            <w:vAlign w:val="bottom"/>
            <w:gridSpan w:val="3"/>
          </w:tcPr>
          <w:p>
            <w:pPr>
              <w:ind w:left="560"/>
              <w:spacing w:after="0"/>
              <w:rPr>
                <w:sz w:val="20"/>
                <w:szCs w:val="20"/>
                <w:color w:val="auto"/>
              </w:rPr>
            </w:pPr>
            <w:r>
              <w:rPr>
                <w:rFonts w:ascii="Arial" w:cs="Arial" w:eastAsia="Arial" w:hAnsi="Arial"/>
                <w:sz w:val="18"/>
                <w:szCs w:val="18"/>
                <w:color w:val="auto"/>
              </w:rPr>
              <w:t>Form of 2.75% Note due 2023</w:t>
            </w:r>
          </w:p>
        </w:tc>
      </w:tr>
      <w:tr>
        <w:trPr>
          <w:trHeight w:val="324"/>
        </w:trPr>
        <w:tc>
          <w:tcPr>
            <w:tcW w:w="460" w:type="dxa"/>
            <w:vAlign w:val="bottom"/>
          </w:tcPr>
          <w:p>
            <w:pPr>
              <w:jc w:val="right"/>
              <w:ind w:right="57"/>
              <w:spacing w:after="0"/>
              <w:rPr>
                <w:sz w:val="20"/>
                <w:szCs w:val="20"/>
                <w:color w:val="auto"/>
              </w:rPr>
            </w:pPr>
            <w:r>
              <w:rPr>
                <w:rFonts w:ascii="Arial" w:cs="Arial" w:eastAsia="Arial" w:hAnsi="Arial"/>
                <w:sz w:val="18"/>
                <w:szCs w:val="18"/>
                <w:color w:val="auto"/>
              </w:rPr>
              <w:t>5.1</w:t>
            </w:r>
          </w:p>
        </w:tc>
        <w:tc>
          <w:tcPr>
            <w:tcW w:w="10820" w:type="dxa"/>
            <w:vAlign w:val="bottom"/>
            <w:gridSpan w:val="3"/>
          </w:tcPr>
          <w:p>
            <w:pPr>
              <w:ind w:left="560"/>
              <w:spacing w:after="0"/>
              <w:rPr>
                <w:sz w:val="20"/>
                <w:szCs w:val="20"/>
                <w:color w:val="auto"/>
              </w:rPr>
            </w:pPr>
            <w:r>
              <w:rPr>
                <w:rFonts w:ascii="Arial" w:cs="Arial" w:eastAsia="Arial" w:hAnsi="Arial"/>
                <w:sz w:val="18"/>
                <w:szCs w:val="18"/>
                <w:color w:val="auto"/>
              </w:rPr>
              <w:t>Opinion of Pillsbury Winthrop Shaw Pittman LLP relating to legality of the securities being issued by the Registrant</w:t>
            </w:r>
          </w:p>
        </w:tc>
      </w:tr>
      <w:tr>
        <w:trPr>
          <w:trHeight w:val="324"/>
        </w:trPr>
        <w:tc>
          <w:tcPr>
            <w:tcW w:w="460" w:type="dxa"/>
            <w:vAlign w:val="bottom"/>
          </w:tcPr>
          <w:p>
            <w:pPr>
              <w:jc w:val="right"/>
              <w:ind w:right="57"/>
              <w:spacing w:after="0"/>
              <w:rPr>
                <w:sz w:val="20"/>
                <w:szCs w:val="20"/>
                <w:color w:val="auto"/>
              </w:rPr>
            </w:pPr>
            <w:r>
              <w:rPr>
                <w:rFonts w:ascii="Arial" w:cs="Arial" w:eastAsia="Arial" w:hAnsi="Arial"/>
                <w:sz w:val="18"/>
                <w:szCs w:val="18"/>
                <w:color w:val="auto"/>
              </w:rPr>
              <w:t>8.1</w:t>
            </w:r>
          </w:p>
        </w:tc>
        <w:tc>
          <w:tcPr>
            <w:tcW w:w="10820" w:type="dxa"/>
            <w:vAlign w:val="bottom"/>
            <w:gridSpan w:val="3"/>
          </w:tcPr>
          <w:p>
            <w:pPr>
              <w:ind w:left="560"/>
              <w:spacing w:after="0"/>
              <w:rPr>
                <w:sz w:val="20"/>
                <w:szCs w:val="20"/>
                <w:color w:val="auto"/>
              </w:rPr>
            </w:pPr>
            <w:r>
              <w:rPr>
                <w:rFonts w:ascii="Arial" w:cs="Arial" w:eastAsia="Arial" w:hAnsi="Arial"/>
                <w:sz w:val="18"/>
                <w:szCs w:val="18"/>
                <w:color w:val="auto"/>
              </w:rPr>
              <w:t>Opinion of Pillsbury Winthrop Shaw Pittman LLP relating to material tax matters relating to the Registrant</w:t>
            </w:r>
          </w:p>
        </w:tc>
      </w:tr>
      <w:tr>
        <w:trPr>
          <w:trHeight w:val="324"/>
        </w:trPr>
        <w:tc>
          <w:tcPr>
            <w:tcW w:w="460" w:type="dxa"/>
            <w:vAlign w:val="bottom"/>
          </w:tcPr>
          <w:p>
            <w:pPr>
              <w:jc w:val="right"/>
              <w:ind w:right="57"/>
              <w:spacing w:after="0"/>
              <w:rPr>
                <w:sz w:val="20"/>
                <w:szCs w:val="20"/>
                <w:color w:val="auto"/>
              </w:rPr>
            </w:pPr>
            <w:r>
              <w:rPr>
                <w:rFonts w:ascii="Arial" w:cs="Arial" w:eastAsia="Arial" w:hAnsi="Arial"/>
                <w:sz w:val="18"/>
                <w:szCs w:val="18"/>
                <w:color w:val="auto"/>
                <w:w w:val="85"/>
              </w:rPr>
              <w:t>12.1</w:t>
            </w:r>
          </w:p>
        </w:tc>
        <w:tc>
          <w:tcPr>
            <w:tcW w:w="10820" w:type="dxa"/>
            <w:vAlign w:val="bottom"/>
            <w:gridSpan w:val="3"/>
          </w:tcPr>
          <w:p>
            <w:pPr>
              <w:ind w:left="560"/>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324"/>
        </w:trPr>
        <w:tc>
          <w:tcPr>
            <w:tcW w:w="460" w:type="dxa"/>
            <w:vAlign w:val="bottom"/>
          </w:tcPr>
          <w:p>
            <w:pPr>
              <w:jc w:val="right"/>
              <w:ind w:right="57"/>
              <w:spacing w:after="0"/>
              <w:rPr>
                <w:sz w:val="20"/>
                <w:szCs w:val="20"/>
                <w:color w:val="auto"/>
              </w:rPr>
            </w:pPr>
            <w:r>
              <w:rPr>
                <w:rFonts w:ascii="Arial" w:cs="Arial" w:eastAsia="Arial" w:hAnsi="Arial"/>
                <w:sz w:val="18"/>
                <w:szCs w:val="18"/>
                <w:color w:val="auto"/>
                <w:w w:val="85"/>
              </w:rPr>
              <w:t>23.1</w:t>
            </w:r>
          </w:p>
        </w:tc>
        <w:tc>
          <w:tcPr>
            <w:tcW w:w="10820" w:type="dxa"/>
            <w:vAlign w:val="bottom"/>
            <w:gridSpan w:val="3"/>
          </w:tcPr>
          <w:p>
            <w:pPr>
              <w:ind w:left="560"/>
              <w:spacing w:after="0"/>
              <w:rPr>
                <w:sz w:val="20"/>
                <w:szCs w:val="20"/>
                <w:color w:val="auto"/>
              </w:rPr>
            </w:pPr>
            <w:r>
              <w:rPr>
                <w:rFonts w:ascii="Arial" w:cs="Arial" w:eastAsia="Arial" w:hAnsi="Arial"/>
                <w:sz w:val="18"/>
                <w:szCs w:val="18"/>
                <w:color w:val="auto"/>
              </w:rPr>
              <w:t>Consents of Pillsbury Winthrop Shaw Pittman LLP (contained in the opinions filed as Exhibits 5.1 and 8.1 hereto)</w:t>
            </w:r>
          </w:p>
        </w:tc>
      </w:tr>
    </w:tbl>
    <w:p>
      <w:pPr>
        <w:sectPr>
          <w:pgSz w:w="11900" w:h="16838" w:orient="portrait"/>
          <w:cols w:equalWidth="0" w:num="1">
            <w:col w:w="11380"/>
          </w:cols>
          <w:pgMar w:left="240" w:top="274"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May 9, 2013</w:t>
      </w:r>
      <w:r>
        <w:rPr>
          <w:sz w:val="20"/>
          <w:szCs w:val="20"/>
          <w:color w:val="auto"/>
        </w:rPr>
        <w:tab/>
      </w:r>
      <w:r>
        <w:rPr>
          <w:rFonts w:ascii="Arial" w:cs="Arial" w:eastAsia="Arial" w:hAnsi="Arial"/>
          <w:sz w:val="16"/>
          <w:szCs w:val="16"/>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00"/>
          </w:cols>
          <w:pgMar w:left="240" w:top="280"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171" w:lineRule="exact"/>
        <w:rPr>
          <w:sz w:val="20"/>
          <w:szCs w:val="20"/>
          <w:color w:val="auto"/>
        </w:rPr>
      </w:pPr>
    </w:p>
    <w:p>
      <w:pPr>
        <w:ind w:left="10520"/>
        <w:spacing w:after="0"/>
        <w:rPr>
          <w:sz w:val="20"/>
          <w:szCs w:val="20"/>
          <w:color w:val="auto"/>
        </w:rPr>
      </w:pPr>
      <w:r>
        <w:rPr>
          <w:rFonts w:ascii="Arial" w:cs="Arial" w:eastAsia="Arial" w:hAnsi="Arial"/>
          <w:sz w:val="16"/>
          <w:szCs w:val="16"/>
          <w:color w:val="auto"/>
        </w:rPr>
        <w:t>May 6, 2013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w:t>
      </w:r>
      <w:r>
        <w:rPr>
          <w:rFonts w:ascii="Arial" w:cs="Arial" w:eastAsia="Arial" w:hAnsi="Arial"/>
          <w:sz w:val="14"/>
          <w:szCs w:val="14"/>
          <w:color w:val="auto"/>
        </w:rPr>
        <w:t>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ERRILL</w:t>
      </w:r>
      <w:r>
        <w:rPr>
          <w:rFonts w:ascii="Arial" w:cs="Arial" w:eastAsia="Arial" w:hAnsi="Arial"/>
          <w:sz w:val="18"/>
          <w:szCs w:val="18"/>
          <w:color w:val="auto"/>
        </w:rPr>
        <w:t xml:space="preserve"> L</w:t>
      </w:r>
      <w:r>
        <w:rPr>
          <w:rFonts w:ascii="Arial" w:cs="Arial" w:eastAsia="Arial" w:hAnsi="Arial"/>
          <w:sz w:val="14"/>
          <w:szCs w:val="14"/>
          <w:color w:val="auto"/>
        </w:rPr>
        <w:t>YNCH</w:t>
      </w:r>
      <w:r>
        <w:rPr>
          <w:rFonts w:ascii="Arial" w:cs="Arial" w:eastAsia="Arial" w:hAnsi="Arial"/>
          <w:sz w:val="18"/>
          <w:szCs w:val="18"/>
          <w:color w:val="auto"/>
        </w:rPr>
        <w:t>, P</w:t>
      </w:r>
      <w:r>
        <w:rPr>
          <w:rFonts w:ascii="Arial" w:cs="Arial" w:eastAsia="Arial" w:hAnsi="Arial"/>
          <w:sz w:val="14"/>
          <w:szCs w:val="14"/>
          <w:color w:val="auto"/>
        </w:rPr>
        <w:t>IERCE</w:t>
      </w:r>
      <w:r>
        <w:rPr>
          <w:rFonts w:ascii="Arial" w:cs="Arial" w:eastAsia="Arial" w:hAnsi="Arial"/>
          <w:sz w:val="18"/>
          <w:szCs w:val="18"/>
          <w:color w:val="auto"/>
        </w:rPr>
        <w:t>, F</w:t>
      </w:r>
      <w:r>
        <w:rPr>
          <w:rFonts w:ascii="Arial" w:cs="Arial" w:eastAsia="Arial" w:hAnsi="Arial"/>
          <w:sz w:val="14"/>
          <w:szCs w:val="14"/>
          <w:color w:val="auto"/>
        </w:rPr>
        <w:t>ENNER</w:t>
      </w:r>
      <w:r>
        <w:rPr>
          <w:rFonts w:ascii="Arial" w:cs="Arial" w:eastAsia="Arial" w:hAnsi="Arial"/>
          <w:sz w:val="18"/>
          <w:szCs w:val="18"/>
          <w:color w:val="auto"/>
        </w:rPr>
        <w:t xml:space="preserve"> &amp; S</w:t>
      </w:r>
      <w:r>
        <w:rPr>
          <w:rFonts w:ascii="Arial" w:cs="Arial" w:eastAsia="Arial" w:hAnsi="Arial"/>
          <w:sz w:val="14"/>
          <w:szCs w:val="14"/>
          <w:color w:val="auto"/>
        </w:rPr>
        <w:t>MITH</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NCORPORATED</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 or firms named in Schedule I to the applicable Pricing Agreement (such firm or firms, as the case may be, constituting the “Underwriters” with respect to such Pricing Agreement and the securities specified therein) certain of its debt securities (the “Securities”) specified in Schedule II to such Pricing Agreement (with respect to the Securities specified in such Schedule II, the “Designated Securities”).</w:t>
      </w:r>
    </w:p>
    <w:p>
      <w:pPr>
        <w:spacing w:after="0" w:line="14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terms and rights of any particular issuance of Designated Securities shall be as specified in the Pricing Agreement relating thereto and in or pursuant to the indenture (the “Indenture”) identified in such Pricing Agreement and resolutions of the board of trustees of the Company or a duly appointed committee thereof.</w:t>
      </w:r>
    </w:p>
    <w:p>
      <w:pPr>
        <w:spacing w:after="0" w:line="140" w:lineRule="exact"/>
        <w:rPr>
          <w:sz w:val="20"/>
          <w:szCs w:val="20"/>
          <w:color w:val="auto"/>
        </w:rPr>
      </w:pPr>
    </w:p>
    <w:p>
      <w:pPr>
        <w:ind w:right="720" w:firstLine="464"/>
        <w:spacing w:after="0" w:line="268" w:lineRule="auto"/>
        <w:tabs>
          <w:tab w:leader="none" w:pos="632"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Particular sales of Designated Securities may be made from time to time to the Underwriters of such Designated Securities, for whom the firms designated as representatives of the Underwriters of such Designated Securities in the Pricing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Securities or as an obligation of any of the Underwriters to purchase any of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Underwriting Agreement and each Pricing Agreement shall be several and not joint.</w:t>
      </w:r>
    </w:p>
    <w:p>
      <w:pPr>
        <w:spacing w:after="0" w:line="124" w:lineRule="exact"/>
        <w:rPr>
          <w:sz w:val="20"/>
          <w:szCs w:val="20"/>
          <w:color w:val="auto"/>
        </w:rPr>
      </w:pPr>
    </w:p>
    <w:p>
      <w:pPr>
        <w:ind w:right="20" w:firstLine="464"/>
        <w:spacing w:after="0" w:line="268" w:lineRule="auto"/>
        <w:tabs>
          <w:tab w:leader="none" w:pos="6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as of the date hereof, the Applicable Time referred to in Section 2(c) hereof and the Time of Delivery referred to in Section 4 hereof that:</w:t>
      </w:r>
    </w:p>
    <w:p>
      <w:pPr>
        <w:spacing w:after="0" w:line="50" w:lineRule="exact"/>
        <w:rPr>
          <w:rFonts w:ascii="Arial" w:cs="Arial" w:eastAsia="Arial" w:hAnsi="Arial"/>
          <w:sz w:val="18"/>
          <w:szCs w:val="18"/>
          <w:color w:val="auto"/>
        </w:rPr>
      </w:pPr>
    </w:p>
    <w:p>
      <w:pPr>
        <w:ind w:left="460" w:right="20" w:firstLine="443"/>
        <w:spacing w:after="0" w:line="286" w:lineRule="auto"/>
        <w:tabs>
          <w:tab w:leader="none" w:pos="1137"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 has filed with the Securities and Exchange Commission (the “Commission”) an automatic shelf registration statement on Form S-3 (No. 333-181236), including the related preliminary prospectus, which registration statement became effective upon filing under Rule 462(e) of the rules and regulations of the Commission under the Securities Act of 1933, as amended (the “Act”). Such registration statement covers the registration of the Securities under the Act. Promptly after execution and delivery of a Pricing Agreement with respect to the Designated Securities specified therein, the Company will prepare and file a prospectus in accordance with the provisions of Rule 430B under the Act (“Rule 430B”) and paragraph (b) of Rule 424 under the Act (“Rule 424(b)”) (without reliance on Rule 424(b)(8)). Any information included in such prospectus that was omitted from such registration statement at the time it became effective but that is deemed to be part of and included in such registration statement pursuant to Rule 430B is referred to herein as “Rule 430B Information.” Each prospectus used in connection with the offering of Designated Securities that omitted Rule 430B Information is herein called a “preliminary prospectus.” Such registration statement, at any given time, including the amendments thereto at such time, the exhibits and any schedules thereto at such time, the documents incorporated by reference therein pursuant to Item 12 of Form S-3 under the Act at such time and the documents otherwise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deemed to be a part thereof or included therein by the rules and regulations under the Act at such time, is herein called the “Registration Statement.” The Registration Statement at the time it originally became effective is herein called the “Original Registration Statement.” The final prospectus in the form first furnished to the Underwriters for use in connection with an offering of Designated Securities, including the documents incorporated by 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37"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All references in this Underwriting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37" w:lineRule="exact"/>
        <w:rPr>
          <w:sz w:val="20"/>
          <w:szCs w:val="20"/>
          <w:color w:val="auto"/>
        </w:rPr>
      </w:pPr>
    </w:p>
    <w:p>
      <w:pPr>
        <w:ind w:right="80" w:firstLine="443"/>
        <w:spacing w:after="0" w:line="308" w:lineRule="auto"/>
        <w:tabs>
          <w:tab w:leader="none" w:pos="687" w:val="left"/>
        </w:tabs>
        <w:numPr>
          <w:ilvl w:val="0"/>
          <w:numId w:val="4"/>
        </w:numPr>
        <w:rPr>
          <w:rFonts w:ascii="Arial" w:cs="Arial" w:eastAsia="Arial" w:hAnsi="Arial"/>
          <w:sz w:val="15"/>
          <w:szCs w:val="15"/>
          <w:color w:val="auto"/>
        </w:rPr>
      </w:pPr>
      <w:r>
        <w:rPr>
          <w:rFonts w:ascii="Arial" w:cs="Arial" w:eastAsia="Arial" w:hAnsi="Arial"/>
          <w:sz w:val="15"/>
          <w:szCs w:val="15"/>
          <w:color w:val="auto"/>
        </w:rPr>
        <w:t>(A)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Designated Securities in reliance on the exemption of Rule 163 under the Act (“Rule 163”), (D) at the earliest time that the Company or another offering participant made a bona fide offer (within the meaning of Rule 164(h)(2) under the Act) of the Designated Securities, (E) at the date hereof and (F) at the date of each Pricing Agreement the Company was, is and will be a “well-known seasoned issuer” as defined in Rule 405 under the Act (“Rule 405”),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Act objecting to the use of the automatic shelf registration statement form.</w:t>
      </w:r>
    </w:p>
    <w:p>
      <w:pPr>
        <w:spacing w:after="0" w:line="9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6" w:name="page7"/>
    <w:bookmarkEnd w:id="6"/>
    <w:p>
      <w:pPr>
        <w:jc w:val="both"/>
        <w:ind w:firstLine="443"/>
        <w:spacing w:after="0" w:line="298" w:lineRule="auto"/>
        <w:tabs>
          <w:tab w:leader="none" w:pos="677"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Original Registration Statement became effective upon filing under Rule 462(e) under the Act (“Rule 462(e)”) on May 8, 2012,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32"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Any offer that is a written communication relating to the Securities made prior to the filing of the Original Registration Statement by the Company or any person acting on its behalf (within the meaning, for this paragraph only, of Rule 163(c)) has been filed (unless exempt from filing pursuant to Rule</w:t>
      </w:r>
    </w:p>
    <w:p>
      <w:pPr>
        <w:ind w:right="160" w:firstLine="4"/>
        <w:spacing w:after="0" w:line="323" w:lineRule="auto"/>
        <w:tabs>
          <w:tab w:leader="none" w:pos="366" w:val="left"/>
        </w:tabs>
        <w:numPr>
          <w:ilvl w:val="0"/>
          <w:numId w:val="6"/>
        </w:numPr>
        <w:rPr>
          <w:rFonts w:ascii="Arial" w:cs="Arial" w:eastAsia="Arial" w:hAnsi="Arial"/>
          <w:sz w:val="16"/>
          <w:szCs w:val="16"/>
          <w:color w:val="auto"/>
        </w:rPr>
      </w:pPr>
      <w:r>
        <w:rPr>
          <w:rFonts w:ascii="Arial" w:cs="Arial" w:eastAsia="Arial" w:hAnsi="Arial"/>
          <w:sz w:val="16"/>
          <w:szCs w:val="16"/>
          <w:color w:val="auto"/>
        </w:rPr>
        <w:t>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11" w:lineRule="exact"/>
        <w:rPr>
          <w:rFonts w:ascii="Arial" w:cs="Arial" w:eastAsia="Arial" w:hAnsi="Arial"/>
          <w:sz w:val="16"/>
          <w:szCs w:val="16"/>
          <w:color w:val="auto"/>
        </w:rPr>
      </w:pPr>
    </w:p>
    <w:p>
      <w:pPr>
        <w:ind w:right="80" w:firstLine="443"/>
        <w:spacing w:after="0" w:line="294" w:lineRule="auto"/>
        <w:tabs>
          <w:tab w:leader="none" w:pos="726" w:val="left"/>
        </w:tabs>
        <w:numPr>
          <w:ilvl w:val="1"/>
          <w:numId w:val="6"/>
        </w:numPr>
        <w:rPr>
          <w:rFonts w:ascii="Arial" w:cs="Arial" w:eastAsia="Arial" w:hAnsi="Arial"/>
          <w:sz w:val="16"/>
          <w:szCs w:val="16"/>
          <w:color w:val="auto"/>
        </w:rPr>
      </w:pPr>
      <w:r>
        <w:rPr>
          <w:rFonts w:ascii="Arial" w:cs="Arial" w:eastAsia="Arial" w:hAnsi="Arial"/>
          <w:sz w:val="16"/>
          <w:szCs w:val="16"/>
          <w:color w:val="auto"/>
        </w:rPr>
        <w:t>At the respective times the Original Registration Statement and each amendment thereto became effective, (B) at each deemed effective date with respect to the Underwriters and the Designated Securities pursuant to Rule 430B(f)(2) under the Act and (C) at the Time of Delivery, the Registration Statement complied and will comply in all material respects with the requirements of the Act, the Trust Indenture Act of 1939, as amended (the “Trust Indenture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35" w:lineRule="exact"/>
        <w:rPr>
          <w:sz w:val="20"/>
          <w:szCs w:val="20"/>
          <w:color w:val="auto"/>
        </w:rPr>
      </w:pPr>
    </w:p>
    <w:p>
      <w:pPr>
        <w:ind w:firstLine="438"/>
        <w:spacing w:after="0" w:line="294" w:lineRule="auto"/>
        <w:rPr>
          <w:sz w:val="20"/>
          <w:szCs w:val="20"/>
          <w:color w:val="auto"/>
        </w:rPr>
      </w:pPr>
      <w:r>
        <w:rPr>
          <w:rFonts w:ascii="Arial" w:cs="Arial" w:eastAsia="Arial" w:hAnsi="Arial"/>
          <w:sz w:val="16"/>
          <w:szCs w:val="16"/>
          <w:color w:val="auto"/>
        </w:rPr>
        <w:t>The Prospectus and each amendment or supplement thereto, if any, at the time the Prospectus or any such amendment or supplement was issued and at the Time of Delivery, complied and will comply, in all material respects with the requirements of the Act and neither the Prospectus nor any amendments or supplements thereto, at the time of the Prospectus or any such amendment or supplement was issued, or at the time of Delivery included or will include an untrue statement of a material fact or omitted or will omit to state a material fact necessary in order to make the statements therein, in the light of the circumstances under which they were made, not misleading.</w:t>
      </w:r>
    </w:p>
    <w:p>
      <w:pPr>
        <w:spacing w:after="0" w:line="35" w:lineRule="exact"/>
        <w:rPr>
          <w:sz w:val="20"/>
          <w:szCs w:val="20"/>
          <w:color w:val="auto"/>
        </w:rPr>
      </w:pPr>
    </w:p>
    <w:p>
      <w:pPr>
        <w:ind w:right="120" w:firstLine="438"/>
        <w:spacing w:after="0" w:line="259" w:lineRule="auto"/>
        <w:rPr>
          <w:sz w:val="20"/>
          <w:szCs w:val="20"/>
          <w:color w:val="auto"/>
        </w:rPr>
      </w:pPr>
      <w:r>
        <w:rPr>
          <w:rFonts w:ascii="Arial" w:cs="Arial" w:eastAsia="Arial" w:hAnsi="Arial"/>
          <w:sz w:val="18"/>
          <w:szCs w:val="18"/>
          <w:color w:val="auto"/>
        </w:rPr>
        <w:t>Each preliminary prospectus (including the prospectus filed as part of the Original Registration Statement or any amendment thereto and the Statutory Prospectus (as defined below)) complied when so filed in all material respects with the rules and regulations under the Act and each preliminary prospectus, the Statutory Prospectus and the Prospectus delivered to the Underwriters for use in</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7" w:name="page8"/>
    <w:bookmarkEnd w:id="7"/>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connection with each offering of Designated Securities will be identical to the electronically transmitted copies thereof filed with the Commission pursuant to EDGAR, except to the extent permitted by Regulation S-T.</w:t>
      </w:r>
    </w:p>
    <w:p>
      <w:pPr>
        <w:spacing w:after="0" w:line="51" w:lineRule="exact"/>
        <w:rPr>
          <w:sz w:val="20"/>
          <w:szCs w:val="20"/>
          <w:color w:val="auto"/>
        </w:rPr>
      </w:pPr>
    </w:p>
    <w:p>
      <w:pPr>
        <w:ind w:firstLine="438"/>
        <w:spacing w:after="0" w:line="298" w:lineRule="auto"/>
        <w:rPr>
          <w:sz w:val="20"/>
          <w:szCs w:val="20"/>
          <w:color w:val="auto"/>
        </w:rPr>
      </w:pPr>
      <w:r>
        <w:rPr>
          <w:rFonts w:ascii="Arial" w:cs="Arial" w:eastAsia="Arial" w:hAnsi="Arial"/>
          <w:sz w:val="16"/>
          <w:szCs w:val="16"/>
          <w:color w:val="auto"/>
        </w:rPr>
        <w:t>As of the Applicable Time (as defined below), the Statutory Prospectus, when considered together with the Issuer Free Writing Prospectus(es) (as defined below) issued at or prior to the Applicable Time, will not include any untrue statement of a material fact or omit to state any material fact necessary in order to make the statements therein, in the light of the circumstances under which they were made, not misleading. The Statutory Prospectus and the Issuer Free Writing Prospectus(es) are collectively referred to herein as the “General Disclosure Package.”</w:t>
      </w:r>
    </w:p>
    <w:p>
      <w:pPr>
        <w:spacing w:after="0" w:line="32" w:lineRule="exact"/>
        <w:rPr>
          <w:sz w:val="20"/>
          <w:szCs w:val="20"/>
          <w:color w:val="auto"/>
        </w:rPr>
      </w:pPr>
    </w:p>
    <w:p>
      <w:pPr>
        <w:ind w:right="80" w:firstLine="438"/>
        <w:spacing w:after="0" w:line="298" w:lineRule="auto"/>
        <w:rPr>
          <w:sz w:val="20"/>
          <w:szCs w:val="20"/>
          <w:color w:val="auto"/>
        </w:rPr>
      </w:pPr>
      <w:r>
        <w:rPr>
          <w:rFonts w:ascii="Arial" w:cs="Arial" w:eastAsia="Arial" w:hAnsi="Arial"/>
          <w:sz w:val="16"/>
          <w:szCs w:val="16"/>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 and in conformity with information furnished to the Company in writing by the Underwriters expressly for use in the Registration Statement or any post-effective amendment thereto, or the Prospectus or any amendments or supplements thereto, or the General Disclosure Package.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subsection and elsewhere in this Underwriting Agreement:</w:t>
      </w:r>
    </w:p>
    <w:p>
      <w:pPr>
        <w:spacing w:after="0" w:line="90" w:lineRule="exact"/>
        <w:rPr>
          <w:sz w:val="20"/>
          <w:szCs w:val="20"/>
          <w:color w:val="auto"/>
        </w:rPr>
      </w:pPr>
    </w:p>
    <w:p>
      <w:pPr>
        <w:ind w:right="440" w:firstLine="438"/>
        <w:spacing w:after="0" w:line="268" w:lineRule="auto"/>
        <w:rPr>
          <w:sz w:val="20"/>
          <w:szCs w:val="20"/>
          <w:color w:val="auto"/>
        </w:rPr>
      </w:pPr>
      <w:r>
        <w:rPr>
          <w:rFonts w:ascii="Arial" w:cs="Arial" w:eastAsia="Arial" w:hAnsi="Arial"/>
          <w:sz w:val="18"/>
          <w:szCs w:val="18"/>
          <w:color w:val="auto"/>
        </w:rPr>
        <w:t>“Applicable Time” shall have the meaning set forth in Schedule II of the Pricing Agreement with respect to the Designated Securities specified therein.</w:t>
      </w:r>
    </w:p>
    <w:p>
      <w:pPr>
        <w:spacing w:after="0" w:line="51" w:lineRule="exact"/>
        <w:rPr>
          <w:sz w:val="20"/>
          <w:szCs w:val="20"/>
          <w:color w:val="auto"/>
        </w:rPr>
      </w:pPr>
    </w:p>
    <w:p>
      <w:pPr>
        <w:ind w:right="140" w:firstLine="438"/>
        <w:spacing w:after="0" w:line="291" w:lineRule="auto"/>
        <w:rPr>
          <w:sz w:val="20"/>
          <w:szCs w:val="20"/>
          <w:color w:val="auto"/>
        </w:rPr>
      </w:pPr>
      <w:r>
        <w:rPr>
          <w:rFonts w:ascii="Arial" w:cs="Arial" w:eastAsia="Arial" w:hAnsi="Arial"/>
          <w:sz w:val="16"/>
          <w:szCs w:val="16"/>
          <w:color w:val="auto"/>
        </w:rPr>
        <w:t>“Issuer Free Writing Prospectus” means any “issuer free writing prospectus,” as defined in Rule 433 under the Act (“Rule 433”), relating to any particular issuance of Designated Securities (including any identified on Exhibit B hereto)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a particular issuance of Designated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39" w:lineRule="exact"/>
        <w:rPr>
          <w:sz w:val="20"/>
          <w:szCs w:val="20"/>
          <w:color w:val="auto"/>
        </w:rPr>
      </w:pPr>
    </w:p>
    <w:p>
      <w:pPr>
        <w:ind w:right="220" w:firstLine="438"/>
        <w:spacing w:after="0" w:line="306" w:lineRule="auto"/>
        <w:rPr>
          <w:sz w:val="20"/>
          <w:szCs w:val="20"/>
          <w:color w:val="auto"/>
        </w:rPr>
      </w:pPr>
      <w:r>
        <w:rPr>
          <w:rFonts w:ascii="Arial" w:cs="Arial" w:eastAsia="Arial" w:hAnsi="Arial"/>
          <w:sz w:val="16"/>
          <w:szCs w:val="16"/>
          <w:color w:val="auto"/>
        </w:rPr>
        <w:t>“Statutory Prospectus” as of any time means the prospectus that is included in the Registration Statement immediately prior to that time and the preliminary prospectus supplement relating to a particular issuance of Designated Securities set forth in the Pricing Agreement, including the documents incorporated by reference therein and any other preliminary or other prospectus deemed to be a part thereof.</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8" w:name="page9"/>
    <w:bookmarkEnd w:id="8"/>
    <w:p>
      <w:pPr>
        <w:jc w:val="both"/>
        <w:ind w:right="160" w:firstLine="443"/>
        <w:spacing w:after="0" w:line="306" w:lineRule="auto"/>
        <w:tabs>
          <w:tab w:leader="none" w:pos="687"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 requirements of the Act or the Exchange Act, as applicable, and the rules and regulations of the Commission thereunder.</w:t>
      </w:r>
    </w:p>
    <w:p>
      <w:pPr>
        <w:spacing w:after="0" w:line="25" w:lineRule="exact"/>
        <w:rPr>
          <w:rFonts w:ascii="Arial" w:cs="Arial" w:eastAsia="Arial" w:hAnsi="Arial"/>
          <w:sz w:val="16"/>
          <w:szCs w:val="16"/>
          <w:color w:val="auto"/>
        </w:rPr>
      </w:pPr>
    </w:p>
    <w:p>
      <w:pPr>
        <w:ind w:right="100" w:firstLine="443"/>
        <w:spacing w:after="0" w:line="314" w:lineRule="auto"/>
        <w:tabs>
          <w:tab w:leader="none" w:pos="677" w:val="left"/>
        </w:tabs>
        <w:numPr>
          <w:ilvl w:val="0"/>
          <w:numId w:val="7"/>
        </w:numPr>
        <w:rPr>
          <w:rFonts w:ascii="Arial" w:cs="Arial" w:eastAsia="Arial" w:hAnsi="Arial"/>
          <w:sz w:val="15"/>
          <w:szCs w:val="15"/>
          <w:color w:val="auto"/>
        </w:rPr>
      </w:pPr>
      <w:r>
        <w:rPr>
          <w:rFonts w:ascii="Arial" w:cs="Arial" w:eastAsia="Arial" w:hAnsi="Arial"/>
          <w:sz w:val="15"/>
          <w:szCs w:val="15"/>
          <w:color w:val="auto"/>
        </w:rPr>
        <w:t>Each Issuer Free Writing Prospectus identified on Exhibit B hereto, as of its issue date and at all subsequent times through the completion of the public offer and sale of the Designated Securities or until any earlier date that the Company notified or notifies the Underwriters as described in Section 5(g) hereof,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Underwriters specifically for use therein.</w:t>
      </w:r>
    </w:p>
    <w:p>
      <w:pPr>
        <w:spacing w:after="0" w:line="23" w:lineRule="exact"/>
        <w:rPr>
          <w:rFonts w:ascii="Arial" w:cs="Arial" w:eastAsia="Arial" w:hAnsi="Arial"/>
          <w:sz w:val="15"/>
          <w:szCs w:val="15"/>
          <w:color w:val="auto"/>
        </w:rPr>
      </w:pPr>
    </w:p>
    <w:p>
      <w:pPr>
        <w:ind w:firstLine="443"/>
        <w:spacing w:after="0" w:line="306" w:lineRule="auto"/>
        <w:tabs>
          <w:tab w:leader="none" w:pos="657"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the General Disclosure Package and the Prospectus; each “significant subsidiary” of the Company (as such term is defined in Rule 1-02 of Regulation S-X)(each, a “Subsidiary” and collectively, the “Subsidiaries”) has been duly organized and is validly existing as a corporation, partnership, limited liability company, trust or joint venture, as the case may be, in good standing under the laws of the jurisdiction of their organization (except for joint ventures, which have no good standing certificate requirements), with full power and authority to own, lease and operate its properties and conduct its business as described in the Registration Statement, the General Disclosure Package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 validly issued and is fully paid and non-assessable; no options, warrants or other rights to convert any obligations into partnership or other ownership interests in any Subsidiary are outstanding other than contractual rights existing on the date of the applicable Pricing Agreement by the current and former holders of partnership or other interests in certain of the “DownREIT” and other subsidiaries, which may result in the issuance of common shares of beneficial interest of the Company (“Common Shares”); and the Company and the Subsidiaries are duly qualified to transact</w:t>
      </w:r>
    </w:p>
    <w:p>
      <w:pPr>
        <w:spacing w:after="0" w:line="9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9" w:name="page10"/>
    <w:bookmarkEnd w:id="9"/>
    <w:p>
      <w:pPr>
        <w:jc w:val="both"/>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26" w:lineRule="exact"/>
        <w:rPr>
          <w:sz w:val="20"/>
          <w:szCs w:val="20"/>
          <w:color w:val="auto"/>
        </w:rPr>
      </w:pPr>
    </w:p>
    <w:p>
      <w:pPr>
        <w:ind w:firstLine="443"/>
        <w:spacing w:after="0" w:line="285" w:lineRule="auto"/>
        <w:tabs>
          <w:tab w:leader="none" w:pos="68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and its subsidiaries, considered as one enterprise, have not sustained since the date of the latest audited financial statements included or incorporated by reference in the Registration Statement, the General Disclosure Package and the Prospectus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 in the General Disclosure Package and the Prospectus, there has not been any change in the authorized, issued or outstanding capital shares of the Company (except for subsequent issuances, if any, of Common Shares pursuant to (i) conversion of any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result in the issuance of Common Shares of the Company, (v) the terms of that certain Equity Distribution Agreement dated May 8, 2012 between the Company and Wells Fargo Securities, LLC, as the same may be amended from time to time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General Disclosure Package and the Prospectus.</w:t>
      </w:r>
    </w:p>
    <w:p>
      <w:pPr>
        <w:spacing w:after="0" w:line="42" w:lineRule="exact"/>
        <w:rPr>
          <w:rFonts w:ascii="Arial" w:cs="Arial" w:eastAsia="Arial" w:hAnsi="Arial"/>
          <w:sz w:val="16"/>
          <w:szCs w:val="16"/>
          <w:color w:val="auto"/>
        </w:rPr>
      </w:pPr>
    </w:p>
    <w:p>
      <w:pPr>
        <w:ind w:right="220" w:firstLine="443"/>
        <w:spacing w:after="0" w:line="255" w:lineRule="auto"/>
        <w:tabs>
          <w:tab w:leader="none" w:pos="68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Company’s consolidated balance sheet as of the latest financial statements, audited or unaudited, as applicable, included or incorporated by reference in the Registration Statement, the General Disclosure Package and the Prospectus, all of the issued capital shares of the Company have been duly and validly authorized and issued and are fully paid and non-assessable, and none of the outstanding capital shares of the Company was issued in violation of any preemptive or other similar rights of any securityholder of the Company.</w:t>
      </w:r>
    </w:p>
    <w:p>
      <w:pPr>
        <w:spacing w:after="0" w:line="12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60"/>
          </w:cols>
          <w:pgMar w:left="700" w:top="280" w:right="339" w:bottom="1440" w:gutter="0" w:footer="0" w:header="0"/>
        </w:sectPr>
      </w:pPr>
    </w:p>
    <w:bookmarkStart w:id="10" w:name="page11"/>
    <w:bookmarkEnd w:id="10"/>
    <w:p>
      <w:pPr>
        <w:ind w:right="260" w:firstLine="443"/>
        <w:spacing w:after="0" w:line="268"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full right, power and authority under its organizational documents to enter into this Agreement and this Agreement has been duly and validly authorized, executed and delivered by the Company.</w:t>
      </w:r>
    </w:p>
    <w:p>
      <w:pPr>
        <w:spacing w:after="0" w:line="50" w:lineRule="exact"/>
        <w:rPr>
          <w:rFonts w:ascii="Arial" w:cs="Arial" w:eastAsia="Arial" w:hAnsi="Arial"/>
          <w:sz w:val="18"/>
          <w:szCs w:val="18"/>
          <w:color w:val="auto"/>
        </w:rPr>
      </w:pPr>
    </w:p>
    <w:p>
      <w:pPr>
        <w:ind w:firstLine="443"/>
        <w:spacing w:after="0" w:line="288" w:lineRule="auto"/>
        <w:tabs>
          <w:tab w:leader="none" w:pos="64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Designated Securities have been duly and validly authorized, and, when such Designated Securities are issued and delivered pursuant to this Underwriting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the Registration Statement, the General Disclosure Package and the Prospectus, as amended or supplemented, with respect to such Designated Securities.</w:t>
      </w:r>
    </w:p>
    <w:p>
      <w:pPr>
        <w:spacing w:after="0" w:line="38" w:lineRule="exact"/>
        <w:rPr>
          <w:rFonts w:ascii="Arial" w:cs="Arial" w:eastAsia="Arial" w:hAnsi="Arial"/>
          <w:sz w:val="16"/>
          <w:szCs w:val="16"/>
          <w:color w:val="auto"/>
        </w:rPr>
      </w:pPr>
    </w:p>
    <w:p>
      <w:pPr>
        <w:ind w:firstLine="443"/>
        <w:spacing w:after="0" w:line="288" w:lineRule="auto"/>
        <w:tabs>
          <w:tab w:leader="none" w:pos="687" w:val="left"/>
        </w:tabs>
        <w:numPr>
          <w:ilvl w:val="0"/>
          <w:numId w:val="9"/>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 in violation of its charter or by-laws or similar organizational documents; (ii) no subsidiary of the Company not referred to in clause (i)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38" w:lineRule="exact"/>
        <w:rPr>
          <w:rFonts w:ascii="Arial" w:cs="Arial" w:eastAsia="Arial" w:hAnsi="Arial"/>
          <w:sz w:val="16"/>
          <w:szCs w:val="16"/>
          <w:color w:val="auto"/>
        </w:rPr>
      </w:pPr>
    </w:p>
    <w:p>
      <w:pPr>
        <w:ind w:right="220" w:firstLine="443"/>
        <w:spacing w:after="0" w:line="298" w:lineRule="auto"/>
        <w:tabs>
          <w:tab w:leader="none" w:pos="64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issue and sale of the Designated Securities and the compliance by the Company with all of the provisions of the Designated Securities, this Underwriting Agreement and the Pricing Agreement with respect to such Designated Securities,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11" w:name="page12"/>
    <w:bookmarkEnd w:id="1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or bylaws of the Company or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Underwriting Agreement or any Pricing Agreement or the Indenture, except such as have been, or will have been prior to the Time of Delivery, obtained under the Act, the Exchange Act and the Trust Indenture Act and except for the rules of the New York Stock Exchange, Inc. (the “NYSE”) and such consents, approvals, authorizations, registrations or qualifications as may be required under state securities or “Blue Sky” laws in connection with the purchase and distribution of the Designated Securities by the Underwriters.</w:t>
      </w:r>
    </w:p>
    <w:p>
      <w:pPr>
        <w:spacing w:after="0" w:line="39" w:lineRule="exact"/>
        <w:rPr>
          <w:sz w:val="20"/>
          <w:szCs w:val="20"/>
          <w:color w:val="auto"/>
        </w:rPr>
      </w:pPr>
    </w:p>
    <w:p>
      <w:pPr>
        <w:ind w:right="140" w:firstLine="443"/>
        <w:spacing w:after="0" w:line="294" w:lineRule="auto"/>
        <w:tabs>
          <w:tab w:leader="none" w:pos="7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than as set forth in the Registration Statement, the General Disclosure Package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34" w:lineRule="exact"/>
        <w:rPr>
          <w:rFonts w:ascii="Arial" w:cs="Arial" w:eastAsia="Arial" w:hAnsi="Arial"/>
          <w:sz w:val="16"/>
          <w:szCs w:val="16"/>
          <w:color w:val="auto"/>
        </w:rPr>
      </w:pPr>
    </w:p>
    <w:p>
      <w:pPr>
        <w:ind w:firstLine="443"/>
        <w:spacing w:after="0" w:line="253" w:lineRule="auto"/>
        <w:tabs>
          <w:tab w:leader="none" w:pos="6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consolidated financial statements of the Company and its subsidiaries, together with related notes and schedules as set forth or incorporated by reference in the Registration Statement, the General Disclosure Package and the Prospectus present fairly the financial position and the results of operations of the Company and its subsidiaries at the indicated dates and for the indicated periods. Such consolidated financial statements have been prepared in accordance with generally accepted accounting principles (“GAAP”), consistently applied throughout the periods involved, and all 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w:t>
      </w:r>
    </w:p>
    <w:p>
      <w:pPr>
        <w:spacing w:after="0" w:line="66" w:lineRule="exact"/>
        <w:rPr>
          <w:rFonts w:ascii="Arial" w:cs="Arial" w:eastAsia="Arial" w:hAnsi="Arial"/>
          <w:sz w:val="18"/>
          <w:szCs w:val="18"/>
          <w:color w:val="auto"/>
        </w:rPr>
      </w:pPr>
    </w:p>
    <w:p>
      <w:pPr>
        <w:ind w:right="140" w:firstLine="443"/>
        <w:spacing w:after="0" w:line="256" w:lineRule="auto"/>
        <w:tabs>
          <w:tab w:leader="none" w:pos="6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and its subsidiaries have good and marketable title to, or valid and enforceable leasehold estates in, all items of real and personal property referred to in the Registration Statement, the General Disclosure Package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13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80" w:right="279" w:bottom="1440" w:gutter="0" w:footer="0" w:header="0"/>
        </w:sectPr>
      </w:pPr>
    </w:p>
    <w:bookmarkStart w:id="12" w:name="page13"/>
    <w:bookmarkEnd w:id="12"/>
    <w:p>
      <w:pPr>
        <w:ind w:right="40" w:firstLine="443"/>
        <w:spacing w:after="0" w:line="255" w:lineRule="auto"/>
        <w:tabs>
          <w:tab w:leader="none" w:pos="687"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61" w:lineRule="exact"/>
        <w:rPr>
          <w:rFonts w:ascii="Arial" w:cs="Arial" w:eastAsia="Arial" w:hAnsi="Arial"/>
          <w:sz w:val="18"/>
          <w:szCs w:val="18"/>
          <w:color w:val="auto"/>
        </w:rPr>
      </w:pPr>
    </w:p>
    <w:p>
      <w:pPr>
        <w:ind w:right="140" w:firstLine="443"/>
        <w:spacing w:after="0" w:line="259" w:lineRule="auto"/>
        <w:tabs>
          <w:tab w:leader="none" w:pos="6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59" w:lineRule="exact"/>
        <w:rPr>
          <w:rFonts w:ascii="Arial" w:cs="Arial" w:eastAsia="Arial" w:hAnsi="Arial"/>
          <w:sz w:val="18"/>
          <w:szCs w:val="18"/>
          <w:color w:val="auto"/>
        </w:rPr>
      </w:pPr>
    </w:p>
    <w:p>
      <w:pPr>
        <w:ind w:right="40" w:firstLine="443"/>
        <w:spacing w:after="0" w:line="255" w:lineRule="auto"/>
        <w:tabs>
          <w:tab w:leader="none" w:pos="657"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Grant Thornton LLP, which audited the consolidated balance sheets of the Company and subsidiaries as of December 31, 2012 and the consolidated statements of operations, consolidated statements of shareholders’ equity and consolidated statements of cash flows for the year ended December 31, 2012 incorporated by reference in the Registration Statement, the General Disclosure Package and the Prospectus, is an independent registered public accounting firm as required by the Act and the rules and regulations of the Commission promulgated thereunder and the Public Company Accounting Oversight Board (United States).</w:t>
      </w:r>
    </w:p>
    <w:p>
      <w:pPr>
        <w:spacing w:after="0" w:line="61" w:lineRule="exact"/>
        <w:rPr>
          <w:rFonts w:ascii="Arial" w:cs="Arial" w:eastAsia="Arial" w:hAnsi="Arial"/>
          <w:sz w:val="18"/>
          <w:szCs w:val="18"/>
          <w:color w:val="auto"/>
        </w:rPr>
      </w:pPr>
    </w:p>
    <w:p>
      <w:pPr>
        <w:ind w:firstLine="443"/>
        <w:spacing w:after="0" w:line="288" w:lineRule="auto"/>
        <w:tabs>
          <w:tab w:leader="none" w:pos="66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80" w:right="279" w:bottom="1440" w:gutter="0" w:footer="0" w:header="0"/>
        </w:sectPr>
      </w:pPr>
    </w:p>
    <w:bookmarkStart w:id="13" w:name="page14"/>
    <w:bookmarkEnd w:id="13"/>
    <w:p>
      <w:pPr>
        <w:ind w:right="2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reliability of financial reporting and the preparation of financial statements for external purposes in accordance with GAAP.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35" w:lineRule="exact"/>
        <w:rPr>
          <w:sz w:val="20"/>
          <w:szCs w:val="20"/>
          <w:color w:val="auto"/>
        </w:rPr>
      </w:pPr>
    </w:p>
    <w:p>
      <w:pPr>
        <w:ind w:right="560" w:firstLine="443"/>
        <w:spacing w:after="0" w:line="332" w:lineRule="auto"/>
        <w:tabs>
          <w:tab w:leader="none" w:pos="6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4" w:lineRule="exact"/>
        <w:rPr>
          <w:rFonts w:ascii="Arial" w:cs="Arial" w:eastAsia="Arial" w:hAnsi="Arial"/>
          <w:sz w:val="16"/>
          <w:szCs w:val="16"/>
          <w:color w:val="auto"/>
        </w:rPr>
      </w:pPr>
    </w:p>
    <w:p>
      <w:pPr>
        <w:ind w:right="160" w:firstLine="443"/>
        <w:spacing w:after="0" w:line="290" w:lineRule="auto"/>
        <w:tabs>
          <w:tab w:leader="none" w:pos="687"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of this Underwriting Agreement,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37" w:lineRule="exact"/>
        <w:rPr>
          <w:rFonts w:ascii="Arial" w:cs="Arial" w:eastAsia="Arial" w:hAnsi="Arial"/>
          <w:sz w:val="16"/>
          <w:szCs w:val="16"/>
          <w:color w:val="auto"/>
        </w:rPr>
      </w:pPr>
    </w:p>
    <w:p>
      <w:pPr>
        <w:ind w:firstLine="443"/>
        <w:spacing w:after="0" w:line="298" w:lineRule="auto"/>
        <w:tabs>
          <w:tab w:leader="none" w:pos="687"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With respect to all tax periods regarding which the Internal Revenue Service is or will be entitled to assert any claim, the Company has met the requirements for qualification as a REIT under Sections 856 through 860 of the Internal Revenue Code of 1986, as amended (the “Code”),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w:t>
      </w:r>
    </w:p>
    <w:p>
      <w:pPr>
        <w:spacing w:after="0" w:line="31" w:lineRule="exact"/>
        <w:rPr>
          <w:rFonts w:ascii="Arial" w:cs="Arial" w:eastAsia="Arial" w:hAnsi="Arial"/>
          <w:sz w:val="16"/>
          <w:szCs w:val="16"/>
          <w:color w:val="auto"/>
        </w:rPr>
      </w:pPr>
    </w:p>
    <w:p>
      <w:pPr>
        <w:ind w:right="80" w:firstLine="443"/>
        <w:spacing w:after="0" w:line="294" w:lineRule="auto"/>
        <w:tabs>
          <w:tab w:leader="none" w:pos="72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14" w:name="page15"/>
    <w:bookmarkEnd w:id="14"/>
    <w:p>
      <w:pPr>
        <w:ind w:left="400"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disclosure. The Company and its subsidiaries have carried out evaluations of the effectiveness of their disclosure controls and procedures as required by Rule 13a-15 of the Exchange Act.</w:t>
      </w:r>
    </w:p>
    <w:p>
      <w:pPr>
        <w:spacing w:after="0" w:line="51" w:lineRule="exact"/>
        <w:rPr>
          <w:sz w:val="20"/>
          <w:szCs w:val="20"/>
          <w:color w:val="auto"/>
        </w:rPr>
      </w:pPr>
    </w:p>
    <w:p>
      <w:pPr>
        <w:ind w:left="400" w:right="60" w:firstLine="443"/>
        <w:spacing w:after="0" w:line="283" w:lineRule="auto"/>
        <w:tabs>
          <w:tab w:leader="none" w:pos="1087" w:val="left"/>
        </w:tabs>
        <w:numPr>
          <w:ilvl w:val="1"/>
          <w:numId w:val="13"/>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best knowledge of the Company, any trustee, officer, agent, employee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or</w:t>
      </w:r>
    </w:p>
    <w:p>
      <w:pPr>
        <w:spacing w:after="0" w:line="2" w:lineRule="exact"/>
        <w:rPr>
          <w:rFonts w:ascii="Arial" w:cs="Arial" w:eastAsia="Arial" w:hAnsi="Arial"/>
          <w:sz w:val="16"/>
          <w:szCs w:val="16"/>
          <w:color w:val="auto"/>
        </w:rPr>
      </w:pPr>
    </w:p>
    <w:p>
      <w:pPr>
        <w:ind w:left="700" w:hanging="29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made any bribe, rebate, payoff, influence payment, kickback or other unlawful payment.</w:t>
      </w:r>
    </w:p>
    <w:p>
      <w:pPr>
        <w:spacing w:after="0" w:line="84" w:lineRule="exact"/>
        <w:rPr>
          <w:sz w:val="20"/>
          <w:szCs w:val="20"/>
          <w:color w:val="auto"/>
        </w:rPr>
      </w:pPr>
    </w:p>
    <w:p>
      <w:pPr>
        <w:ind w:left="400" w:right="80" w:firstLine="443"/>
        <w:spacing w:after="0" w:line="254" w:lineRule="auto"/>
        <w:tabs>
          <w:tab w:leader="none" w:pos="1087"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63" w:lineRule="exact"/>
        <w:rPr>
          <w:rFonts w:ascii="Arial" w:cs="Arial" w:eastAsia="Arial" w:hAnsi="Arial"/>
          <w:sz w:val="18"/>
          <w:szCs w:val="18"/>
          <w:color w:val="auto"/>
        </w:rPr>
      </w:pPr>
    </w:p>
    <w:p>
      <w:pPr>
        <w:ind w:left="400" w:right="100" w:firstLine="443"/>
        <w:spacing w:after="0" w:line="255" w:lineRule="auto"/>
        <w:tabs>
          <w:tab w:leader="none" w:pos="1077"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None of the Company, any of its subsidiaries or, to the knowledge of the Company, any trustee, officer, agent, employee or affiliate of the Company or any of its subsidiaries is currently subject to any U.S. sanctions administered by the Office of Foreign Assets Control of the U.S. Department of the Treasury (“OFAC”); and the Company will not use the proceeds of the offering of the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42" w:lineRule="exact"/>
        <w:rPr>
          <w:rFonts w:ascii="Arial" w:cs="Arial" w:eastAsia="Arial" w:hAnsi="Arial"/>
          <w:sz w:val="18"/>
          <w:szCs w:val="18"/>
          <w:color w:val="auto"/>
        </w:rPr>
      </w:pPr>
    </w:p>
    <w:p>
      <w:pPr>
        <w:ind w:left="-60" w:right="100" w:firstLine="464"/>
        <w:spacing w:after="0" w:line="259" w:lineRule="auto"/>
        <w:tabs>
          <w:tab w:leader="none" w:pos="5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40" w:lineRule="exact"/>
        <w:rPr>
          <w:rFonts w:ascii="Arial" w:cs="Arial" w:eastAsia="Arial" w:hAnsi="Arial"/>
          <w:sz w:val="18"/>
          <w:szCs w:val="18"/>
          <w:color w:val="auto"/>
        </w:rPr>
      </w:pPr>
    </w:p>
    <w:p>
      <w:pPr>
        <w:ind w:left="-60" w:firstLine="464"/>
        <w:spacing w:after="0" w:line="306" w:lineRule="auto"/>
        <w:tabs>
          <w:tab w:leader="none" w:pos="57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Designated Securities to be purchased by each Underwriter shall be delivered to the Representatives for the account of such Underwriter in the form of one or more global certificates in aggregate denomination equal to the aggregate principal amount of the Designated Securities upon original issuance and registered in the name of Cede &amp; Co., as nominee for The Depository Trust Company, against payment by such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300" w:top="280" w:right="279" w:bottom="1440" w:gutter="0" w:footer="0" w:header="0"/>
        </w:sectPr>
      </w:pPr>
    </w:p>
    <w:bookmarkStart w:id="15" w:name="page16"/>
    <w:bookmarkEnd w:id="15"/>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13"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agrees with each of the Underwriters of any Designated Securities that:</w:t>
      </w:r>
    </w:p>
    <w:p>
      <w:pPr>
        <w:spacing w:after="0" w:line="90" w:lineRule="exact"/>
        <w:rPr>
          <w:rFonts w:ascii="Arial" w:cs="Arial" w:eastAsia="Arial" w:hAnsi="Arial"/>
          <w:sz w:val="18"/>
          <w:szCs w:val="18"/>
          <w:color w:val="auto"/>
        </w:rPr>
      </w:pPr>
    </w:p>
    <w:p>
      <w:pPr>
        <w:ind w:left="460" w:firstLine="443"/>
        <w:spacing w:after="0" w:line="285" w:lineRule="auto"/>
        <w:tabs>
          <w:tab w:leader="none" w:pos="1137"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Company, subject to Section 5(b), will comply with the requirements of Rule 430B and will notify the Representatives immediately, and confirm the notice in writing, (i) when any post-effective amendment to the Registration Statement or new registration statement relating to the Designated Securities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Designated Securities for offering or sale in any jurisdiction, or of the initiation or threatening of any proceedings for any of such purposes or of any examination pursuant to Section 8(e) of the Act concerning the Registration Statement and (v) if the Company becomes the subject of a proceeding under Section 8A of the Act in connection with the offering of the Designated Securities. The Company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Designated Securities within the time required by Rule 456(b)(1)(i) under the Act without regard to the proviso therein and otherwise in accordance with Rules 456(b) and 457(r) under the Act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6" w:name="page17"/>
    <w:bookmarkEnd w:id="16"/>
    <w:p>
      <w:pPr>
        <w:ind w:firstLine="443"/>
        <w:spacing w:after="0" w:line="286" w:lineRule="auto"/>
        <w:tabs>
          <w:tab w:leader="none" w:pos="687"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the Applicable Time to the Time of Delivery, the Company will give the Representatives notice of its intention to file or prepare any amendment to the Registration Statement or new registration statement relating to the Designated Securities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The Company has given the Representatives notice of any filings made pursuant to the Exchange Act or the Commission’s regulations thereunder within forty-eight hours prior to the Applicable Time. The Company will prepare a final term sheet (the “Final Term Sheet”) reflecting the final terms of the Designated Securities, substantially in the form set forth on Schedule I of Exhibit B hereto, and shall file such Final Term Sheet as an “issuer free writing prospectus” pursuant to Rule 433 prior to the close of business two business days after the date hereof; provided that the Company shall furnish the Representatives with copies of such Final Term Sheet a reasonable amount of time prior to such proposed filing and will not use or file any such document to which the Representatives or counsel to the Underwriters shall reasonably object;</w:t>
      </w:r>
    </w:p>
    <w:p>
      <w:pPr>
        <w:spacing w:after="0" w:line="262" w:lineRule="exact"/>
        <w:rPr>
          <w:rFonts w:ascii="Arial" w:cs="Arial" w:eastAsia="Arial" w:hAnsi="Arial"/>
          <w:sz w:val="16"/>
          <w:szCs w:val="16"/>
          <w:color w:val="auto"/>
        </w:rPr>
      </w:pPr>
    </w:p>
    <w:p>
      <w:pPr>
        <w:ind w:right="80" w:firstLine="443"/>
        <w:spacing w:after="0" w:line="287" w:lineRule="auto"/>
        <w:tabs>
          <w:tab w:leader="none" w:pos="677"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represents and agrees that, unless it obtains the prior written consent of the Underwriters, and each Underwriter represents and agrees that, unless it obtains the prior written consent of the Company and the other Underwriters, it has not made and will not make any offer relating to the Designated Securities that would constitute an “issuer free writing prospectus,” as defined in Rule 433, or that would otherwise constitute a “free writing prospectus,” as defined in Rule 405, in each case required to be filed with the Commission; provided, however, that prior to the preparation of the Final Term Sheet in accordance with Section 5(b) hereof, the Underwriters are authorized to use the information with respect to the final terms of the Designated Securities in communications conveying information relating to the offering to investors. Any such free writing prospectus consented to by the Company and the Underwriters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41" w:lineRule="exact"/>
        <w:rPr>
          <w:rFonts w:ascii="Arial" w:cs="Arial" w:eastAsia="Arial" w:hAnsi="Arial"/>
          <w:sz w:val="16"/>
          <w:szCs w:val="16"/>
          <w:color w:val="auto"/>
        </w:rPr>
      </w:pPr>
    </w:p>
    <w:p>
      <w:pPr>
        <w:ind w:right="320" w:firstLine="443"/>
        <w:spacing w:after="0" w:line="259" w:lineRule="auto"/>
        <w:tabs>
          <w:tab w:leader="none" w:pos="68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promptly from time to time will take such action as the Representatives may reasonably request to qualify such Designated Securities for offering and sale under the securities laws of such jurisdictions as the Representatives may request and to comply with such laws so as to permit the continuance of sales and dealings therein in such jurisdictions for as long as may</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80" w:right="259" w:bottom="1440" w:gutter="0" w:footer="0" w:header="0"/>
        </w:sectPr>
      </w:pPr>
    </w:p>
    <w:bookmarkStart w:id="17" w:name="page18"/>
    <w:bookmarkEnd w:id="1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necessary to complete the distribution of such Designated Securities, provided that in connection therewith the Company shall not be required to qualify as a foreign corporation or to file a general consent to service of process in any jurisdiction;</w:t>
      </w:r>
    </w:p>
    <w:p>
      <w:pPr>
        <w:spacing w:after="0" w:line="51" w:lineRule="exact"/>
        <w:rPr>
          <w:sz w:val="20"/>
          <w:szCs w:val="20"/>
          <w:color w:val="auto"/>
        </w:rPr>
      </w:pPr>
    </w:p>
    <w:p>
      <w:pPr>
        <w:ind w:right="20" w:firstLine="443"/>
        <w:spacing w:after="0" w:line="290" w:lineRule="auto"/>
        <w:tabs>
          <w:tab w:leader="none" w:pos="67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has furnished or will deliver to the Representatives and counsel for the 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37" w:lineRule="exact"/>
        <w:rPr>
          <w:rFonts w:ascii="Arial" w:cs="Arial" w:eastAsia="Arial" w:hAnsi="Arial"/>
          <w:sz w:val="16"/>
          <w:szCs w:val="16"/>
          <w:color w:val="auto"/>
        </w:rPr>
      </w:pPr>
    </w:p>
    <w:p>
      <w:pPr>
        <w:ind w:firstLine="443"/>
        <w:spacing w:after="0" w:line="287" w:lineRule="auto"/>
        <w:tabs>
          <w:tab w:leader="none" w:pos="65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has delivered to each Underwriter, without charge, as many copies of each preliminary prospectus as such Underwriter reasonably requested, and the Company has delivered to each Underwriter, without charge, as many copies of each Issuer Free Writing Prospectus, if any, as such Underwriter reasonably requested, and the Company hereby consents to the use of such copies of each preliminary prospectus and each Issuer Free Writing Prospectus, if any, for purposes permitted by the Act. The Company will furnish to each Underwriter, without charge, during the period when the Prospectus is required to be delivered under the Act in connection with sales of the Designated Securities,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The Company, during the period when the Prospectus is required to be delivered under the Act, will file all documents required to be filed with the Commission pursuant to the Exchange Act within the time periods required by the Exchange Act and the rules and regulations of the Commission thereunder;</w:t>
      </w:r>
    </w:p>
    <w:p>
      <w:pPr>
        <w:spacing w:after="0" w:line="41" w:lineRule="exact"/>
        <w:rPr>
          <w:rFonts w:ascii="Arial" w:cs="Arial" w:eastAsia="Arial" w:hAnsi="Arial"/>
          <w:sz w:val="16"/>
          <w:szCs w:val="16"/>
          <w:color w:val="auto"/>
        </w:rPr>
      </w:pPr>
    </w:p>
    <w:p>
      <w:pPr>
        <w:ind w:right="240" w:firstLine="443"/>
        <w:spacing w:after="0" w:line="254" w:lineRule="auto"/>
        <w:tabs>
          <w:tab w:leader="none" w:pos="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will comply with the Act and the rules and regulations of the Commission thereunder, the Exchange Act and the rules and regulations of the Commission thereunder and the Trust Indenture Act and the rules and regulations of the Commission thereunder so as to permit the completion of the distribution of the Designated Securities as contemplated in this Underwriting Agreement, a related Pricing Agreement and in the Prospectus. If at any time when a prospectus is required by the Act to be delivered in connection with sales of the Designated Securities, any event shall occur or condition shall exist as a result of which it is necessary, in the opinion of counsel for the Underwriters or for the Company, to amend the Registration Statement or amend</w:t>
      </w:r>
    </w:p>
    <w:p>
      <w:pPr>
        <w:spacing w:after="0" w:line="13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700" w:top="280" w:right="279" w:bottom="1440" w:gutter="0" w:footer="0" w:header="0"/>
        </w:sectPr>
      </w:pPr>
    </w:p>
    <w:bookmarkStart w:id="18" w:name="page19"/>
    <w:bookmarkEnd w:id="1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 with the Commission, subject to Section 5(b) hereof, such amendment, supplement or new registration statement as may be necessary to correct such 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Securities) and the Company will furnish to the Underwriters such number of copies of such amendment, supplement or new registration statement as the Representatives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Designated Securities)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47" w:lineRule="exact"/>
        <w:rPr>
          <w:sz w:val="20"/>
          <w:szCs w:val="20"/>
          <w:color w:val="auto"/>
        </w:rPr>
      </w:pPr>
    </w:p>
    <w:p>
      <w:pPr>
        <w:ind w:right="200" w:firstLine="443"/>
        <w:spacing w:after="0" w:line="259" w:lineRule="auto"/>
        <w:tabs>
          <w:tab w:leader="none" w:pos="687"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Company will timely file such reports pursuant to the Exchange Act as are necessary in order to make generally available to its securityholders as soon as practicable an earnings statement for the purposes of, and to provide to the Underwriters the benefits contemplated by, the last paragraph of Section 11(a) of the Act;</w:t>
      </w:r>
    </w:p>
    <w:p>
      <w:pPr>
        <w:spacing w:after="0" w:line="59" w:lineRule="exact"/>
        <w:rPr>
          <w:rFonts w:ascii="Arial" w:cs="Arial" w:eastAsia="Arial" w:hAnsi="Arial"/>
          <w:sz w:val="18"/>
          <w:szCs w:val="18"/>
          <w:color w:val="auto"/>
        </w:rPr>
      </w:pPr>
    </w:p>
    <w:p>
      <w:pPr>
        <w:ind w:right="340" w:firstLine="443"/>
        <w:spacing w:after="0" w:line="286" w:lineRule="auto"/>
        <w:tabs>
          <w:tab w:leader="none" w:pos="648" w:val="left"/>
        </w:tabs>
        <w:numPr>
          <w:ilvl w:val="1"/>
          <w:numId w:val="20"/>
        </w:numPr>
        <w:rPr>
          <w:rFonts w:ascii="Arial" w:cs="Arial" w:eastAsia="Arial" w:hAnsi="Arial"/>
          <w:sz w:val="16"/>
          <w:szCs w:val="16"/>
          <w:color w:val="auto"/>
        </w:rPr>
      </w:pPr>
      <w:r>
        <w:rPr>
          <w:rFonts w:ascii="Arial" w:cs="Arial" w:eastAsia="Arial" w:hAnsi="Arial"/>
          <w:sz w:val="16"/>
          <w:szCs w:val="16"/>
          <w:color w:val="auto"/>
        </w:rPr>
        <w:t>During the period beginning on and including the date of the Pricing Agreement for such Designated Securities and continuing through and including the earlier of (i) the termination of trading restrictions for such Designated Securities, as notified to the Company by the Representatives and</w:t>
      </w:r>
    </w:p>
    <w:p>
      <w:pPr>
        <w:ind w:right="80" w:firstLine="4"/>
        <w:spacing w:after="0" w:line="302" w:lineRule="auto"/>
        <w:tabs>
          <w:tab w:leader="none" w:pos="25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Time of Delivery for such Designated Securities, but in no event later than 90 days from the date of the Pricing Agreement, the Company will not offer, sell, contract to sell, pledge or otherwise issue any debt securities of the Company which mature more than one year after such Time of Delivery and which are substantially similar to such Designated Securities, without the prior written consent of the Representatives;</w:t>
      </w:r>
    </w:p>
    <w:p>
      <w:pPr>
        <w:spacing w:after="0" w:line="9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700" w:top="280" w:right="259" w:bottom="1440" w:gutter="0" w:footer="0" w:header="0"/>
        </w:sectPr>
      </w:pPr>
    </w:p>
    <w:bookmarkStart w:id="19" w:name="page20"/>
    <w:bookmarkEnd w:id="19"/>
    <w:p>
      <w:pPr>
        <w:ind w:left="420" w:right="160" w:firstLine="443"/>
        <w:spacing w:after="0" w:line="268" w:lineRule="auto"/>
        <w:tabs>
          <w:tab w:leader="none" w:pos="1068"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use the net proceeds received by it from the sale of the Designated Securities in the manner specified in the Prospectus under the caption “Use of Proceeds”;</w:t>
      </w:r>
    </w:p>
    <w:p>
      <w:pPr>
        <w:spacing w:after="0" w:line="50" w:lineRule="exact"/>
        <w:rPr>
          <w:rFonts w:ascii="Arial" w:cs="Arial" w:eastAsia="Arial" w:hAnsi="Arial"/>
          <w:sz w:val="18"/>
          <w:szCs w:val="18"/>
          <w:color w:val="auto"/>
        </w:rPr>
      </w:pPr>
    </w:p>
    <w:p>
      <w:pPr>
        <w:ind w:left="1120" w:hanging="257"/>
        <w:spacing w:after="0"/>
        <w:tabs>
          <w:tab w:leader="none" w:pos="11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Company will qualify as a “REIT” under the Code, and will use its best efforts to continue to meet the requirements to qualify as a “REIT”;</w:t>
      </w:r>
    </w:p>
    <w:p>
      <w:pPr>
        <w:spacing w:after="0" w:line="38"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20" w:firstLine="443"/>
        <w:spacing w:after="0" w:line="287" w:lineRule="auto"/>
        <w:tabs>
          <w:tab w:leader="none" w:pos="1068"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Company acknowledges and agrees that the Underwriters of such Designated Securities are acting solely in the capacity of an arm’s length contractual counterparty to the Company with respect to the offering of such Designated Securities (including in connection with determining the terms of the offering) and not as a financial advisor or a fiduciary to, or an agent of, the Company or any other person. The Company agrees that it will not claim that the Underwriters, or any of them, has rendered advisory services of any nature or respect, or owes a fiduciary or similar duty to the Company, in connection with such transaction or the process leading thereto.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 and the Underwriters shall have no responsibility or liability to the Company with respect thereto. Any review by the Underwriters of the Company, the transactions contemplated hereby or in any Pricing Agreement or other matters relating to such transactions will be performed solely for the benefit of the Underwriters and shall not be on behalf of the Company.</w:t>
      </w:r>
    </w:p>
    <w:p>
      <w:pPr>
        <w:spacing w:after="0" w:line="122" w:lineRule="exact"/>
        <w:rPr>
          <w:rFonts w:ascii="Arial" w:cs="Arial" w:eastAsia="Arial" w:hAnsi="Arial"/>
          <w:sz w:val="16"/>
          <w:szCs w:val="16"/>
          <w:color w:val="auto"/>
        </w:rPr>
      </w:pPr>
    </w:p>
    <w:p>
      <w:pPr>
        <w:ind w:left="-40" w:right="80" w:firstLine="464"/>
        <w:spacing w:after="0" w:line="286" w:lineRule="auto"/>
        <w:tabs>
          <w:tab w:leader="none" w:pos="59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Permitted Free Writing Prospectus and the Prospectus and amendments and supplements thereto and the mailing and delivering of copies thereof to the Underwriters and dealers; (ii) the cost of printing or producing any Agreement Among Underwriters, this Underwriting Agreement, any Pricing Agreement, any Indenture, any Blue Sky and legal investment surveys and any other documents in connection with the offering, purchase, sale and delivery of the Securities; (iii) all expenses in connection with the qualification of the Securities for offering and sale under state securities laws as provided in Section 5(d) hereof, including the fees and disbursements of counsel for the Underwriters in connection with such qualification and in connection with the Blue Sky and legal investment surveys; (iv) any fees charged by securities rating services for rating the Securities; (v) any filing fees incident to any required review by the Financial Industry Regulatory Authority of the terms of the sale of the Securities; (vi) the fees and expenses of any Trustee and any agent of any Trustee and the fees and disbursements of counsel for any Trustee in connection with any Indenture and the Securities; (vii) all other costs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80" w:top="280" w:right="259" w:bottom="1440" w:gutter="0" w:footer="0" w:header="0"/>
        </w:sectPr>
      </w:pPr>
    </w:p>
    <w:bookmarkStart w:id="20" w:name="page21"/>
    <w:bookmarkEnd w:id="20"/>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expenses incident to the performance of its obligations hereunder which are not otherwise specifically provided for in this Section 6; and (viii) the costs and expenses (including without limitation any damages or other amounts payable in connection with legal or contractual liability) associated with the reforming of any contracts for sale of the Designated Securities made by the Underwriters caused by a breach of the representation contained in the sixth paragraph of Section 2(c) hereof. It is understood, however, that, except as provided in this Section 6,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144" w:lineRule="exact"/>
        <w:rPr>
          <w:sz w:val="20"/>
          <w:szCs w:val="20"/>
          <w:color w:val="auto"/>
        </w:rPr>
      </w:pPr>
    </w:p>
    <w:p>
      <w:pPr>
        <w:ind w:right="40" w:firstLine="464"/>
        <w:spacing w:after="0" w:line="255"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from this Underwriting Agreement into, the Pricing Agreement relating to 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61" w:lineRule="exact"/>
        <w:rPr>
          <w:rFonts w:ascii="Arial" w:cs="Arial" w:eastAsia="Arial" w:hAnsi="Arial"/>
          <w:sz w:val="18"/>
          <w:szCs w:val="18"/>
          <w:color w:val="auto"/>
        </w:rPr>
      </w:pPr>
    </w:p>
    <w:p>
      <w:pPr>
        <w:ind w:left="460" w:right="20" w:firstLine="443"/>
        <w:spacing w:after="0" w:line="310" w:lineRule="auto"/>
        <w:tabs>
          <w:tab w:leader="none" w:pos="1137" w:val="left"/>
        </w:tabs>
        <w:numPr>
          <w:ilvl w:val="1"/>
          <w:numId w:val="24"/>
        </w:numPr>
        <w:rPr>
          <w:rFonts w:ascii="Arial" w:cs="Arial" w:eastAsia="Arial" w:hAnsi="Arial"/>
          <w:sz w:val="15"/>
          <w:szCs w:val="15"/>
          <w:color w:val="auto"/>
        </w:rPr>
      </w:pPr>
      <w:r>
        <w:rPr>
          <w:rFonts w:ascii="Arial" w:cs="Arial" w:eastAsia="Arial" w:hAnsi="Arial"/>
          <w:sz w:val="15"/>
          <w:szCs w:val="15"/>
          <w:color w:val="auto"/>
        </w:rPr>
        <w:t>The Prospectus containing the 430B Information, as amended or supplemented, in relation to the applicable Designated Securities shall have been filed with the Commission in the manner and within the time period required by Rule 424(b) (without reliance on Rule 424(b)(8))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 the Company shall have paid the required Commission filing fees relating to the Designated Securities within the time period required by Rule 456(b)(1)(i) under the Act without regard to the proviso therein and otherwise in accordance with Rules 456(b) and 457(r) under the Act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27" w:lineRule="exact"/>
        <w:rPr>
          <w:rFonts w:ascii="Arial" w:cs="Arial" w:eastAsia="Arial" w:hAnsi="Arial"/>
          <w:sz w:val="15"/>
          <w:szCs w:val="15"/>
          <w:color w:val="auto"/>
        </w:rPr>
      </w:pPr>
    </w:p>
    <w:p>
      <w:pPr>
        <w:ind w:left="460" w:firstLine="443"/>
        <w:spacing w:after="0" w:line="294" w:lineRule="auto"/>
        <w:tabs>
          <w:tab w:leader="none" w:pos="1147"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Sidley Austin </w:t>
      </w:r>
      <w:r>
        <w:rPr>
          <w:rFonts w:ascii="Arial" w:cs="Arial" w:eastAsia="Arial" w:hAnsi="Arial"/>
          <w:sz w:val="13"/>
          <w:szCs w:val="13"/>
          <w:color w:val="auto"/>
        </w:rPr>
        <w:t>LLP</w:t>
      </w:r>
      <w:r>
        <w:rPr>
          <w:rFonts w:ascii="Arial" w:cs="Arial" w:eastAsia="Arial" w:hAnsi="Arial"/>
          <w:sz w:val="16"/>
          <w:szCs w:val="16"/>
          <w:color w:val="auto"/>
        </w:rPr>
        <w:t xml:space="preserve">, counsel for the Underwriters, shall have furnished to the Representatives such opinion or opinions, dated the Time of Delivery for such Designated Securities, with respect to the validity of the Indenture,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w:t>
      </w:r>
      <w:r>
        <w:rPr>
          <w:rFonts w:ascii="Arial" w:cs="Arial" w:eastAsia="Arial" w:hAnsi="Arial"/>
          <w:sz w:val="13"/>
          <w:szCs w:val="13"/>
          <w:color w:val="auto"/>
        </w:rPr>
        <w:t>LLP</w:t>
      </w:r>
      <w:r>
        <w:rPr>
          <w:rFonts w:ascii="Arial" w:cs="Arial" w:eastAsia="Arial" w:hAnsi="Arial"/>
          <w:sz w:val="16"/>
          <w:szCs w:val="16"/>
          <w:color w:val="auto"/>
        </w:rPr>
        <w:t xml:space="preserve"> may rely, as to all matters arising under or governed by the laws of the State of Maryland, on the opinion of Pillsbury Winthrop Shaw Pittman LLP);</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ind w:firstLine="443"/>
        <w:spacing w:after="0" w:line="306" w:lineRule="auto"/>
        <w:tabs>
          <w:tab w:leader="none" w:pos="677"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Pillsbury Winthrop Shaw Pittman LLP, counsel for the Company, shall have furnished to the Representatives their written opinion, dated the Time of Delivery for such Designated Securities, in form and substance satisfactory to the Representatives, substantially similar to the forms set forth in Exhibit C and Exhibit D hereto, subject to such assumptions, exceptions, and qualifications reasonably acceptable to the Representatives;</w:t>
      </w:r>
    </w:p>
    <w:p>
      <w:pPr>
        <w:spacing w:after="0" w:line="25" w:lineRule="exact"/>
        <w:rPr>
          <w:rFonts w:ascii="Arial" w:cs="Arial" w:eastAsia="Arial" w:hAnsi="Arial"/>
          <w:sz w:val="16"/>
          <w:szCs w:val="16"/>
          <w:color w:val="auto"/>
        </w:rPr>
      </w:pPr>
    </w:p>
    <w:p>
      <w:pPr>
        <w:ind w:right="100" w:firstLine="443"/>
        <w:spacing w:after="0" w:line="259" w:lineRule="auto"/>
        <w:tabs>
          <w:tab w:leader="none" w:pos="6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Securities and at the Time of Delivery for such Designated Securities, Grant Thornton LLP, the independent accountants of the Company, shall have furnished to the Representatives a “comfort letter” in form and substance satisfactory to the Representatives;</w:t>
      </w:r>
    </w:p>
    <w:p>
      <w:pPr>
        <w:spacing w:after="0" w:line="59" w:lineRule="exact"/>
        <w:rPr>
          <w:rFonts w:ascii="Arial" w:cs="Arial" w:eastAsia="Arial" w:hAnsi="Arial"/>
          <w:sz w:val="18"/>
          <w:szCs w:val="18"/>
          <w:color w:val="auto"/>
        </w:rPr>
      </w:pPr>
    </w:p>
    <w:p>
      <w:pPr>
        <w:jc w:val="both"/>
        <w:ind w:right="60" w:firstLine="443"/>
        <w:spacing w:after="0" w:line="306" w:lineRule="auto"/>
        <w:tabs>
          <w:tab w:leader="none" w:pos="677" w:val="left"/>
        </w:tabs>
        <w:numPr>
          <w:ilvl w:val="0"/>
          <w:numId w:val="25"/>
        </w:numPr>
        <w:rPr>
          <w:rFonts w:ascii="Arial" w:cs="Arial" w:eastAsia="Arial" w:hAnsi="Arial"/>
          <w:sz w:val="16"/>
          <w:szCs w:val="16"/>
          <w:color w:val="auto"/>
        </w:rPr>
      </w:pPr>
      <w:r>
        <w:rPr>
          <w:rFonts w:ascii="Arial" w:cs="Arial" w:eastAsia="Arial" w:hAnsi="Arial"/>
          <w:sz w:val="16"/>
          <w:szCs w:val="16"/>
          <w:color w:val="auto"/>
        </w:rPr>
        <w:t>At the Time of Delivery for such Designated Securities, the Designated Securities shall be rated at least Baa1 by Moody’s Investor’s Service Inc. and A- by Standard &amp; Poor’s Ratings Services, and the Company shall have delivered to the Representatives a letter dated the Time of Delivery, from each such rating agency, or other evidence satisfactory to the Representatives, confirming that the Designated Securities have such ratings;</w:t>
      </w:r>
    </w:p>
    <w:p>
      <w:pPr>
        <w:spacing w:after="0" w:line="25" w:lineRule="exact"/>
        <w:rPr>
          <w:rFonts w:ascii="Arial" w:cs="Arial" w:eastAsia="Arial" w:hAnsi="Arial"/>
          <w:sz w:val="16"/>
          <w:szCs w:val="16"/>
          <w:color w:val="auto"/>
        </w:rPr>
      </w:pPr>
    </w:p>
    <w:p>
      <w:pPr>
        <w:ind w:right="60" w:firstLine="443"/>
        <w:spacing w:after="0" w:line="285" w:lineRule="auto"/>
        <w:tabs>
          <w:tab w:leader="none" w:pos="657"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Neither the Company nor any of its subsidiaries, considered as one enterprise, since the date of the last audited financial statements included or incorporated by reference in the Registration Statement, Disclosure Package and the Prospectus, shall have sustained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(B) since the respective dates as of which information is given in the Prospectus and the General Disclosure Package, there shall not have been any change in the authorized, issued or outstanding capital shares of the Company (except for subsequent issuances, if any, of Common Shares pursuant to (i) Conversion of the Company’s Preferred Shares outstanding as of the date of the applicable Pricing Agreement, (ii) the Company’s Dividend Reinvestment and Share Purchase Plan as in effect on the date of the applicable Pricing Agreement, (iii) any of the Company’s employee or trustee benefits plans, including upon exercise of share options granted pursuant thereto, as such plans are in effect on the date of the applicable Pricing Agreement or consistent with part practice, (iv) the exercise of contractual rights existing on the date of the applicable Pricing Agreement by the current and former holders of partnership or other interests in certain of the “DownREIT” and other Subsidiaries which may require or permit (in lieu of a payment in cash) the issuance of Common Shares of the Company, (v) the terms of that certain Equity Distribution Agreement dated May 8, 2012 between the Company and Wells Fargo Securities, LLC, as the same may be amended from time to time or (vi) any non-material acquisition, merger or purchase of assets) or any material increase in the consolidated long-term debt of the Company or any of its subsidiaries or any change, or any development involving a prospective change, in or affecting the general affairs, management,</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80" w:right="239" w:bottom="1440" w:gutter="0" w:footer="0" w:header="0"/>
        </w:sectPr>
      </w:pPr>
    </w:p>
    <w:bookmarkStart w:id="22" w:name="page23"/>
    <w:bookmarkEnd w:id="22"/>
    <w:p>
      <w:pPr>
        <w:ind w:right="4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position, shareholders’ equity or results of operations of the Company and its subsidiaries, otherwise than as set forth or contemplated in the Prospectus and the General Disclosure Package, the effect of which, in any such case described in clause (A) or (B), is in the judgment of the Representatives so material and adverse as to make it impracticable or inadvisable to proceed with the public offering, sale or the delivery of the Designated Securities on the terms and in the manner contemplated in the Prospectus, as amended or supplemented;</w:t>
      </w:r>
    </w:p>
    <w:p>
      <w:pPr>
        <w:spacing w:after="0" w:line="32" w:lineRule="exact"/>
        <w:rPr>
          <w:sz w:val="20"/>
          <w:szCs w:val="20"/>
          <w:color w:val="auto"/>
        </w:rPr>
      </w:pPr>
    </w:p>
    <w:p>
      <w:pPr>
        <w:jc w:val="both"/>
        <w:ind w:right="100" w:firstLine="443"/>
        <w:spacing w:after="0" w:line="298" w:lineRule="auto"/>
        <w:tabs>
          <w:tab w:leader="none" w:pos="687"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Section 3(a)(62) under the Exchange Act and (ii) no such organization shall have publicly announced that it has under surveillance or review, with possible negative implications, its rating of any of the Company’s debt securities or preferred shares;</w:t>
      </w:r>
    </w:p>
    <w:p>
      <w:pPr>
        <w:spacing w:after="0" w:line="31" w:lineRule="exact"/>
        <w:rPr>
          <w:rFonts w:ascii="Arial" w:cs="Arial" w:eastAsia="Arial" w:hAnsi="Arial"/>
          <w:sz w:val="16"/>
          <w:szCs w:val="16"/>
          <w:color w:val="auto"/>
        </w:rPr>
      </w:pPr>
    </w:p>
    <w:p>
      <w:pPr>
        <w:ind w:firstLine="443"/>
        <w:spacing w:after="0" w:line="290" w:lineRule="auto"/>
        <w:tabs>
          <w:tab w:leader="none" w:pos="687"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Securities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sale or the delivery of the Designated Securities on the terms and in the manner contemplated in the Prospectus, as amended or supplemented;</w:t>
      </w:r>
    </w:p>
    <w:p>
      <w:pPr>
        <w:spacing w:after="0" w:line="37" w:lineRule="exact"/>
        <w:rPr>
          <w:rFonts w:ascii="Arial" w:cs="Arial" w:eastAsia="Arial" w:hAnsi="Arial"/>
          <w:sz w:val="16"/>
          <w:szCs w:val="16"/>
          <w:color w:val="auto"/>
        </w:rPr>
      </w:pPr>
    </w:p>
    <w:p>
      <w:pPr>
        <w:ind w:right="540" w:firstLine="443"/>
        <w:spacing w:after="0" w:line="268"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5(f) hereof with respect to the furnishing of Prospectuses, as amended or supplemented; and</w:t>
      </w:r>
    </w:p>
    <w:p>
      <w:pPr>
        <w:spacing w:after="0" w:line="50" w:lineRule="exact"/>
        <w:rPr>
          <w:rFonts w:ascii="Arial" w:cs="Arial" w:eastAsia="Arial" w:hAnsi="Arial"/>
          <w:sz w:val="18"/>
          <w:szCs w:val="18"/>
          <w:color w:val="auto"/>
        </w:rPr>
      </w:pPr>
    </w:p>
    <w:p>
      <w:pPr>
        <w:ind w:right="60" w:firstLine="443"/>
        <w:spacing w:after="0" w:line="294" w:lineRule="auto"/>
        <w:tabs>
          <w:tab w:leader="none" w:pos="648"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shall have furnished or caused to be furnished to the Representatives at the Time of Delivery for the Designated Securities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(g) of this Section 7 and as to such other matters as the Representatives may reasonably request.</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700" w:top="280" w:right="259" w:bottom="1440" w:gutter="0" w:footer="0" w:header="0"/>
        </w:sectPr>
      </w:pPr>
    </w:p>
    <w:bookmarkStart w:id="23" w:name="page24"/>
    <w:bookmarkEnd w:id="23"/>
    <w:p>
      <w:pPr>
        <w:ind w:firstLine="464"/>
        <w:spacing w:after="0" w:line="286" w:lineRule="auto"/>
        <w:tabs>
          <w:tab w:leader="none" w:pos="632"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The Company will indemnify and hold harmless each Underwriter, its affiliates, its directors, its officers and each person, if any, who controls such Underwriter within the meaning of Section 15 of the Act or Section 20 of the Exchange Act,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any Underwriter of Designated Securities through the Representatives expressly for use therein.</w:t>
      </w:r>
    </w:p>
    <w:p>
      <w:pPr>
        <w:spacing w:after="0" w:line="121" w:lineRule="exact"/>
        <w:rPr>
          <w:sz w:val="20"/>
          <w:szCs w:val="20"/>
          <w:color w:val="auto"/>
        </w:rPr>
      </w:pPr>
    </w:p>
    <w:p>
      <w:pPr>
        <w:ind w:firstLine="464"/>
        <w:spacing w:after="0" w:line="286" w:lineRule="auto"/>
        <w:tabs>
          <w:tab w:leader="none" w:pos="7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Each Underwriter, severally and not jointly, will indemnify and hold harmless the Company, its trustees, its officers who signed the Registration Statement and each person, if any, who controls the Company within the meaning of Section 15 of the Act or Section 20 of the Exchange Act to the same extent as the indemnity set forth in paragraph (a) above, but only with respect to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4" w:name="page25"/>
    <w:bookmarkEnd w:id="24"/>
    <w:p>
      <w:pPr>
        <w:ind w:left="-8" w:right="60" w:firstLine="464"/>
        <w:spacing w:after="0" w:line="282" w:lineRule="auto"/>
        <w:tabs>
          <w:tab w:leader="none" w:pos="687" w:val="left"/>
        </w:tabs>
        <w:numPr>
          <w:ilvl w:val="1"/>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w:t>
      </w:r>
    </w:p>
    <w:p>
      <w:pPr>
        <w:spacing w:after="0" w:line="5" w:lineRule="exact"/>
        <w:rPr>
          <w:rFonts w:ascii="Arial" w:cs="Arial" w:eastAsia="Arial" w:hAnsi="Arial"/>
          <w:sz w:val="16"/>
          <w:szCs w:val="16"/>
          <w:color w:val="auto"/>
        </w:rPr>
      </w:pPr>
    </w:p>
    <w:p>
      <w:pPr>
        <w:ind w:left="252" w:hanging="252"/>
        <w:spacing w:after="0"/>
        <w:tabs>
          <w:tab w:leader="none" w:pos="2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does not include a statement as to or an admission of fault, culpability or a failure to act, by or on behalf of any indemnified party.</w:t>
      </w:r>
    </w:p>
    <w:p>
      <w:pPr>
        <w:spacing w:after="0" w:line="164" w:lineRule="exact"/>
        <w:rPr>
          <w:rFonts w:ascii="Arial" w:cs="Arial" w:eastAsia="Arial" w:hAnsi="Arial"/>
          <w:sz w:val="18"/>
          <w:szCs w:val="18"/>
          <w:color w:val="auto"/>
        </w:rPr>
      </w:pPr>
    </w:p>
    <w:p>
      <w:pPr>
        <w:ind w:left="712" w:hanging="256"/>
        <w:spacing w:after="0"/>
        <w:tabs>
          <w:tab w:leader="none" w:pos="712" w:val="left"/>
        </w:tabs>
        <w:numPr>
          <w:ilvl w:val="1"/>
          <w:numId w:val="30"/>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or insufficient to hold harmless an indemnified party under subsection (a) or</w:t>
      </w:r>
    </w:p>
    <w:p>
      <w:pPr>
        <w:spacing w:after="0" w:line="38" w:lineRule="exact"/>
        <w:rPr>
          <w:sz w:val="20"/>
          <w:szCs w:val="20"/>
          <w:color w:val="auto"/>
        </w:rPr>
      </w:pPr>
    </w:p>
    <w:p>
      <w:pPr>
        <w:ind w:left="-8" w:firstLine="8"/>
        <w:spacing w:after="0" w:line="287" w:lineRule="auto"/>
        <w:tabs>
          <w:tab w:leader="none" w:pos="241" w:val="left"/>
        </w:tabs>
        <w:numPr>
          <w:ilvl w:val="0"/>
          <w:numId w:val="31"/>
        </w:numPr>
        <w:rPr>
          <w:rFonts w:ascii="Arial" w:cs="Arial" w:eastAsia="Arial" w:hAnsi="Arial"/>
          <w:sz w:val="16"/>
          <w:szCs w:val="16"/>
          <w:color w:val="auto"/>
        </w:rPr>
      </w:pPr>
      <w:r>
        <w:rPr>
          <w:rFonts w:ascii="Arial" w:cs="Arial" w:eastAsia="Arial" w:hAnsi="Arial"/>
          <w:sz w:val="16"/>
          <w:szCs w:val="16"/>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92"/>
          </w:cols>
          <w:pgMar w:left="248" w:top="280" w:right="259" w:bottom="1440" w:gutter="0" w:footer="0" w:header="0"/>
        </w:sectPr>
      </w:pPr>
    </w:p>
    <w:bookmarkStart w:id="25" w:name="page26"/>
    <w:bookmarkEnd w:id="2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126" w:lineRule="exact"/>
        <w:rPr>
          <w:sz w:val="20"/>
          <w:szCs w:val="20"/>
          <w:color w:val="auto"/>
        </w:rPr>
      </w:pPr>
    </w:p>
    <w:p>
      <w:pPr>
        <w:ind w:firstLine="464"/>
        <w:spacing w:after="0" w:line="255"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trustee of the Company and to each person, if any, who controls the Company within the meaning of the Act.</w:t>
      </w:r>
    </w:p>
    <w:p>
      <w:pPr>
        <w:spacing w:after="0" w:line="143" w:lineRule="exact"/>
        <w:rPr>
          <w:sz w:val="20"/>
          <w:szCs w:val="20"/>
          <w:color w:val="auto"/>
        </w:rPr>
      </w:pPr>
    </w:p>
    <w:p>
      <w:pPr>
        <w:jc w:val="both"/>
        <w:ind w:right="100" w:firstLine="464"/>
        <w:spacing w:after="0" w:line="294" w:lineRule="auto"/>
        <w:tabs>
          <w:tab w:leader="none" w:pos="632"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Designated Securities which it has agreed to purchase at the Time of Delivery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6" w:name="page27"/>
    <w:bookmarkEnd w:id="2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Underwriting Agreement shall include any person substituted under this Section 9 with like effect as if such person had originally been a party to the Pricing Agreement with respect to such Designated Securities.</w:t>
      </w:r>
    </w:p>
    <w:p>
      <w:pPr>
        <w:spacing w:after="0" w:line="118" w:lineRule="exact"/>
        <w:rPr>
          <w:sz w:val="20"/>
          <w:szCs w:val="20"/>
          <w:color w:val="auto"/>
        </w:rPr>
      </w:pPr>
    </w:p>
    <w:p>
      <w:pPr>
        <w:ind w:right="60" w:firstLine="464"/>
        <w:spacing w:after="0" w:line="289" w:lineRule="auto"/>
        <w:tabs>
          <w:tab w:leader="none" w:pos="705"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to be purchased at the Time of Delivery, then the Company shall have the right to require each non-defaulting Underwriter to purchase the principal amount of Designated Securities which such Underwriter agreed to purchase at the Time of Delivery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118" w:lineRule="exact"/>
        <w:rPr>
          <w:rFonts w:ascii="Arial" w:cs="Arial" w:eastAsia="Arial" w:hAnsi="Arial"/>
          <w:sz w:val="16"/>
          <w:szCs w:val="16"/>
          <w:color w:val="auto"/>
        </w:rPr>
      </w:pPr>
    </w:p>
    <w:p>
      <w:pPr>
        <w:ind w:right="40" w:firstLine="464"/>
        <w:spacing w:after="0" w:line="289" w:lineRule="auto"/>
        <w:tabs>
          <w:tab w:leader="none" w:pos="6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to be purchased at the Time of Delivery, as referred to in subsection (b) above, or if the Company shall not exercise the right described in subsection (b) above to require non-defaulting Underwriters to purchase Designated Securities of a defaulting Underwriter or Underwriters, then, in the case of a failure to purchase Designated Securities at the Time of Delivery,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18" w:lineRule="exact"/>
        <w:rPr>
          <w:sz w:val="20"/>
          <w:szCs w:val="20"/>
          <w:color w:val="auto"/>
        </w:rPr>
      </w:pPr>
    </w:p>
    <w:p>
      <w:pPr>
        <w:ind w:right="140" w:firstLine="464"/>
        <w:spacing w:after="0" w:line="268"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respective indemnities, agreements, representations, warranties and other statements of the Company and the several Underwriters, as set forth in this Underwriting Agreement or made by or on behalf of them, respectively, pursuant to this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27" w:name="page28"/>
    <w:bookmarkEnd w:id="27"/>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Underwriting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140" w:lineRule="exact"/>
        <w:rPr>
          <w:sz w:val="20"/>
          <w:szCs w:val="20"/>
          <w:color w:val="auto"/>
        </w:rPr>
      </w:pPr>
    </w:p>
    <w:p>
      <w:pPr>
        <w:ind w:right="200" w:firstLine="464"/>
        <w:spacing w:after="0" w:line="290" w:lineRule="auto"/>
        <w:tabs>
          <w:tab w:leader="none" w:pos="713"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any Pricing Agreement shall be terminated pursuant to Section 9 hereof, the Company shall not then have any liability to any Underwriter with respect to the Designated Securities covered by such Pricing Agreement except as provided in Section 6 and Section 8 hereof. If this Underwriting Agreement shall be terminated as a result of any of the conditions set forth in Section 7 (other than clause (i), (iii) or (iv) of Section 7(i)) hereof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Securities, but the Company shall then have no further liability to any Underwriter with respect to such Designated Securities except as provided in Section 6 and Section 8 hereof.</w:t>
      </w:r>
    </w:p>
    <w:p>
      <w:pPr>
        <w:spacing w:after="0" w:line="118" w:lineRule="exact"/>
        <w:rPr>
          <w:rFonts w:ascii="Arial" w:cs="Arial" w:eastAsia="Arial" w:hAnsi="Arial"/>
          <w:sz w:val="16"/>
          <w:szCs w:val="16"/>
          <w:color w:val="auto"/>
        </w:rPr>
      </w:pPr>
    </w:p>
    <w:p>
      <w:pPr>
        <w:ind w:right="300" w:firstLine="464"/>
        <w:spacing w:after="0" w:line="306" w:lineRule="auto"/>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18" w:lineRule="exact"/>
        <w:rPr>
          <w:sz w:val="20"/>
          <w:szCs w:val="20"/>
          <w:color w:val="auto"/>
        </w:rPr>
      </w:pPr>
    </w:p>
    <w:p>
      <w:pPr>
        <w:ind w:right="60" w:firstLine="464"/>
        <w:spacing w:after="0" w:line="294" w:lineRule="auto"/>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if any, who controls the Company or any Underwriter, and their respective heirs, executors, administrators, successors and assigns, and no other person shall acquire or have any right under or by virtue of this Underwriting Agreement or any such Pricing Agreement. No purchaser of any of the Securities from any Underwriter shall be deemed a successor or assign by reason merely of such purchase.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8" w:name="page29"/>
    <w:bookmarkEnd w:id="28"/>
    <w:p>
      <w:pPr>
        <w:ind w:left="-180" w:right="600" w:firstLine="464"/>
        <w:spacing w:after="0" w:line="268"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shall be of the essence of each Pricing Agreement. As used herein, “business day” shall mean any day when the Commission’s office in Washington, D.C. is open for business.</w:t>
      </w:r>
    </w:p>
    <w:p>
      <w:pPr>
        <w:spacing w:after="0" w:line="131" w:lineRule="exact"/>
        <w:rPr>
          <w:rFonts w:ascii="Arial" w:cs="Arial" w:eastAsia="Arial" w:hAnsi="Arial"/>
          <w:sz w:val="18"/>
          <w:szCs w:val="18"/>
          <w:color w:val="auto"/>
        </w:rPr>
      </w:pPr>
    </w:p>
    <w:p>
      <w:pPr>
        <w:ind w:left="540" w:hanging="256"/>
        <w:spacing w:after="0"/>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governed by and construed in accordance with the laws of the State of New York.</w:t>
      </w:r>
    </w:p>
    <w:p>
      <w:pPr>
        <w:spacing w:after="0" w:line="194" w:lineRule="exact"/>
        <w:rPr>
          <w:rFonts w:ascii="Arial" w:cs="Arial" w:eastAsia="Arial" w:hAnsi="Arial"/>
          <w:sz w:val="16"/>
          <w:szCs w:val="16"/>
          <w:color w:val="auto"/>
        </w:rPr>
      </w:pPr>
    </w:p>
    <w:p>
      <w:pPr>
        <w:ind w:left="-180" w:right="220" w:firstLine="464"/>
        <w:spacing w:after="0" w:line="332"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420" w:top="280"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Underwriting Agreement to us.</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James M.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James M. Taylor</w:t>
      </w:r>
    </w:p>
    <w:p>
      <w:pPr>
        <w:spacing w:after="0" w:line="1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Title:</w:t>
        <w:tab/>
        <w:t>Executive Vice President-Chief Financial Officer</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and Treasurer</w:t>
      </w:r>
    </w:p>
    <w:p>
      <w:pPr>
        <w:spacing w:after="0" w:line="165" w:lineRule="exact"/>
        <w:rPr>
          <w:sz w:val="20"/>
          <w:szCs w:val="20"/>
          <w:color w:val="auto"/>
        </w:rPr>
      </w:pPr>
    </w:p>
    <w:p>
      <w:pPr>
        <w:jc w:val="center"/>
        <w:ind w:right="280"/>
        <w:spacing w:after="0"/>
        <w:rPr>
          <w:sz w:val="20"/>
          <w:szCs w:val="20"/>
          <w:color w:val="auto"/>
        </w:rPr>
      </w:pPr>
      <w:r>
        <w:rPr>
          <w:rFonts w:ascii="Arial" w:cs="Arial" w:eastAsia="Arial" w:hAnsi="Arial"/>
          <w:sz w:val="18"/>
          <w:szCs w:val="18"/>
          <w:i w:val="1"/>
          <w:iCs w:val="1"/>
          <w:color w:val="auto"/>
        </w:rPr>
        <w:t>Underwriting Agreement Signature Page</w:t>
      </w:r>
    </w:p>
    <w:p>
      <w:pPr>
        <w:sectPr>
          <w:pgSz w:w="11900" w:h="16838" w:orient="portrait"/>
          <w:cols w:equalWidth="0" w:num="1">
            <w:col w:w="10780"/>
          </w:cols>
          <w:pgMar w:left="700" w:top="280" w:right="41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w:t>
      </w:r>
      <w:r>
        <w:rPr>
          <w:rFonts w:ascii="Arial" w:cs="Arial" w:eastAsia="Arial" w:hAnsi="Arial"/>
          <w:sz w:val="14"/>
          <w:szCs w:val="14"/>
          <w:color w:val="auto"/>
        </w:rPr>
        <w:t>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ERRILL</w:t>
      </w:r>
      <w:r>
        <w:rPr>
          <w:rFonts w:ascii="Arial" w:cs="Arial" w:eastAsia="Arial" w:hAnsi="Arial"/>
          <w:sz w:val="18"/>
          <w:szCs w:val="18"/>
          <w:color w:val="auto"/>
        </w:rPr>
        <w:t xml:space="preserve"> L</w:t>
      </w:r>
      <w:r>
        <w:rPr>
          <w:rFonts w:ascii="Arial" w:cs="Arial" w:eastAsia="Arial" w:hAnsi="Arial"/>
          <w:sz w:val="14"/>
          <w:szCs w:val="14"/>
          <w:color w:val="auto"/>
        </w:rPr>
        <w:t>YNCH</w:t>
      </w:r>
      <w:r>
        <w:rPr>
          <w:rFonts w:ascii="Arial" w:cs="Arial" w:eastAsia="Arial" w:hAnsi="Arial"/>
          <w:sz w:val="18"/>
          <w:szCs w:val="18"/>
          <w:color w:val="auto"/>
        </w:rPr>
        <w:t>, P</w:t>
      </w:r>
      <w:r>
        <w:rPr>
          <w:rFonts w:ascii="Arial" w:cs="Arial" w:eastAsia="Arial" w:hAnsi="Arial"/>
          <w:sz w:val="14"/>
          <w:szCs w:val="14"/>
          <w:color w:val="auto"/>
        </w:rPr>
        <w:t>IERCE</w:t>
      </w:r>
      <w:r>
        <w:rPr>
          <w:rFonts w:ascii="Arial" w:cs="Arial" w:eastAsia="Arial" w:hAnsi="Arial"/>
          <w:sz w:val="18"/>
          <w:szCs w:val="18"/>
          <w:color w:val="auto"/>
        </w:rPr>
        <w:t>, F</w:t>
      </w:r>
      <w:r>
        <w:rPr>
          <w:rFonts w:ascii="Arial" w:cs="Arial" w:eastAsia="Arial" w:hAnsi="Arial"/>
          <w:sz w:val="14"/>
          <w:szCs w:val="14"/>
          <w:color w:val="auto"/>
        </w:rPr>
        <w:t>ENNER</w:t>
      </w:r>
      <w:r>
        <w:rPr>
          <w:rFonts w:ascii="Arial" w:cs="Arial" w:eastAsia="Arial" w:hAnsi="Arial"/>
          <w:sz w:val="18"/>
          <w:szCs w:val="18"/>
          <w:color w:val="auto"/>
        </w:rPr>
        <w:t xml:space="preserve"> &amp; S</w:t>
      </w:r>
      <w:r>
        <w:rPr>
          <w:rFonts w:ascii="Arial" w:cs="Arial" w:eastAsia="Arial" w:hAnsi="Arial"/>
          <w:sz w:val="14"/>
          <w:szCs w:val="14"/>
          <w:color w:val="auto"/>
        </w:rPr>
        <w:t>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NCORPORATED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Carolyn Hurley</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Merrill Lynch, Pierce, Fenner &amp; Smith</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Incorporated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/s/ Shawn D. Capeda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Shawn D. Capeda</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Managing Director</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For themselves and as Representatives of the Underwriters named in Schedule I to the Pricing Agreement dated the date hereof.</w:t>
      </w:r>
    </w:p>
    <w:p>
      <w:pPr>
        <w:spacing w:after="0" w:line="206" w:lineRule="exact"/>
        <w:rPr>
          <w:sz w:val="20"/>
          <w:szCs w:val="20"/>
          <w:color w:val="auto"/>
        </w:rPr>
      </w:pPr>
    </w:p>
    <w:p>
      <w:pPr>
        <w:ind w:left="4280"/>
        <w:spacing w:after="0"/>
        <w:rPr>
          <w:sz w:val="20"/>
          <w:szCs w:val="20"/>
          <w:color w:val="auto"/>
        </w:rPr>
      </w:pPr>
      <w:r>
        <w:rPr>
          <w:rFonts w:ascii="Arial" w:cs="Arial" w:eastAsia="Arial" w:hAnsi="Arial"/>
          <w:sz w:val="18"/>
          <w:szCs w:val="18"/>
          <w:i w:val="1"/>
          <w:iCs w:val="1"/>
          <w:color w:val="auto"/>
        </w:rPr>
        <w:t>Underwriting Agreement Signature Page</w:t>
      </w:r>
    </w:p>
    <w:p>
      <w:pPr>
        <w:sectPr>
          <w:pgSz w:w="11900" w:h="16838" w:orient="portrait"/>
          <w:cols w:equalWidth="0" w:num="1">
            <w:col w:w="10219"/>
          </w:cols>
          <w:pgMar w:left="240" w:top="280"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6,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w:t>
      </w:r>
      <w:r>
        <w:rPr>
          <w:rFonts w:ascii="Arial" w:cs="Arial" w:eastAsia="Arial" w:hAnsi="Arial"/>
          <w:sz w:val="14"/>
          <w:szCs w:val="14"/>
          <w:color w:val="auto"/>
        </w:rPr>
        <w:t>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ERRILL</w:t>
      </w:r>
      <w:r>
        <w:rPr>
          <w:rFonts w:ascii="Arial" w:cs="Arial" w:eastAsia="Arial" w:hAnsi="Arial"/>
          <w:sz w:val="18"/>
          <w:szCs w:val="18"/>
          <w:color w:val="auto"/>
        </w:rPr>
        <w:t xml:space="preserve"> L</w:t>
      </w:r>
      <w:r>
        <w:rPr>
          <w:rFonts w:ascii="Arial" w:cs="Arial" w:eastAsia="Arial" w:hAnsi="Arial"/>
          <w:sz w:val="14"/>
          <w:szCs w:val="14"/>
          <w:color w:val="auto"/>
        </w:rPr>
        <w:t>YNCH</w:t>
      </w:r>
      <w:r>
        <w:rPr>
          <w:rFonts w:ascii="Arial" w:cs="Arial" w:eastAsia="Arial" w:hAnsi="Arial"/>
          <w:sz w:val="18"/>
          <w:szCs w:val="18"/>
          <w:color w:val="auto"/>
        </w:rPr>
        <w:t>, P</w:t>
      </w:r>
      <w:r>
        <w:rPr>
          <w:rFonts w:ascii="Arial" w:cs="Arial" w:eastAsia="Arial" w:hAnsi="Arial"/>
          <w:sz w:val="14"/>
          <w:szCs w:val="14"/>
          <w:color w:val="auto"/>
        </w:rPr>
        <w:t>IERCE</w:t>
      </w:r>
      <w:r>
        <w:rPr>
          <w:rFonts w:ascii="Arial" w:cs="Arial" w:eastAsia="Arial" w:hAnsi="Arial"/>
          <w:sz w:val="18"/>
          <w:szCs w:val="18"/>
          <w:color w:val="auto"/>
        </w:rPr>
        <w:t>, F</w:t>
      </w:r>
      <w:r>
        <w:rPr>
          <w:rFonts w:ascii="Arial" w:cs="Arial" w:eastAsia="Arial" w:hAnsi="Arial"/>
          <w:sz w:val="14"/>
          <w:szCs w:val="14"/>
          <w:color w:val="auto"/>
        </w:rPr>
        <w:t>ENNER</w:t>
      </w:r>
      <w:r>
        <w:rPr>
          <w:rFonts w:ascii="Arial" w:cs="Arial" w:eastAsia="Arial" w:hAnsi="Arial"/>
          <w:sz w:val="18"/>
          <w:szCs w:val="18"/>
          <w:color w:val="auto"/>
        </w:rPr>
        <w:t xml:space="preserve"> &amp; S</w:t>
      </w:r>
      <w:r>
        <w:rPr>
          <w:rFonts w:ascii="Arial" w:cs="Arial" w:eastAsia="Arial" w:hAnsi="Arial"/>
          <w:sz w:val="14"/>
          <w:szCs w:val="14"/>
          <w:color w:val="auto"/>
        </w:rPr>
        <w:t>MITH</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NCORPORATED</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May 6, 2013 (the “Underwriting Agreement”), between the Company on the one hand and Wells Fargo Securities, LLC and Merrill Lynch, Pierce, Fenner &amp; Smith Incorporated,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420"/>
          </w:cols>
          <w:pgMar w:left="240" w:top="274" w:right="239" w:bottom="1440" w:gutter="0" w:footer="0" w:header="0"/>
        </w:sectPr>
      </w:pPr>
    </w:p>
    <w:bookmarkStart w:id="32" w:name="page33"/>
    <w:bookmarkEnd w:id="32"/>
    <w:p>
      <w:pPr>
        <w:ind w:right="6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supplement to the Prospectus relating to the Designated Securities, in the form heretofore delivered to you, is now proposed to be filed with the Commission.</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1320"/>
          </w:cols>
          <w:pgMar w:left="240" w:top="280" w:right="339" w:bottom="1440" w:gutter="0" w:footer="0" w:header="0"/>
        </w:sectPr>
      </w:pPr>
    </w:p>
    <w:bookmarkStart w:id="33" w:name="page34"/>
    <w:bookmarkEnd w:id="3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080"/>
          </w:cols>
          <w:pgMar w:left="240" w:top="280" w:right="57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ELLS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ARGO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ERRILL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YNCH</w:t>
      </w:r>
      <w:r>
        <w:rPr>
          <w:rFonts w:ascii="Arial" w:cs="Arial" w:eastAsia="Arial" w:hAnsi="Arial"/>
          <w:sz w:val="18"/>
          <w:szCs w:val="18"/>
          <w:b w:val="1"/>
          <w:bCs w:val="1"/>
          <w:color w:val="auto"/>
        </w:rPr>
        <w:t>, P</w:t>
      </w:r>
      <w:r>
        <w:rPr>
          <w:rFonts w:ascii="Arial" w:cs="Arial" w:eastAsia="Arial" w:hAnsi="Arial"/>
          <w:sz w:val="14"/>
          <w:szCs w:val="14"/>
          <w:b w:val="1"/>
          <w:bCs w:val="1"/>
          <w:color w:val="auto"/>
        </w:rPr>
        <w:t>IERCE</w:t>
      </w:r>
      <w:r>
        <w:rPr>
          <w:rFonts w:ascii="Arial" w:cs="Arial" w:eastAsia="Arial" w:hAnsi="Arial"/>
          <w:sz w:val="18"/>
          <w:szCs w:val="18"/>
          <w:b w:val="1"/>
          <w:bCs w:val="1"/>
          <w:color w:val="auto"/>
        </w:rPr>
        <w:t>, F</w:t>
      </w:r>
      <w:r>
        <w:rPr>
          <w:rFonts w:ascii="Arial" w:cs="Arial" w:eastAsia="Arial" w:hAnsi="Arial"/>
          <w:sz w:val="14"/>
          <w:szCs w:val="14"/>
          <w:b w:val="1"/>
          <w:bCs w:val="1"/>
          <w:color w:val="auto"/>
        </w:rPr>
        <w:t>ENNER</w:t>
      </w:r>
      <w:r>
        <w:rPr>
          <w:rFonts w:ascii="Arial" w:cs="Arial" w:eastAsia="Arial" w:hAnsi="Arial"/>
          <w:sz w:val="18"/>
          <w:szCs w:val="18"/>
          <w:b w:val="1"/>
          <w:bCs w:val="1"/>
          <w:color w:val="auto"/>
        </w:rPr>
        <w:t xml:space="preserve"> &amp; S</w:t>
      </w:r>
      <w:r>
        <w:rPr>
          <w:rFonts w:ascii="Arial" w:cs="Arial" w:eastAsia="Arial" w:hAnsi="Arial"/>
          <w:sz w:val="14"/>
          <w:szCs w:val="14"/>
          <w:b w:val="1"/>
          <w:bCs w:val="1"/>
          <w:color w:val="auto"/>
        </w:rPr>
        <w:t>MITH</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NCORPORATED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Merrill Lynch, Pierce, Fenner &amp; Smith</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Incorporated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For themselves and as Representatives of the Underwriters named in Schedule I to this Pricing Agreement.</w:t>
      </w:r>
    </w:p>
    <w:p>
      <w:pPr>
        <w:spacing w:after="0" w:line="206" w:lineRule="exact"/>
        <w:rPr>
          <w:sz w:val="20"/>
          <w:szCs w:val="20"/>
          <w:color w:val="auto"/>
        </w:rPr>
      </w:pPr>
    </w:p>
    <w:p>
      <w:pPr>
        <w:ind w:left="4480"/>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0219"/>
          </w:cols>
          <w:pgMar w:left="240" w:top="280"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6440" w:type="dxa"/>
            <w:vAlign w:val="bottom"/>
            <w:gridSpan w:val="2"/>
          </w:tcPr>
          <w:p>
            <w:pPr>
              <w:ind w:left="1240"/>
              <w:spacing w:after="0"/>
              <w:rPr>
                <w:sz w:val="20"/>
                <w:szCs w:val="20"/>
                <w:color w:val="auto"/>
              </w:rPr>
            </w:pPr>
            <w:r>
              <w:rPr>
                <w:rFonts w:ascii="Arial" w:cs="Arial" w:eastAsia="Arial" w:hAnsi="Arial"/>
                <w:sz w:val="18"/>
                <w:szCs w:val="18"/>
                <w:color w:val="auto"/>
              </w:rPr>
              <w:t>SCHEDULE I</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8"/>
              </w:rPr>
              <w:t>Principal Amount</w:t>
            </w: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6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55"/>
        </w:trPr>
        <w:tc>
          <w:tcPr>
            <w:tcW w:w="3960" w:type="dxa"/>
            <w:vAlign w:val="bottom"/>
            <w:gridSpan w:val="3"/>
            <w:vMerge w:val="continue"/>
          </w:tcPr>
          <w:p>
            <w:pPr>
              <w:spacing w:after="0"/>
              <w:rPr>
                <w:sz w:val="13"/>
                <w:szCs w:val="13"/>
                <w:color w:val="auto"/>
              </w:rPr>
            </w:pPr>
          </w:p>
        </w:tc>
        <w:tc>
          <w:tcPr>
            <w:tcW w:w="6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2"/>
              </w:rPr>
              <w:t>Notes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6440" w:type="dxa"/>
            <w:vAlign w:val="bottom"/>
            <w:gridSpan w:val="2"/>
            <w:shd w:val="clear" w:color="auto" w:fill="CCEEFF"/>
          </w:tcPr>
          <w:p>
            <w:pPr>
              <w:ind w:left="6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Incorporated</w:t>
            </w:r>
          </w:p>
        </w:tc>
        <w:tc>
          <w:tcPr>
            <w:tcW w:w="6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63,250,000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One Southcoast, Inc.</w:t>
            </w: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440" w:type="dxa"/>
            <w:vAlign w:val="bottom"/>
            <w:gridSpan w:val="2"/>
            <w:shd w:val="clear" w:color="auto" w:fill="CCEEFF"/>
          </w:tcPr>
          <w:p>
            <w:pPr>
              <w:ind w:left="6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 I to Exhibit A</w:t>
      </w:r>
    </w:p>
    <w:p>
      <w:pPr>
        <w:sectPr>
          <w:pgSz w:w="11900" w:h="16838" w:orient="portrait"/>
          <w:cols w:equalWidth="0" w:num="1">
            <w:col w:w="11420"/>
          </w:cols>
          <w:pgMar w:left="240" w:top="280" w:right="239" w:bottom="1440" w:gutter="0" w:footer="0" w:header="0"/>
        </w:sectPr>
      </w:pPr>
    </w:p>
    <w:bookmarkStart w:id="36" w:name="page37"/>
    <w:bookmarkEnd w:id="36"/>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2.75% Notes due 2023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$275,000,000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98.749% of the principal amount of the Designated Securities, plus accrued interest from May 9,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98.099% of the principal amount of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1, 2023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2.75% per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1 and December 1, beginning on December 1,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Sch. II to Exhibit A, Page 1</w:t>
      </w:r>
    </w:p>
    <w:p>
      <w:pPr>
        <w:sectPr>
          <w:pgSz w:w="11900" w:h="16838" w:orient="portrait"/>
          <w:cols w:equalWidth="0" w:num="1">
            <w:col w:w="11300"/>
          </w:cols>
          <w:pgMar w:left="240" w:top="280"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Sinking Fund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defeasance and covenant defeasance provisions of the Indenture apply to the Designated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3:00 p.m. (Eastern time) on May 6, 2013 or such other time as agreed by the Company and the Representatives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May 9,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4"/>
          <w:szCs w:val="14"/>
          <w:color w:val="auto"/>
        </w:rPr>
        <w:t>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NC 28202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Transaction Management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(704) 410-0326</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50 Rockefeller Plaza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High Grade Transaction Management/Legal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(646) 855-5958</w:t>
      </w:r>
    </w:p>
    <w:p>
      <w:pPr>
        <w:spacing w:after="0" w:line="15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Sch. II to Exhibit A, Page 2</w:t>
      </w:r>
    </w:p>
    <w:p>
      <w:pPr>
        <w:sectPr>
          <w:pgSz w:w="11900" w:h="16838" w:orient="portrait"/>
          <w:cols w:equalWidth="0" w:num="1">
            <w:col w:w="10219"/>
          </w:cols>
          <w:pgMar w:left="240" w:top="274"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ind w:left="1906"/>
        <w:spacing w:after="0"/>
        <w:rPr>
          <w:sz w:val="20"/>
          <w:szCs w:val="20"/>
          <w:color w:val="auto"/>
        </w:rPr>
      </w:pPr>
      <w:r>
        <w:rPr>
          <w:rFonts w:ascii="Arial" w:cs="Arial" w:eastAsia="Arial" w:hAnsi="Arial"/>
          <w:sz w:val="18"/>
          <w:szCs w:val="18"/>
          <w:b w:val="1"/>
          <w:bCs w:val="1"/>
          <w:color w:val="auto"/>
        </w:rPr>
        <w:t>Schedule of Issuer Free Writing Prospectuses Included in the General Disclosure Package</w:t>
      </w:r>
    </w:p>
    <w:p>
      <w:pPr>
        <w:spacing w:after="0" w:line="96" w:lineRule="exact"/>
        <w:rPr>
          <w:sz w:val="20"/>
          <w:szCs w:val="20"/>
          <w:color w:val="auto"/>
        </w:rPr>
      </w:pPr>
    </w:p>
    <w:p>
      <w:pPr>
        <w:ind w:left="446" w:hanging="446"/>
        <w:spacing w:after="0"/>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Final Term Sheet, attached hereto as Schedule I to this Exhibit B</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Ex. B-1</w:t>
      </w:r>
    </w:p>
    <w:p>
      <w:pPr>
        <w:sectPr>
          <w:pgSz w:w="11900" w:h="16838" w:orient="portrait"/>
          <w:cols w:equalWidth="0" w:num="1">
            <w:col w:w="10966"/>
          </w:cols>
          <w:pgMar w:left="694" w:top="27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 to Exhibit B</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May 6, 2013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333-181236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Relating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Preliminary Prospectus Supplement Dated May 6, 2013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Prospectus dated May 8, 2012</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Federal Realty Investment Trust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2.75% Notes due 2023</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Term sheet dated May 6, 2013</w:t>
      </w:r>
    </w:p>
    <w:p>
      <w:pPr>
        <w:sectPr>
          <w:pgSz w:w="11900" w:h="16838" w:orient="portrait"/>
          <w:cols w:equalWidth="0" w:num="1">
            <w:col w:w="11420"/>
          </w:cols>
          <w:pgMar w:left="240" w:top="274" w:right="2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Federal Realty Investment Trust</w:t>
      </w:r>
    </w:p>
    <w:p>
      <w:pPr>
        <w:spacing w:after="0" w:line="152" w:lineRule="exact"/>
        <w:rPr>
          <w:sz w:val="20"/>
          <w:szCs w:val="20"/>
          <w:color w:val="auto"/>
        </w:rPr>
      </w:pPr>
    </w:p>
    <w:p>
      <w:pPr>
        <w:sectPr>
          <w:pgSz w:w="11900" w:h="16838" w:orient="portrait"/>
          <w:cols w:equalWidth="0" w:num="2">
            <w:col w:w="3280" w:space="720"/>
            <w:col w:w="74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2.75% Notes due 2023</w:t>
      </w:r>
    </w:p>
    <w:p>
      <w:pPr>
        <w:spacing w:after="0" w:line="151" w:lineRule="exact"/>
        <w:rPr>
          <w:sz w:val="20"/>
          <w:szCs w:val="20"/>
          <w:color w:val="auto"/>
        </w:rPr>
      </w:pPr>
    </w:p>
    <w:p>
      <w:pPr>
        <w:sectPr>
          <w:pgSz w:w="11900" w:h="16838" w:orient="portrait"/>
          <w:cols w:equalWidth="0" w:num="2">
            <w:col w:w="3280" w:space="720"/>
            <w:col w:w="74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Expected 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Baa1/A-/A-</w:t>
      </w:r>
    </w:p>
    <w:p>
      <w:pPr>
        <w:spacing w:after="0" w:line="38" w:lineRule="exact"/>
        <w:rPr>
          <w:sz w:val="20"/>
          <w:szCs w:val="20"/>
          <w:color w:val="auto"/>
        </w:rPr>
      </w:pPr>
    </w:p>
    <w:p>
      <w:pPr>
        <w:sectPr>
          <w:pgSz w:w="11900" w:h="16838" w:orient="portrait"/>
          <w:cols w:equalWidth="0" w:num="2">
            <w:col w:w="3280" w:space="720"/>
            <w:col w:w="74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(Moody’s / S&amp;P / Fitch)</w:t>
      </w:r>
    </w:p>
    <w:p>
      <w:pPr>
        <w:sectPr>
          <w:pgSz w:w="11900" w:h="16838" w:orient="portrait"/>
          <w:cols w:equalWidth="0" w:num="1">
            <w:col w:w="11420"/>
          </w:cols>
          <w:pgMar w:left="240" w:top="274" w:right="239"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Amount: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$275,000,000</w:t>
      </w:r>
    </w:p>
    <w:p>
      <w:pPr>
        <w:spacing w:after="0" w:line="140" w:lineRule="exact"/>
        <w:rPr>
          <w:sz w:val="20"/>
          <w:szCs w:val="20"/>
          <w:color w:val="auto"/>
        </w:rPr>
      </w:pPr>
    </w:p>
    <w:p>
      <w:pPr>
        <w:sectPr>
          <w:pgSz w:w="11900" w:h="16838" w:orient="portrait"/>
          <w:cols w:equalWidth="0" w:num="2">
            <w:col w:w="3280" w:space="720"/>
            <w:col w:w="742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6, 2013</w:t>
      </w:r>
    </w:p>
    <w:p>
      <w:pPr>
        <w:spacing w:after="0" w:line="140" w:lineRule="exact"/>
        <w:rPr>
          <w:sz w:val="20"/>
          <w:szCs w:val="20"/>
          <w:color w:val="auto"/>
        </w:rPr>
      </w:pPr>
    </w:p>
    <w:p>
      <w:pPr>
        <w:sectPr>
          <w:pgSz w:w="11900" w:h="16838" w:orient="portrait"/>
          <w:cols w:equalWidth="0" w:num="2">
            <w:col w:w="3280" w:space="720"/>
            <w:col w:w="742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9, 2013 (T+3)</w:t>
      </w:r>
    </w:p>
    <w:p>
      <w:pPr>
        <w:spacing w:after="0" w:line="140" w:lineRule="exact"/>
        <w:rPr>
          <w:sz w:val="20"/>
          <w:szCs w:val="20"/>
          <w:color w:val="auto"/>
        </w:rPr>
      </w:pPr>
    </w:p>
    <w:p>
      <w:pPr>
        <w:sectPr>
          <w:pgSz w:w="11900" w:h="16838" w:orient="portrait"/>
          <w:cols w:equalWidth="0" w:num="2">
            <w:col w:w="3280" w:space="720"/>
            <w:col w:w="74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June 1, 2023</w:t>
      </w:r>
    </w:p>
    <w:p>
      <w:pPr>
        <w:spacing w:after="0" w:line="151" w:lineRule="exact"/>
        <w:rPr>
          <w:sz w:val="20"/>
          <w:szCs w:val="20"/>
          <w:color w:val="auto"/>
        </w:rPr>
      </w:pPr>
    </w:p>
    <w:p>
      <w:pPr>
        <w:sectPr>
          <w:pgSz w:w="11900" w:h="16838" w:orient="portrait"/>
          <w:cols w:equalWidth="0" w:num="2">
            <w:col w:w="3280" w:space="720"/>
            <w:col w:w="742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June 1 and December 1, beginning on December 1, 2013</w:t>
      </w:r>
    </w:p>
    <w:p>
      <w:pPr>
        <w:spacing w:after="0" w:line="152" w:lineRule="exact"/>
        <w:rPr>
          <w:sz w:val="20"/>
          <w:szCs w:val="20"/>
          <w:color w:val="auto"/>
        </w:rPr>
      </w:pPr>
    </w:p>
    <w:p>
      <w:pPr>
        <w:sectPr>
          <w:pgSz w:w="11900" w:h="16838" w:orient="portrait"/>
          <w:cols w:equalWidth="0" w:num="2">
            <w:col w:w="3280" w:space="720"/>
            <w:col w:w="742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2.00% UST due February 15, 2023</w:t>
      </w:r>
    </w:p>
    <w:p>
      <w:pPr>
        <w:spacing w:after="0" w:line="152" w:lineRule="exact"/>
        <w:rPr>
          <w:sz w:val="20"/>
          <w:szCs w:val="20"/>
          <w:color w:val="auto"/>
        </w:rPr>
      </w:pPr>
    </w:p>
    <w:p>
      <w:pPr>
        <w:sectPr>
          <w:pgSz w:w="11900" w:h="16838" w:orient="portrait"/>
          <w:cols w:equalWidth="0" w:num="2">
            <w:col w:w="3280" w:space="720"/>
            <w:col w:w="74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 Price/Yield: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102-00+ / 1.774%</w:t>
      </w:r>
    </w:p>
    <w:p>
      <w:pPr>
        <w:spacing w:after="0" w:line="140" w:lineRule="exact"/>
        <w:rPr>
          <w:sz w:val="20"/>
          <w:szCs w:val="20"/>
          <w:color w:val="auto"/>
        </w:rPr>
      </w:pPr>
    </w:p>
    <w:p>
      <w:pPr>
        <w:sectPr>
          <w:pgSz w:w="11900" w:h="16838" w:orient="portrait"/>
          <w:cols w:equalWidth="0" w:num="2">
            <w:col w:w="3280" w:space="720"/>
            <w:col w:w="742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+112 basis points</w:t>
      </w:r>
    </w:p>
    <w:p>
      <w:pPr>
        <w:spacing w:after="0" w:line="152" w:lineRule="exact"/>
        <w:rPr>
          <w:sz w:val="20"/>
          <w:szCs w:val="20"/>
          <w:color w:val="auto"/>
        </w:rPr>
      </w:pPr>
    </w:p>
    <w:p>
      <w:pPr>
        <w:sectPr>
          <w:pgSz w:w="11900" w:h="16838" w:orient="portrait"/>
          <w:cols w:equalWidth="0" w:num="2">
            <w:col w:w="3280" w:space="720"/>
            <w:col w:w="74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2.894%</w:t>
      </w:r>
    </w:p>
    <w:p>
      <w:pPr>
        <w:spacing w:after="0" w:line="151" w:lineRule="exact"/>
        <w:rPr>
          <w:sz w:val="20"/>
          <w:szCs w:val="20"/>
          <w:color w:val="auto"/>
        </w:rPr>
      </w:pPr>
    </w:p>
    <w:p>
      <w:pPr>
        <w:sectPr>
          <w:pgSz w:w="11900" w:h="16838" w:orient="portrait"/>
          <w:cols w:equalWidth="0" w:num="2">
            <w:col w:w="3280" w:space="720"/>
            <w:col w:w="742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2.75% per year</w:t>
      </w:r>
    </w:p>
    <w:p>
      <w:pPr>
        <w:spacing w:after="0" w:line="152" w:lineRule="exact"/>
        <w:rPr>
          <w:sz w:val="20"/>
          <w:szCs w:val="20"/>
          <w:color w:val="auto"/>
        </w:rPr>
      </w:pPr>
    </w:p>
    <w:p>
      <w:pPr>
        <w:sectPr>
          <w:pgSz w:w="11900" w:h="16838" w:orient="portrait"/>
          <w:cols w:equalWidth="0" w:num="2">
            <w:col w:w="3280" w:space="720"/>
            <w:col w:w="74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98.749% of principal amount, plus accrued interest, if any, from the Settlement Date</w:t>
      </w:r>
    </w:p>
    <w:p>
      <w:pPr>
        <w:spacing w:after="0" w:line="140" w:lineRule="exact"/>
        <w:rPr>
          <w:sz w:val="20"/>
          <w:szCs w:val="20"/>
          <w:color w:val="auto"/>
        </w:rPr>
      </w:pPr>
    </w:p>
    <w:p>
      <w:pPr>
        <w:sectPr>
          <w:pgSz w:w="11900" w:h="16838" w:orient="portrait"/>
          <w:cols w:equalWidth="0" w:num="2">
            <w:col w:w="3280" w:space="720"/>
            <w:col w:w="74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Redemption Provision: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At any time before 90 days prior to the maturity date, make-whole call based on U.S. Treasury</w:t>
      </w:r>
    </w:p>
    <w:p>
      <w:pPr>
        <w:spacing w:after="0" w:line="192" w:lineRule="exact"/>
        <w:rPr>
          <w:sz w:val="20"/>
          <w:szCs w:val="20"/>
          <w:color w:val="auto"/>
        </w:rPr>
      </w:pPr>
    </w:p>
    <w:p>
      <w:pPr>
        <w:sectPr>
          <w:pgSz w:w="11900" w:h="16838" w:orient="portrait"/>
          <w:cols w:equalWidth="0" w:num="2">
            <w:col w:w="3280" w:space="720"/>
            <w:col w:w="742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Sch. I to Exhibit B, Page 1</w:t>
      </w:r>
    </w:p>
    <w:p>
      <w:pPr>
        <w:sectPr>
          <w:pgSz w:w="11900" w:h="16838" w:orient="portrait"/>
          <w:cols w:equalWidth="0" w:num="1">
            <w:col w:w="11420"/>
          </w:cols>
          <w:pgMar w:left="240" w:top="274" w:right="239" w:bottom="1440" w:gutter="0" w:footer="0" w:header="0"/>
          <w:type w:val="continuous"/>
        </w:sectPr>
      </w:pPr>
    </w:p>
    <w:bookmarkStart w:id="40" w:name="page41"/>
    <w:bookmarkEnd w:id="40"/>
    <w:p>
      <w:pPr>
        <w:jc w:val="both"/>
        <w:ind w:left="400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plus 20 basis points (0.20%); if redeemed on or after 90 days prior to the maturity date, at 100% of the principal amount of the notes being redeemed, in each case plus accrued and unpaid interest thereon to, but excluding, the redemption date</w:t>
      </w:r>
    </w:p>
    <w:p>
      <w:pPr>
        <w:sectPr>
          <w:pgSz w:w="11900" w:h="16838" w:orient="portrait"/>
          <w:cols w:equalWidth="0" w:num="1">
            <w:col w:w="11340"/>
          </w:cols>
          <w:pgMar w:left="240" w:top="280" w:right="31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CUSIP/ISIN:</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313747AT4 / US313747AT44</w:t>
      </w:r>
    </w:p>
    <w:p>
      <w:pPr>
        <w:spacing w:after="0" w:line="140" w:lineRule="exact"/>
        <w:rPr>
          <w:sz w:val="20"/>
          <w:szCs w:val="20"/>
          <w:color w:val="auto"/>
        </w:rPr>
      </w:pPr>
    </w:p>
    <w:p>
      <w:pPr>
        <w:sectPr>
          <w:pgSz w:w="11900" w:h="16838" w:orient="portrait"/>
          <w:cols w:equalWidth="0" w:num="2">
            <w:col w:w="3280" w:space="720"/>
            <w:col w:w="7340"/>
          </w:cols>
          <w:pgMar w:left="240" w:top="280" w:right="31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Incorporated</w:t>
      </w:r>
    </w:p>
    <w:p>
      <w:pPr>
        <w:spacing w:after="0" w:line="111" w:lineRule="exact"/>
        <w:rPr>
          <w:sz w:val="20"/>
          <w:szCs w:val="20"/>
          <w:color w:val="auto"/>
        </w:rPr>
      </w:pPr>
    </w:p>
    <w:p>
      <w:pPr>
        <w:sectPr>
          <w:pgSz w:w="11900" w:h="16838" w:orient="portrait"/>
          <w:cols w:equalWidth="0" w:num="2">
            <w:col w:w="3280" w:space="720"/>
            <w:col w:w="7340"/>
          </w:cols>
          <w:pgMar w:left="240" w:top="280" w:right="319" w:bottom="1440" w:gutter="0" w:footer="0" w:header="0"/>
          <w:type w:val="continuous"/>
        </w:sectPr>
      </w:pPr>
    </w:p>
    <w:p>
      <w:pPr>
        <w:spacing w:after="0"/>
        <w:rPr>
          <w:sz w:val="20"/>
          <w:szCs w:val="20"/>
          <w:color w:val="auto"/>
        </w:rPr>
      </w:pPr>
      <w:r>
        <w:rPr>
          <w:rFonts w:ascii="Arial" w:cs="Arial" w:eastAsia="Arial" w:hAnsi="Arial"/>
          <w:sz w:val="15"/>
          <w:szCs w:val="15"/>
          <w:color w:val="auto"/>
        </w:rPr>
        <w:t>Joint Lead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Deutsche Bank Securities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U.S. Bancorp Investments, Inc.</w:t>
      </w:r>
    </w:p>
    <w:p>
      <w:pPr>
        <w:spacing w:after="0" w:line="145" w:lineRule="exact"/>
        <w:rPr>
          <w:sz w:val="20"/>
          <w:szCs w:val="20"/>
          <w:color w:val="auto"/>
        </w:rPr>
      </w:pPr>
    </w:p>
    <w:p>
      <w:pPr>
        <w:sectPr>
          <w:pgSz w:w="11900" w:h="16838" w:orient="portrait"/>
          <w:cols w:equalWidth="0" w:num="2">
            <w:col w:w="3280" w:space="720"/>
            <w:col w:w="7340"/>
          </w:cols>
          <w:pgMar w:left="240" w:top="280" w:right="319" w:bottom="1440" w:gutter="0" w:footer="0" w:header="0"/>
          <w:type w:val="continuous"/>
        </w:sectPr>
      </w:pPr>
    </w:p>
    <w:p>
      <w:pPr>
        <w:spacing w:after="0"/>
        <w:rPr>
          <w:sz w:val="20"/>
          <w:szCs w:val="20"/>
          <w:color w:val="auto"/>
        </w:rPr>
      </w:pPr>
      <w:r>
        <w:rPr>
          <w:rFonts w:ascii="Arial" w:cs="Arial" w:eastAsia="Arial" w:hAnsi="Arial"/>
          <w:sz w:val="15"/>
          <w:szCs w:val="15"/>
          <w:color w:val="auto"/>
        </w:rPr>
        <w:t>Sr. 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Citigroup Global Markets Inc.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J.P. Morgan Securities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111" w:lineRule="exact"/>
        <w:rPr>
          <w:sz w:val="20"/>
          <w:szCs w:val="20"/>
          <w:color w:val="auto"/>
        </w:rPr>
      </w:pPr>
    </w:p>
    <w:p>
      <w:pPr>
        <w:sectPr>
          <w:pgSz w:w="11900" w:h="16838" w:orient="portrait"/>
          <w:cols w:equalWidth="0" w:num="2">
            <w:col w:w="3280" w:space="720"/>
            <w:col w:w="7340"/>
          </w:cols>
          <w:pgMar w:left="240" w:top="280" w:right="31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Capital One Southcoast,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200" w:lineRule="exact"/>
        <w:rPr>
          <w:sz w:val="20"/>
          <w:szCs w:val="20"/>
          <w:color w:val="auto"/>
        </w:rPr>
      </w:pPr>
    </w:p>
    <w:p>
      <w:pPr>
        <w:sectPr>
          <w:pgSz w:w="11900" w:h="16838" w:orient="portrait"/>
          <w:cols w:equalWidth="0" w:num="2">
            <w:col w:w="3280" w:space="720"/>
            <w:col w:w="7340"/>
          </w:cols>
          <w:pgMar w:left="240" w:top="280" w:right="31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Note: A securities rating is not a recommendation to buy, sell or hold securities and may be subject to revision or withdrawal at any time.</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Alternatively, the issuer, any underwriter or any dealer participating in the offering will arrange to send you the preliminary prospectus supplement and the prospectus if you request it by calling Wells Fargo Securities, LLC toll-free at 1-800-326-5897 or Merrill Lynch, Pierce, Fenner &amp; Smith Incorporated toll-free at 1-800-294-1322.</w:t>
      </w:r>
    </w:p>
    <w:p>
      <w:pPr>
        <w:spacing w:after="0" w:line="141"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 I to Exhibit B, Page 2</w:t>
      </w:r>
    </w:p>
    <w:p>
      <w:pPr>
        <w:sectPr>
          <w:pgSz w:w="11900" w:h="16838" w:orient="portrait"/>
          <w:cols w:equalWidth="0" w:num="1">
            <w:col w:w="11340"/>
          </w:cols>
          <w:pgMar w:left="240" w:top="280" w:right="31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71" w:lineRule="exact"/>
        <w:rPr>
          <w:sz w:val="20"/>
          <w:szCs w:val="20"/>
          <w:color w:val="auto"/>
        </w:rPr>
      </w:pPr>
    </w:p>
    <w:p>
      <w:pPr>
        <w:ind w:left="10520"/>
        <w:spacing w:after="0"/>
        <w:rPr>
          <w:sz w:val="20"/>
          <w:szCs w:val="20"/>
          <w:color w:val="auto"/>
        </w:rPr>
      </w:pPr>
      <w:r>
        <w:rPr>
          <w:rFonts w:ascii="Arial" w:cs="Arial" w:eastAsia="Arial" w:hAnsi="Arial"/>
          <w:sz w:val="16"/>
          <w:szCs w:val="16"/>
          <w:color w:val="auto"/>
        </w:rPr>
        <w:t>May 6, 2013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w:t>
      </w:r>
      <w:r>
        <w:rPr>
          <w:rFonts w:ascii="Arial" w:cs="Arial" w:eastAsia="Arial" w:hAnsi="Arial"/>
          <w:sz w:val="14"/>
          <w:szCs w:val="14"/>
          <w:color w:val="auto"/>
        </w:rPr>
        <w:t>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ERRILL</w:t>
      </w:r>
      <w:r>
        <w:rPr>
          <w:rFonts w:ascii="Arial" w:cs="Arial" w:eastAsia="Arial" w:hAnsi="Arial"/>
          <w:sz w:val="18"/>
          <w:szCs w:val="18"/>
          <w:color w:val="auto"/>
        </w:rPr>
        <w:t xml:space="preserve"> L</w:t>
      </w:r>
      <w:r>
        <w:rPr>
          <w:rFonts w:ascii="Arial" w:cs="Arial" w:eastAsia="Arial" w:hAnsi="Arial"/>
          <w:sz w:val="14"/>
          <w:szCs w:val="14"/>
          <w:color w:val="auto"/>
        </w:rPr>
        <w:t>YNCH</w:t>
      </w:r>
      <w:r>
        <w:rPr>
          <w:rFonts w:ascii="Arial" w:cs="Arial" w:eastAsia="Arial" w:hAnsi="Arial"/>
          <w:sz w:val="18"/>
          <w:szCs w:val="18"/>
          <w:color w:val="auto"/>
        </w:rPr>
        <w:t>, P</w:t>
      </w:r>
      <w:r>
        <w:rPr>
          <w:rFonts w:ascii="Arial" w:cs="Arial" w:eastAsia="Arial" w:hAnsi="Arial"/>
          <w:sz w:val="14"/>
          <w:szCs w:val="14"/>
          <w:color w:val="auto"/>
        </w:rPr>
        <w:t>IERCE</w:t>
      </w:r>
      <w:r>
        <w:rPr>
          <w:rFonts w:ascii="Arial" w:cs="Arial" w:eastAsia="Arial" w:hAnsi="Arial"/>
          <w:sz w:val="18"/>
          <w:szCs w:val="18"/>
          <w:color w:val="auto"/>
        </w:rPr>
        <w:t>, F</w:t>
      </w:r>
      <w:r>
        <w:rPr>
          <w:rFonts w:ascii="Arial" w:cs="Arial" w:eastAsia="Arial" w:hAnsi="Arial"/>
          <w:sz w:val="14"/>
          <w:szCs w:val="14"/>
          <w:color w:val="auto"/>
        </w:rPr>
        <w:t>ENNER</w:t>
      </w:r>
      <w:r>
        <w:rPr>
          <w:rFonts w:ascii="Arial" w:cs="Arial" w:eastAsia="Arial" w:hAnsi="Arial"/>
          <w:sz w:val="18"/>
          <w:szCs w:val="18"/>
          <w:color w:val="auto"/>
        </w:rPr>
        <w:t xml:space="preserve"> &amp; S</w:t>
      </w:r>
      <w:r>
        <w:rPr>
          <w:rFonts w:ascii="Arial" w:cs="Arial" w:eastAsia="Arial" w:hAnsi="Arial"/>
          <w:sz w:val="14"/>
          <w:szCs w:val="14"/>
          <w:color w:val="auto"/>
        </w:rPr>
        <w:t>MITH</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NCORPORATED</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May 6, 2013 (the “Underwriting Agreement”), between the Company on the one hand and Wells Fargo Securities, LLC and Merrill Lynch, Pierce, Fenner &amp; Smith Incorporated,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2" w:name="page43"/>
    <w:bookmarkEnd w:id="42"/>
    <w:p>
      <w:pPr>
        <w:ind w:right="6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supplement to the Prospectus relating to the Designated Securities, in the form heretofore delivered to you, is now proposed to be filed with the Commission.</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43" w:name="page44"/>
    <w:bookmarkEnd w:id="4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James M. Taylor, Jr.</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Financial Officer and Treasurer</w:t>
      </w:r>
    </w:p>
    <w:p>
      <w:pPr>
        <w:spacing w:after="0" w:line="165"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080"/>
          </w:cols>
          <w:pgMar w:left="240" w:top="280" w:right="57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as of the date hereof: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ELLS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ARGO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ERRILL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YNCH</w:t>
      </w:r>
      <w:r>
        <w:rPr>
          <w:rFonts w:ascii="Arial" w:cs="Arial" w:eastAsia="Arial" w:hAnsi="Arial"/>
          <w:sz w:val="18"/>
          <w:szCs w:val="18"/>
          <w:b w:val="1"/>
          <w:bCs w:val="1"/>
          <w:color w:val="auto"/>
        </w:rPr>
        <w:t>, P</w:t>
      </w:r>
      <w:r>
        <w:rPr>
          <w:rFonts w:ascii="Arial" w:cs="Arial" w:eastAsia="Arial" w:hAnsi="Arial"/>
          <w:sz w:val="14"/>
          <w:szCs w:val="14"/>
          <w:b w:val="1"/>
          <w:bCs w:val="1"/>
          <w:color w:val="auto"/>
        </w:rPr>
        <w:t>IERCE</w:t>
      </w:r>
      <w:r>
        <w:rPr>
          <w:rFonts w:ascii="Arial" w:cs="Arial" w:eastAsia="Arial" w:hAnsi="Arial"/>
          <w:sz w:val="18"/>
          <w:szCs w:val="18"/>
          <w:b w:val="1"/>
          <w:bCs w:val="1"/>
          <w:color w:val="auto"/>
        </w:rPr>
        <w:t>, F</w:t>
      </w:r>
      <w:r>
        <w:rPr>
          <w:rFonts w:ascii="Arial" w:cs="Arial" w:eastAsia="Arial" w:hAnsi="Arial"/>
          <w:sz w:val="14"/>
          <w:szCs w:val="14"/>
          <w:b w:val="1"/>
          <w:bCs w:val="1"/>
          <w:color w:val="auto"/>
        </w:rPr>
        <w:t>ENNER</w:t>
      </w:r>
      <w:r>
        <w:rPr>
          <w:rFonts w:ascii="Arial" w:cs="Arial" w:eastAsia="Arial" w:hAnsi="Arial"/>
          <w:sz w:val="18"/>
          <w:szCs w:val="18"/>
          <w:b w:val="1"/>
          <w:bCs w:val="1"/>
          <w:color w:val="auto"/>
        </w:rPr>
        <w:t xml:space="preserve"> &amp; S</w:t>
      </w:r>
      <w:r>
        <w:rPr>
          <w:rFonts w:ascii="Arial" w:cs="Arial" w:eastAsia="Arial" w:hAnsi="Arial"/>
          <w:sz w:val="14"/>
          <w:szCs w:val="14"/>
          <w:b w:val="1"/>
          <w:bCs w:val="1"/>
          <w:color w:val="auto"/>
        </w:rPr>
        <w:t>MITH</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NCORPORATED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Carolyn Hurley</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Merrill Lynch, Pierce, Fenner &amp; Smith</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Incorporated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/s/ Shawn D. Cepeda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Shawn D. Cepeda</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Managing Director</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For themselves and as Representatives of the Underwriters named in Schedule I to this Pricing Agreement.</w:t>
      </w:r>
    </w:p>
    <w:p>
      <w:pPr>
        <w:spacing w:after="0" w:line="206" w:lineRule="exact"/>
        <w:rPr>
          <w:sz w:val="20"/>
          <w:szCs w:val="20"/>
          <w:color w:val="auto"/>
        </w:rPr>
      </w:pPr>
    </w:p>
    <w:p>
      <w:pPr>
        <w:ind w:left="4480"/>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0219"/>
          </w:cols>
          <w:pgMar w:left="240" w:top="280"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6440" w:type="dxa"/>
            <w:vAlign w:val="bottom"/>
            <w:gridSpan w:val="2"/>
          </w:tcPr>
          <w:p>
            <w:pPr>
              <w:ind w:left="1240"/>
              <w:spacing w:after="0"/>
              <w:rPr>
                <w:sz w:val="20"/>
                <w:szCs w:val="20"/>
                <w:color w:val="auto"/>
              </w:rPr>
            </w:pPr>
            <w:r>
              <w:rPr>
                <w:rFonts w:ascii="Arial" w:cs="Arial" w:eastAsia="Arial" w:hAnsi="Arial"/>
                <w:sz w:val="18"/>
                <w:szCs w:val="18"/>
                <w:color w:val="auto"/>
              </w:rPr>
              <w:t>SCHEDULE I</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8"/>
              </w:rPr>
              <w:t>Principal Amount</w:t>
            </w: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6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55"/>
        </w:trPr>
        <w:tc>
          <w:tcPr>
            <w:tcW w:w="3960" w:type="dxa"/>
            <w:vAlign w:val="bottom"/>
            <w:gridSpan w:val="3"/>
            <w:vMerge w:val="continue"/>
          </w:tcPr>
          <w:p>
            <w:pPr>
              <w:spacing w:after="0"/>
              <w:rPr>
                <w:sz w:val="13"/>
                <w:szCs w:val="13"/>
                <w:color w:val="auto"/>
              </w:rPr>
            </w:pPr>
          </w:p>
        </w:tc>
        <w:tc>
          <w:tcPr>
            <w:tcW w:w="6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2"/>
              </w:rPr>
              <w:t>Notes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6440" w:type="dxa"/>
            <w:vAlign w:val="bottom"/>
            <w:gridSpan w:val="2"/>
            <w:shd w:val="clear" w:color="auto" w:fill="CCEEFF"/>
          </w:tcPr>
          <w:p>
            <w:pPr>
              <w:ind w:left="6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Incorporated</w:t>
            </w:r>
          </w:p>
        </w:tc>
        <w:tc>
          <w:tcPr>
            <w:tcW w:w="6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63,250,000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One Southcoast, Inc.</w:t>
            </w: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440" w:type="dxa"/>
            <w:vAlign w:val="bottom"/>
            <w:gridSpan w:val="2"/>
            <w:shd w:val="clear" w:color="auto" w:fill="CCEEFF"/>
          </w:tcPr>
          <w:p>
            <w:pPr>
              <w:ind w:left="6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6" w:name="page47"/>
    <w:bookmarkEnd w:id="46"/>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2.75% Notes due 2023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$275,000,000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98.749% of the principal amount of the Designated Securities, plus accrued interest from May 9,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98.099% of the principal amount of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1, 2023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2.75% per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1 and December 1, beginning on December 1,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w:t>
      </w:r>
    </w:p>
    <w:p>
      <w:pPr>
        <w:sectPr>
          <w:pgSz w:w="11900" w:h="16838" w:orient="portrait"/>
          <w:cols w:equalWidth="0" w:num="1">
            <w:col w:w="11300"/>
          </w:cols>
          <w:pgMar w:left="240" w:top="280"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Sinking Fund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defeasance and covenant defeasance provisions of the Indenture apply to the Designated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3:00 p.m. (Eastern time) on May 6, 2013 or such other time as agreed by the Company and the Representatives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May 9,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4"/>
          <w:szCs w:val="14"/>
          <w:color w:val="auto"/>
        </w:rPr>
        <w:t>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NC 28202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Transaction Management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(704) 410-0326</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50 Rockefeller Plaza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High Grade Transaction Management/Legal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(646) 855-5958</w:t>
      </w:r>
    </w:p>
    <w:p>
      <w:pPr>
        <w:sectPr>
          <w:pgSz w:w="11900" w:h="16838" w:orient="portrait"/>
          <w:cols w:equalWidth="0" w:num="1">
            <w:col w:w="10219"/>
          </w:cols>
          <w:pgMar w:left="240" w:top="274"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4.1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2.75% Note due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CUSIP No. 313747 AT4</w:t>
            </w:r>
          </w:p>
        </w:tc>
        <w:tc>
          <w:tcPr>
            <w:tcW w:w="5340" w:type="dxa"/>
            <w:vAlign w:val="bottom"/>
          </w:tcPr>
          <w:p>
            <w:pPr>
              <w:jc w:val="right"/>
              <w:spacing w:after="0"/>
              <w:rPr>
                <w:sz w:val="20"/>
                <w:szCs w:val="20"/>
                <w:color w:val="auto"/>
              </w:rPr>
            </w:pPr>
            <w:r>
              <w:rPr>
                <w:rFonts w:ascii="Arial" w:cs="Arial" w:eastAsia="Arial" w:hAnsi="Arial"/>
                <w:sz w:val="18"/>
                <w:szCs w:val="18"/>
                <w:color w:val="auto"/>
              </w:rPr>
              <w:t>$275,000,000</w:t>
            </w:r>
          </w:p>
        </w:tc>
      </w:tr>
    </w:tbl>
    <w:p>
      <w:pPr>
        <w:spacing w:after="0" w:line="15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(THE “DEPOSITORY”)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3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36" w:lineRule="exact"/>
        <w:rPr>
          <w:sz w:val="20"/>
          <w:szCs w:val="20"/>
          <w:color w:val="auto"/>
        </w:rPr>
      </w:pPr>
    </w:p>
    <w:p>
      <w:pPr>
        <w:ind w:right="960"/>
        <w:spacing w:after="0" w:line="275"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$1,000 AND INTEGRAL MULTIPLES OF $1,000 IN EXCESS THEREOF.</w:t>
      </w:r>
    </w:p>
    <w:p>
      <w:pPr>
        <w:spacing w:after="0" w:line="126"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Two Hundred Seventy Five Million Dollars ($275,000,000) on June 1, 2023 (the “Stated Maturity Date”) or the date fixed for earlier redemption (the “Redemption Date,” and together with the Stated Maturity Date with respect to principal repayable on such date, the “Maturity Date”), and to pay interest on the outstanding principal amount thereof from May 9, 2013 or from the most recent interest payment date to which interest has been paid or duly provided for, semi-annually on June 1 and December 1 in each year (each, an “Interest Payment Date”), commencing December 1, 2013, at the rate of 2.75%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May 15 or November 15 (whether or not a Business Day, as defined below), as the case may be, next preceding such Interest Payment Date at the office or agency of the Company maintained for such purpose; provided, however, that such interest may be paid, at the Company’s option, by mailing a check to such Holder at its registered address or by transfer of</w:t>
      </w:r>
    </w:p>
    <w:p>
      <w:pPr>
        <w:sectPr>
          <w:pgSz w:w="11900" w:h="16838" w:orient="portrait"/>
          <w:cols w:equalWidth="0" w:num="1">
            <w:col w:w="11420"/>
          </w:cols>
          <w:pgMar w:left="240" w:top="125" w:right="239" w:bottom="1440" w:gutter="0" w:footer="0" w:header="0"/>
        </w:sectPr>
      </w:pPr>
    </w:p>
    <w:bookmarkStart w:id="49" w:name="page50"/>
    <w:bookmarkEnd w:id="49"/>
    <w:p>
      <w:pPr>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funds to an account 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05" w:lineRule="exact"/>
        <w:rPr>
          <w:sz w:val="20"/>
          <w:szCs w:val="20"/>
          <w:color w:val="auto"/>
        </w:rPr>
      </w:pPr>
    </w:p>
    <w:p>
      <w:pPr>
        <w:ind w:right="240" w:firstLine="913"/>
        <w:spacing w:after="0" w:line="256"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4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May 9, 2013, if no interest has been paid on this Note) to but excluding such Interest Payment Date or the Maturity Date, as the case may be. If any Interest Payment Date or the Maturity Date falls on a day that is not a Business Day,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All payments of principal, premium, if any, and interest in respect of this Note will be made by the Company in immediately available funds.</w:t>
      </w:r>
    </w:p>
    <w:p>
      <w:pPr>
        <w:spacing w:after="0" w:line="194"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32"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50" w:name="page51"/>
    <w:bookmarkEnd w:id="5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instrument to be duly executed.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M. Taylor, Jr.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Executive Vice President-Chief Financial Officer and</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Treasurer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President-General Counsel and Secretary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This is the Note of the series designated therein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980"/>
          </w:cols>
          <w:pgMar w:left="240" w:top="280" w:right="679" w:bottom="1440" w:gutter="0" w:footer="0" w:header="0"/>
        </w:sectPr>
      </w:pPr>
    </w:p>
    <w:bookmarkStart w:id="51" w:name="page52"/>
    <w:bookmarkEnd w:id="51"/>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Security]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FEDERAL REALTY INVESTMENT TRUST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2.75% Note due 2023</w:t>
      </w:r>
    </w:p>
    <w:p>
      <w:pPr>
        <w:spacing w:after="0" w:line="171" w:lineRule="exact"/>
        <w:rPr>
          <w:sz w:val="20"/>
          <w:szCs w:val="20"/>
          <w:color w:val="auto"/>
        </w:rPr>
      </w:pPr>
    </w:p>
    <w:p>
      <w:pPr>
        <w:ind w:right="20" w:firstLine="913"/>
        <w:spacing w:after="0" w:line="307" w:lineRule="auto"/>
        <w:rPr>
          <w:sz w:val="20"/>
          <w:szCs w:val="20"/>
          <w:color w:val="auto"/>
        </w:rPr>
      </w:pPr>
      <w:r>
        <w:rPr>
          <w:rFonts w:ascii="Arial" w:cs="Arial" w:eastAsia="Arial" w:hAnsi="Arial"/>
          <w:sz w:val="15"/>
          <w:szCs w:val="15"/>
          <w:color w:val="auto"/>
        </w:rPr>
        <w:t>This Note is one of a duly authorized issue of securities of the Company (herein called the “Securities”), issued and to be issued in one or more series under an Indenture, dated as of September 1, 1998 (herein called the “Indenture”), between the Company and U.S.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“2.75% Notes due 2023” (collectively, the “Notes”), and the aggregate principal amount of the Notes to be issued under such series is initially limited to $275,000,000 (except for Notes authenticated and delivered upon transfer of, or in exchange for, or in lieu of other Notes).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1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If an Event of Default, as defined herein, shall occur and be continuing, the principal of the Securities of this series may be declared due and payable in the manner and with the effect provided in the Indenture.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left="460" w:right="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59" w:lineRule="exact"/>
        <w:rPr>
          <w:sz w:val="20"/>
          <w:szCs w:val="20"/>
          <w:color w:val="auto"/>
        </w:rPr>
      </w:pPr>
    </w:p>
    <w:p>
      <w:pPr>
        <w:ind w:left="460" w:firstLine="443"/>
        <w:spacing w:after="0" w:line="268" w:lineRule="auto"/>
        <w:tabs>
          <w:tab w:leader="none" w:pos="11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in the payment of any interest upon or any Additional Amounts payable in respect of the Notes when such interest or Additional Amounts becomes due and payable, and continuance of such default for a period of 30 days;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the Notes when it becomes due and payable at its Maturity;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the Notes;</w:t>
      </w:r>
    </w:p>
    <w:p>
      <w:pPr>
        <w:sectPr>
          <w:pgSz w:w="11900" w:h="16838" w:orient="portrait"/>
          <w:cols w:equalWidth="0" w:num="1">
            <w:col w:w="11380"/>
          </w:cols>
          <w:pgMar w:left="240" w:top="280" w:right="279" w:bottom="1440" w:gutter="0" w:footer="0" w:header="0"/>
        </w:sectPr>
      </w:pPr>
    </w:p>
    <w:bookmarkStart w:id="52" w:name="page53"/>
    <w:bookmarkEnd w:id="52"/>
    <w:p>
      <w:pPr>
        <w:ind w:firstLine="443"/>
        <w:spacing w:after="0" w:line="294" w:lineRule="auto"/>
        <w:tabs>
          <w:tab w:leader="none" w:pos="687" w:val="left"/>
        </w:tabs>
        <w:numPr>
          <w:ilvl w:val="0"/>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 in the performance, or a breach, of any covenant or agreement by the Company under the Indenture (other than a covenant or agreement a default in whose performance or whose breach is elsewhere in this definition of Event of Default specifically dealt with), and continuance of such default or breach for a period of 60 days after there has been given, by registered or certified mail, to the Company by the Trustee or to the Company and the Trustee by the Holders of at least 25% in aggregate principal amount of the outstanding Notes a written notice specifying such default or breach and requiring it to be remedied and stating that such notice is a “Notice of Default” under the Indenture;</w:t>
      </w:r>
    </w:p>
    <w:p>
      <w:pPr>
        <w:spacing w:after="0" w:line="34" w:lineRule="exact"/>
        <w:rPr>
          <w:rFonts w:ascii="Arial" w:cs="Arial" w:eastAsia="Arial" w:hAnsi="Arial"/>
          <w:sz w:val="16"/>
          <w:szCs w:val="16"/>
          <w:color w:val="auto"/>
        </w:rPr>
      </w:pPr>
    </w:p>
    <w:p>
      <w:pPr>
        <w:ind w:right="140" w:firstLine="443"/>
        <w:spacing w:after="0" w:line="289" w:lineRule="auto"/>
        <w:tabs>
          <w:tab w:leader="none" w:pos="687"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default under any bond, debenture, note or other evidence of indebtedness for money borrowed by the Company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the Company (including such leases but not including such indebtedness or obligations for which recourse is limited to property purchased) in an aggregate principal amount in excess of $25,000,000 by the Company,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w:t>
      </w:r>
    </w:p>
    <w:p>
      <w:pPr>
        <w:spacing w:after="0" w:line="37" w:lineRule="exact"/>
        <w:rPr>
          <w:rFonts w:ascii="Arial" w:cs="Arial" w:eastAsia="Arial" w:hAnsi="Arial"/>
          <w:sz w:val="16"/>
          <w:szCs w:val="16"/>
          <w:color w:val="auto"/>
        </w:rPr>
      </w:pPr>
    </w:p>
    <w:p>
      <w:pPr>
        <w:ind w:left="700" w:hanging="25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90" w:lineRule="exact"/>
        <w:rPr>
          <w:rFonts w:ascii="Arial" w:cs="Arial" w:eastAsia="Arial" w:hAnsi="Arial"/>
          <w:sz w:val="18"/>
          <w:szCs w:val="18"/>
          <w:color w:val="auto"/>
        </w:rPr>
      </w:pPr>
    </w:p>
    <w:p>
      <w:pPr>
        <w:ind w:left="1280" w:hanging="248"/>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90" w:lineRule="exact"/>
        <w:rPr>
          <w:rFonts w:ascii="Arial" w:cs="Arial" w:eastAsia="Arial" w:hAnsi="Arial"/>
          <w:sz w:val="18"/>
          <w:szCs w:val="18"/>
          <w:color w:val="auto"/>
        </w:rPr>
      </w:pPr>
    </w:p>
    <w:p>
      <w:pPr>
        <w:ind w:left="1280" w:hanging="248"/>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appoints a Custodian of the Company or any Significant Subsidiary or for all or substantially all of either of its property, or</w:t>
      </w:r>
    </w:p>
    <w:p>
      <w:pPr>
        <w:spacing w:after="0" w:line="90" w:lineRule="exact"/>
        <w:rPr>
          <w:rFonts w:ascii="Arial" w:cs="Arial" w:eastAsia="Arial" w:hAnsi="Arial"/>
          <w:sz w:val="18"/>
          <w:szCs w:val="18"/>
          <w:color w:val="auto"/>
        </w:rPr>
      </w:pPr>
    </w:p>
    <w:p>
      <w:pPr>
        <w:ind w:left="1280" w:hanging="248"/>
        <w:spacing w:after="0"/>
        <w:tabs>
          <w:tab w:leader="none" w:pos="12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orders the liquidation of the Company or any Significant Subsidiary, and the order or decree remains unstayed and in effect for 90 days;</w:t>
      </w:r>
    </w:p>
    <w:p>
      <w:pPr>
        <w:spacing w:after="0" w:line="38"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83" w:lineRule="exact"/>
        <w:rPr>
          <w:rFonts w:ascii="Arial" w:cs="Arial" w:eastAsia="Arial" w:hAnsi="Arial"/>
          <w:sz w:val="16"/>
          <w:szCs w:val="16"/>
          <w:color w:val="auto"/>
        </w:rPr>
      </w:pPr>
    </w:p>
    <w:p>
      <w:pPr>
        <w:ind w:left="700" w:hanging="25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90" w:lineRule="exact"/>
        <w:rPr>
          <w:rFonts w:ascii="Arial" w:cs="Arial" w:eastAsia="Arial" w:hAnsi="Arial"/>
          <w:sz w:val="18"/>
          <w:szCs w:val="18"/>
          <w:color w:val="auto"/>
        </w:rPr>
      </w:pPr>
    </w:p>
    <w:p>
      <w:pPr>
        <w:ind w:left="1280" w:hanging="248"/>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90" w:lineRule="exact"/>
        <w:rPr>
          <w:rFonts w:ascii="Arial" w:cs="Arial" w:eastAsia="Arial" w:hAnsi="Arial"/>
          <w:sz w:val="18"/>
          <w:szCs w:val="18"/>
          <w:color w:val="auto"/>
        </w:rPr>
      </w:pPr>
    </w:p>
    <w:p>
      <w:pPr>
        <w:ind w:left="1280" w:hanging="248"/>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90" w:lineRule="exact"/>
        <w:rPr>
          <w:rFonts w:ascii="Arial" w:cs="Arial" w:eastAsia="Arial" w:hAnsi="Arial"/>
          <w:sz w:val="18"/>
          <w:szCs w:val="18"/>
          <w:color w:val="auto"/>
        </w:rPr>
      </w:pPr>
    </w:p>
    <w:p>
      <w:pPr>
        <w:ind w:left="1280" w:hanging="248"/>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90" w:lineRule="exact"/>
        <w:rPr>
          <w:rFonts w:ascii="Arial" w:cs="Arial" w:eastAsia="Arial" w:hAnsi="Arial"/>
          <w:sz w:val="18"/>
          <w:szCs w:val="18"/>
          <w:color w:val="auto"/>
        </w:rPr>
      </w:pPr>
    </w:p>
    <w:p>
      <w:pPr>
        <w:ind w:left="1280" w:hanging="248"/>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700" w:top="280" w:right="279" w:bottom="1440" w:gutter="0" w:footer="0" w:header="0"/>
        </w:sectPr>
      </w:pPr>
    </w:p>
    <w:bookmarkStart w:id="53" w:name="page54"/>
    <w:bookmarkEnd w:id="53"/>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defeasance and covenant defeasance provisions of the Indenture apply to the Notes. The Notes will not be entitled to the benefits of any sinking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165" w:lineRule="exact"/>
        <w:rPr>
          <w:sz w:val="20"/>
          <w:szCs w:val="20"/>
          <w:color w:val="auto"/>
        </w:rPr>
      </w:pPr>
    </w:p>
    <w:p>
      <w:pPr>
        <w:ind w:firstLine="913"/>
        <w:spacing w:after="0" w:line="309" w:lineRule="auto"/>
        <w:rPr>
          <w:sz w:val="20"/>
          <w:szCs w:val="20"/>
          <w:color w:val="auto"/>
        </w:rPr>
      </w:pPr>
      <w:r>
        <w:rPr>
          <w:rFonts w:ascii="Arial" w:cs="Arial" w:eastAsia="Arial" w:hAnsi="Arial"/>
          <w:sz w:val="15"/>
          <w:szCs w:val="15"/>
          <w:color w:val="auto"/>
        </w:rPr>
        <w:t>The Notes are subject to redemption at any time, in whole or in part, at the election of the Company, at a redemption price equal to (x) if the Notes are redeemed before 90 days prior to the Stated Maturity Date,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20 basis points (twenty one-hundredths of one percent) plus, in each case, accrued interest thereon to, but excluding, the Redemption Date or (y) if the Notes are redeemed on or after 90 days prior to the Stated Maturity Date, 100% of the principal amount of the Notes to be redeemed plus accrued and unpaid interest to, but excluding,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left="460" w:right="1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59" w:lineRule="exact"/>
        <w:rPr>
          <w:sz w:val="20"/>
          <w:szCs w:val="20"/>
          <w:color w:val="auto"/>
        </w:rPr>
      </w:pPr>
    </w:p>
    <w:p>
      <w:pPr>
        <w:ind w:left="460" w:right="1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26" w:lineRule="exact"/>
        <w:rPr>
          <w:sz w:val="20"/>
          <w:szCs w:val="20"/>
          <w:color w:val="auto"/>
        </w:rPr>
      </w:pPr>
    </w:p>
    <w:p>
      <w:pPr>
        <w:jc w:val="both"/>
        <w:ind w:left="460" w:right="160" w:firstLine="438"/>
        <w:spacing w:after="0" w:line="259" w:lineRule="auto"/>
        <w:rPr>
          <w:sz w:val="20"/>
          <w:szCs w:val="20"/>
          <w:color w:val="auto"/>
        </w:rPr>
      </w:pP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after excluding the highest and lowest of such Reference Treasury Dealer Quotations, or (2) if the Trustee obtains fewer than four such Reference Treasury Dealer quotations, the average of all such Quotations.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Company.</w:t>
      </w:r>
    </w:p>
    <w:p>
      <w:pPr>
        <w:spacing w:after="0" w:line="90" w:lineRule="exact"/>
        <w:rPr>
          <w:sz w:val="20"/>
          <w:szCs w:val="20"/>
          <w:color w:val="auto"/>
        </w:rPr>
      </w:pPr>
    </w:p>
    <w:p>
      <w:pPr>
        <w:ind w:left="460" w:right="4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(1) Merrill Lynch, Pierce, Fenner &amp; Smith Incorporated and a Primary Treasury Dealer (as defined below) selected by Wells Fargo Securities,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either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54" w:name="page55"/>
    <w:bookmarkEnd w:id="54"/>
    <w:p>
      <w:pPr>
        <w:ind w:left="46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 Treasury Dealers ceases to be a primary U.S. Government securities dealer (a “Primary Treasury Dealer”), the Company will substitute therefor another Primary Treasury Dealer, and (2) any two other Primary Treasury Dealers selected by the Company.</w:t>
      </w:r>
    </w:p>
    <w:p>
      <w:pPr>
        <w:spacing w:after="0" w:line="51" w:lineRule="exact"/>
        <w:rPr>
          <w:sz w:val="20"/>
          <w:szCs w:val="20"/>
          <w:color w:val="auto"/>
        </w:rPr>
      </w:pPr>
    </w:p>
    <w:p>
      <w:pPr>
        <w:ind w:left="460" w:right="4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4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Notice of any redemption will be given by mail to Holders of Securities, not less than 30 nor more than 60 days prior to the Redemption Date, all as provided in the Indenture.</w:t>
      </w:r>
    </w:p>
    <w:p>
      <w:pPr>
        <w:spacing w:after="0" w:line="13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32"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2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4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 Assets as of the end of the calendar quarter covered in the Company’s Annual Report on Form 10-K or Quarterly Report on Form 10-Q, as the case may be, most recently filed with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55" w:name="page56"/>
    <w:bookmarkEnd w:id="55"/>
    <w:p>
      <w:pPr>
        <w:ind w:right="2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98" w:lineRule="exact"/>
        <w:rPr>
          <w:sz w:val="20"/>
          <w:szCs w:val="20"/>
          <w:color w:val="auto"/>
        </w:rPr>
      </w:pPr>
    </w:p>
    <w:p>
      <w:pPr>
        <w:ind w:right="40" w:firstLine="913"/>
        <w:spacing w:after="0" w:line="283" w:lineRule="auto"/>
        <w:rPr>
          <w:sz w:val="20"/>
          <w:szCs w:val="20"/>
          <w:color w:val="auto"/>
        </w:rPr>
      </w:pPr>
      <w:r>
        <w:rPr>
          <w:rFonts w:ascii="Arial" w:cs="Arial" w:eastAsia="Arial" w:hAnsi="Arial"/>
          <w:sz w:val="16"/>
          <w:szCs w:val="16"/>
          <w:color w:val="auto"/>
        </w:rPr>
        <w:t>In addition to the foregoing limitation on the incurrence of Debt, the Company will not, and will not permit any Subsidiary to, incur any Debt secured by any mortgage, lien, charge, pledge, encumbrance or security interest of any kind upon any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w:t>
      </w:r>
    </w:p>
    <w:p>
      <w:pPr>
        <w:ind w:right="20" w:firstLine="8"/>
        <w:spacing w:after="0" w:line="253" w:lineRule="auto"/>
        <w:tabs>
          <w:tab w:leader="none" w:pos="2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Total Assets.</w:t>
      </w:r>
    </w:p>
    <w:p>
      <w:pPr>
        <w:spacing w:after="0" w:line="14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56" w:name="page57"/>
    <w:bookmarkEnd w:id="56"/>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85" w:lineRule="exact"/>
        <w:rPr>
          <w:sz w:val="20"/>
          <w:szCs w:val="20"/>
          <w:color w:val="auto"/>
        </w:rPr>
      </w:pPr>
    </w:p>
    <w:p>
      <w:pPr>
        <w:ind w:right="120" w:firstLine="913"/>
        <w:spacing w:after="0" w:line="370" w:lineRule="auto"/>
        <w:rPr>
          <w:sz w:val="20"/>
          <w:szCs w:val="20"/>
          <w:color w:val="auto"/>
        </w:rPr>
      </w:pPr>
      <w:r>
        <w:rPr>
          <w:rFonts w:ascii="Arial" w:cs="Arial" w:eastAsia="Arial" w:hAnsi="Arial"/>
          <w:sz w:val="15"/>
          <w:szCs w:val="15"/>
          <w:color w:val="auto"/>
        </w:rPr>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62" w:lineRule="exact"/>
        <w:rPr>
          <w:sz w:val="20"/>
          <w:szCs w:val="20"/>
          <w:color w:val="auto"/>
        </w:rPr>
      </w:pPr>
    </w:p>
    <w:p>
      <w:pPr>
        <w:ind w:left="460" w:right="40" w:firstLine="438"/>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Annual Debt Service Charge</w:t>
      </w:r>
      <w:r>
        <w:rPr>
          <w:rFonts w:ascii="Arial" w:cs="Arial" w:eastAsia="Arial" w:hAnsi="Arial"/>
          <w:sz w:val="15"/>
          <w:szCs w:val="15"/>
          <w:color w:val="auto"/>
        </w:rPr>
        <w:t>” as of any date means the maximum amount which is payable in any period for interest on, and original issue discount of, Debt of the Company and its Subsidiaries and the amount of dividends which are payable in respect of any Disqualified Stock (as defined below).</w:t>
      </w:r>
    </w:p>
    <w:p>
      <w:pPr>
        <w:jc w:val="both"/>
        <w:ind w:left="460" w:right="1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59" w:lineRule="exact"/>
        <w:rPr>
          <w:sz w:val="20"/>
          <w:szCs w:val="20"/>
          <w:color w:val="auto"/>
        </w:rPr>
      </w:pPr>
    </w:p>
    <w:p>
      <w:pPr>
        <w:ind w:left="460" w:right="70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Income Available for Debt Service</w:t>
      </w:r>
      <w:r>
        <w:rPr>
          <w:rFonts w:ascii="Arial" w:cs="Arial" w:eastAsia="Arial" w:hAnsi="Arial"/>
          <w:sz w:val="16"/>
          <w:szCs w:val="16"/>
          <w:color w:val="auto"/>
        </w:rPr>
        <w:t>” for any period means Funds from Operations (as defined below) of the Company and its Subsidiaries plus amounts which have been deducted for interest on Debt of the Company and its Subsidiaries.</w:t>
      </w:r>
    </w:p>
    <w:p>
      <w:pPr>
        <w:spacing w:after="0" w:line="4" w:lineRule="exact"/>
        <w:rPr>
          <w:sz w:val="20"/>
          <w:szCs w:val="20"/>
          <w:color w:val="auto"/>
        </w:rPr>
      </w:pPr>
    </w:p>
    <w:p>
      <w:pPr>
        <w:ind w:left="460" w:right="60" w:firstLine="438"/>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Debt</w:t>
      </w:r>
      <w:r>
        <w:rPr>
          <w:rFonts w:ascii="Arial" w:cs="Arial" w:eastAsia="Arial" w:hAnsi="Arial"/>
          <w:sz w:val="15"/>
          <w:szCs w:val="15"/>
          <w:color w:val="auto"/>
        </w:rPr>
        <w: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w:t>
      </w:r>
    </w:p>
    <w:p>
      <w:pPr>
        <w:spacing w:after="0" w:line="2" w:lineRule="exact"/>
        <w:rPr>
          <w:sz w:val="20"/>
          <w:szCs w:val="20"/>
          <w:color w:val="auto"/>
        </w:rPr>
      </w:pPr>
    </w:p>
    <w:p>
      <w:pPr>
        <w:ind w:left="460" w:firstLine="4"/>
        <w:spacing w:after="0" w:line="255" w:lineRule="auto"/>
        <w:tabs>
          <w:tab w:leader="none" w:pos="75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principal amount of all obligations of the Company or any Subsidiary with respect to redemption, repayment or other repurchase of any Disqualified Stock or (v) any lease of property by the Company or any Subsidiary as lessee which is reflected on the Company’s consolidated balance sheet as a capitalized lease in accordance with generally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57" w:name="page58"/>
    <w:bookmarkEnd w:id="5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accepted accounting principles to the extent, in the case of items of indebtedness under (i) through (iii) 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37" w:lineRule="exact"/>
        <w:rPr>
          <w:sz w:val="20"/>
          <w:szCs w:val="20"/>
          <w:color w:val="auto"/>
        </w:rPr>
      </w:pPr>
    </w:p>
    <w:p>
      <w:pPr>
        <w:ind w:right="2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(i) 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32"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51" w:lineRule="exact"/>
        <w:rPr>
          <w:sz w:val="20"/>
          <w:szCs w:val="20"/>
          <w:color w:val="auto"/>
        </w:rPr>
      </w:pPr>
    </w:p>
    <w:p>
      <w:pPr>
        <w:ind w:right="1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Assets</w:t>
      </w:r>
      <w:r>
        <w:rPr>
          <w:rFonts w:ascii="Arial" w:cs="Arial" w:eastAsia="Arial" w:hAnsi="Arial"/>
          <w:sz w:val="16"/>
          <w:szCs w:val="16"/>
          <w:color w:val="auto"/>
        </w:rPr>
        <w:t>”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4" w:lineRule="exact"/>
        <w:rPr>
          <w:sz w:val="20"/>
          <w:szCs w:val="20"/>
          <w:color w:val="auto"/>
        </w:rPr>
      </w:pPr>
    </w:p>
    <w:p>
      <w:pPr>
        <w:ind w:right="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59" w:lineRule="exact"/>
        <w:rPr>
          <w:sz w:val="20"/>
          <w:szCs w:val="20"/>
          <w:color w:val="auto"/>
        </w:rPr>
      </w:pPr>
    </w:p>
    <w:p>
      <w:pPr>
        <w:ind w:right="20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Unencumbered Total Asset Value</w:t>
      </w:r>
      <w:r>
        <w:rPr>
          <w:rFonts w:ascii="Arial" w:cs="Arial" w:eastAsia="Arial" w:hAnsi="Arial"/>
          <w:sz w:val="16"/>
          <w:szCs w:val="16"/>
          <w:color w:val="auto"/>
        </w:rPr>
        <w:t>”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 provided, however, that in determining Unencumbered Total Asset Value for purposes of the covenant relating to the maintenance of Unencumbered Total Asset Value, all investments by the Company and any of the Company’s subsidiaries in unconsolidated</w:t>
      </w:r>
    </w:p>
    <w:p>
      <w:pPr>
        <w:spacing w:after="0" w:line="10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700" w:top="280" w:right="319" w:bottom="1440" w:gutter="0" w:footer="0" w:header="0"/>
        </w:sectPr>
      </w:pPr>
    </w:p>
    <w:bookmarkStart w:id="58" w:name="page59"/>
    <w:bookmarkEnd w:id="58"/>
    <w:p>
      <w:pPr>
        <w:ind w:left="460"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4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Administrative Agent (as such term is defined in the Credit Agreement, dated as of July 7, 2011, between the Company and the various financial institutions named therein,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44"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16" w:lineRule="exact"/>
        <w:rPr>
          <w:sz w:val="20"/>
          <w:szCs w:val="20"/>
          <w:color w:val="auto"/>
        </w:rPr>
      </w:pPr>
    </w:p>
    <w:p>
      <w:pPr>
        <w:jc w:val="both"/>
        <w:ind w:right="220" w:firstLine="913"/>
        <w:spacing w:after="0" w:line="259" w:lineRule="auto"/>
        <w:rPr>
          <w:sz w:val="20"/>
          <w:szCs w:val="20"/>
          <w:color w:val="auto"/>
        </w:rPr>
      </w:pPr>
      <w:r>
        <w:rPr>
          <w:rFonts w:ascii="Arial" w:cs="Arial" w:eastAsia="Arial" w:hAnsi="Arial"/>
          <w:sz w:val="18"/>
          <w:szCs w:val="18"/>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Securities of this series are issuable only in registered form without coupons in denominations of $1,000 and any integral multiple thereof.</w:t>
      </w:r>
    </w:p>
    <w:p>
      <w:pPr>
        <w:spacing w:after="0" w:line="194"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32"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40"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2300 N St.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May 9,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are acting as counsel for Federal Realty Investment Trust, a Maryland real estate investment trust (the “Company”), in connection with the issuance and sale of $275,000,000 aggregate principal amount of 2.75% Notes due 2023 (the “Notes”) of the Company, pursuant to the Underwriting Agreement and related Pricing Agreement, each dated May 6, 2013, between the several underwriters listed in Schedule I to the Pricing Agreement (the “Underwriters”) and the Company (collectively, the “Agreement”). The Notes are being issued under the Indenture dated as of September 1, 1998 between the Company and U.S. Bank National Association (successor trustee to Wachovia Bank, National Association (successor trustee to First Union National Bank)), as Trustee (together with the officers’ certificate dated May 9, 2013 setting forth the terms of the Notes, the “Indenture”).</w:t>
      </w:r>
    </w:p>
    <w:p>
      <w:pPr>
        <w:spacing w:after="0" w:line="12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reviewed (a) the Agreement, (b) the Indenture, (c) the Registration Statement on Form S-3 (File No. 333-181236) (the “Registration Statement”) filed by the Company to register the offer and sale of the Notes with the Securities and Exchange Commission (the “Commission”) under the Securities Act of 1933 (the “Securities Act”), (d) the Prospectus dated May 8, 2012, as supplemented by the Prospectus Supplement dated May 6, 2013, relating to the offer and sale of the Notes (the “Prospectus”), filed by the Company with the Commission pursuant to Rule 424(b)(5) under the Securities Act. We have also reviewed such other agreements, documents, records, certificates and other materials, and have satisfied ourselves as to such other matters, as we have considered relevant or necessary as a basis for this opinion.</w:t>
      </w:r>
    </w:p>
    <w:p>
      <w:pPr>
        <w:spacing w:after="0" w:line="14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 In delivering this opinion, we have relied, without independent verification, as to factual matters, on certificates and other written or oral statements of governmental and other public officials and of officers and representatives of the Company, the Underwriters and the Trustee.</w:t>
      </w:r>
    </w:p>
    <w:p>
      <w:pPr>
        <w:spacing w:after="0" w:line="1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On the basis of the assumptions and subject to the qualifications and limitations set forth herein, we are of the opinion that the Notes constitute the valid and legally binding obligations of the Company enforceable against the Company in accordance with their terms, except as may be subject to and limited by the effect of (a) applicable bankruptcy, insolvency, reorganization, fraudulent conveyance and other similar laws affecting creditors’ rights</w:t>
      </w:r>
    </w:p>
    <w:p>
      <w:pPr>
        <w:sectPr>
          <w:pgSz w:w="11900" w:h="16838" w:orient="portrait"/>
          <w:cols w:equalWidth="0" w:num="1">
            <w:col w:w="11420"/>
          </w:cols>
          <w:pgMar w:left="240" w:top="125" w:right="239" w:bottom="1440" w:gutter="0" w:footer="0" w:header="0"/>
        </w:sectPr>
      </w:pPr>
    </w:p>
    <w:bookmarkStart w:id="60" w:name="page61"/>
    <w:bookmarkEnd w:id="6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generally, (b) general equitable principles (whether considered in a proceeding in equity or at law) and (c) requirements of reasonableness, good faith, materiality and fair dealing and the discretion of the court before which any matter may be brought.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limited to the law of the States of New York and Maryland, in each case as in effect on the date hereof.</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hereby consent to the filing of this opinion as Exhibit 5.1 to the Company’s Current Report on Form 8-K filed by the Company with the Commission on the date hereof and the incorporation thereof in the Registration Statement and to the use of our name under the captions “Legal Matters” in the Prospectus Supplement. In giving this consent, we do not thereby admit that we are within the category of persons whose consent is required under Section 7 of the Securities Act or the rules and regulations of the Commission promulgated thereunder.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340"/>
          </w:cols>
          <w:pgMar w:left="240" w:top="280" w:right="31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8.1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2300 N St.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6,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May 6, 2013 (the “Prospectus Supplement”) to a prospectus (the “Base Prospectus”) filed as part of a registration statement on Form S-3 (File No. 333-181236, the “Registration Statement,” which term includes the Base Prospectus, Prospectus Supplement, and all documents incorporated and deemed to be incorporated by reference therein) with the Securities and Exchange Commission.</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2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420"/>
          </w:cols>
          <w:pgMar w:left="240" w:top="125" w:right="239" w:bottom="1440" w:gutter="0" w:footer="0" w:header="0"/>
        </w:sectPr>
      </w:pPr>
    </w:p>
    <w:bookmarkStart w:id="62" w:name="page63"/>
    <w:bookmarkEnd w:id="62"/>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2013;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(2013) taxable year and for future taxable years, and (iii) the discussions in (x) the Prospectus under the caption “Material Federal Income Tax Considerations,” (y) the Prospectus Supplement under the caption “Additional Material Federal Income Tax Considerations,” and (z) the Company’s Annual Report on Form 10-K for the year ended December 31, 2012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Base Prospectus under the caption “Material Federal Income Tax Considerations” are hereby confirmed.</w:t>
      </w:r>
    </w:p>
    <w:p>
      <w:pPr>
        <w:spacing w:after="0" w:line="124"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w:t>
      </w:r>
    </w:p>
    <w:p>
      <w:pPr>
        <w:sectPr>
          <w:pgSz w:w="11900" w:h="16838" w:orient="portrait"/>
          <w:cols w:equalWidth="0" w:num="1">
            <w:col w:w="11400"/>
          </w:cols>
          <w:pgMar w:left="240" w:top="280" w:right="259" w:bottom="1440" w:gutter="0" w:footer="0" w:header="0"/>
        </w:sectPr>
      </w:pPr>
    </w:p>
    <w:bookmarkStart w:id="63" w:name="page64"/>
    <w:bookmarkEnd w:id="63"/>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assurance can be given as to whether, for any given taxable year, the actual ownership of the Company’s stock and its actual operating results and distributions satisfy the tests necessary to achieve and maintain its status as a REIT.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400"/>
          </w:cols>
          <w:pgMar w:left="240" w:top="280" w:right="259" w:bottom="1440" w:gutter="0" w:footer="0" w:header="0"/>
        </w:sectPr>
      </w:pPr>
    </w:p>
    <w:bookmarkStart w:id="64" w:name="page65"/>
    <w:bookmarkEnd w:id="64"/>
    <w:p>
      <w:pPr>
        <w:ind w:left="10520"/>
        <w:spacing w:after="0"/>
        <w:rPr>
          <w:sz w:val="20"/>
          <w:szCs w:val="20"/>
          <w:color w:val="auto"/>
        </w:rPr>
      </w:pPr>
      <w:r>
        <w:rPr>
          <w:rFonts w:ascii="Arial" w:cs="Arial" w:eastAsia="Arial" w:hAnsi="Arial"/>
          <w:sz w:val="16"/>
          <w:szCs w:val="16"/>
          <w:b w:val="1"/>
          <w:bCs w:val="1"/>
          <w:color w:val="auto"/>
        </w:rPr>
        <w:t>Exhibit 12.1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right="4920"/>
        <w:spacing w:after="0" w:line="261" w:lineRule="auto"/>
        <w:rPr>
          <w:sz w:val="20"/>
          <w:szCs w:val="20"/>
          <w:color w:val="auto"/>
        </w:rPr>
      </w:pPr>
      <w:r>
        <w:rPr>
          <w:rFonts w:ascii="Arial" w:cs="Arial" w:eastAsia="Arial" w:hAnsi="Arial"/>
          <w:sz w:val="18"/>
          <w:szCs w:val="18"/>
          <w:color w:val="auto"/>
        </w:rPr>
        <w:t>Computation of Ratio of Earnings to Combined Fixed Charges &amp; Preferred Stock Dividends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color w:val="auto"/>
                <w:w w:val="94"/>
              </w:rPr>
              <w:t>Three Months Ended</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March 31,</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8"/>
          </w:tcPr>
          <w:p>
            <w:pPr>
              <w:jc w:val="center"/>
              <w:ind w:right="220"/>
              <w:spacing w:after="0" w:line="159" w:lineRule="exact"/>
              <w:rPr>
                <w:sz w:val="20"/>
                <w:szCs w:val="20"/>
                <w:color w:val="auto"/>
              </w:rPr>
            </w:pPr>
            <w:r>
              <w:rPr>
                <w:rFonts w:ascii="Arial" w:cs="Arial" w:eastAsia="Arial" w:hAnsi="Arial"/>
                <w:sz w:val="14"/>
                <w:szCs w:val="14"/>
                <w:color w:val="auto"/>
                <w:w w:val="85"/>
              </w:rPr>
              <w:t>Year Ended December 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55"/>
              <w:spacing w:after="0" w:line="142" w:lineRule="exact"/>
              <w:rPr>
                <w:sz w:val="20"/>
                <w:szCs w:val="20"/>
                <w:color w:val="auto"/>
              </w:rPr>
            </w:pPr>
            <w:r>
              <w:rPr>
                <w:rFonts w:ascii="Arial" w:cs="Arial" w:eastAsia="Arial" w:hAnsi="Arial"/>
                <w:sz w:val="14"/>
                <w:szCs w:val="14"/>
                <w:color w:val="auto"/>
              </w:rPr>
              <w:t>2013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rPr>
              <w:t>2012</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2011</w:t>
            </w: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2009</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Earnings:</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w w:val="94"/>
              </w:rPr>
              <w:t>Income from continuing operations before income or loss from equity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640"/>
              <w:spacing w:after="0"/>
              <w:rPr>
                <w:sz w:val="20"/>
                <w:szCs w:val="20"/>
                <w:color w:val="auto"/>
              </w:rPr>
            </w:pPr>
            <w:r>
              <w:rPr>
                <w:rFonts w:ascii="Arial" w:cs="Arial" w:eastAsia="Arial" w:hAnsi="Arial"/>
                <w:sz w:val="18"/>
                <w:szCs w:val="18"/>
                <w:color w:val="auto"/>
              </w:rPr>
              <w:t>investees</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35,149</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8"/>
              </w:rPr>
              <w:t>$140,780</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127,950</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$123,509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99,162</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118,389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Distributed income of equity investees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3,617</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2,478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Fixed charges (excluding capitalized interest)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27,564</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114,066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98,851</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105,700</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112,906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Noncontrolling interests in income of subsidiaries with no fixed charges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(979)</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(3,519)</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(3,361)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Total earnings (A)</w:t>
            </w: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62,301</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254,940</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226,899</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228,326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211,147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218,417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27,405</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$ 113,336</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98,169</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$104,683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111,420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interest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8,097</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6,285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Portion of rents representing interest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1,017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(B)</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124,171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106,948</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$ 111,985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118,455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106,444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vMerge w:val="restart"/>
          </w:tcPr>
          <w:p>
            <w:pPr>
              <w:ind w:left="420"/>
              <w:spacing w:after="0"/>
              <w:rPr>
                <w:sz w:val="20"/>
                <w:szCs w:val="20"/>
                <w:color w:val="auto"/>
              </w:rPr>
            </w:pPr>
            <w:r>
              <w:rPr>
                <w:rFonts w:ascii="Arial" w:cs="Arial" w:eastAsia="Arial" w:hAnsi="Arial"/>
                <w:sz w:val="18"/>
                <w:szCs w:val="18"/>
                <w:color w:val="auto"/>
              </w:rPr>
              <w:t>Preferred stock dividends</w:t>
            </w: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and preferred stock dividends (C)</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124,712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107,489</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$ 112,526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118,996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106,985</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640" w:type="dxa"/>
            <w:vAlign w:val="bottom"/>
            <w:gridSpan w:val="2"/>
          </w:tcPr>
          <w:p>
            <w:pPr>
              <w:spacing w:after="0"/>
              <w:rPr>
                <w:sz w:val="20"/>
                <w:szCs w:val="20"/>
                <w:color w:val="auto"/>
              </w:rPr>
            </w:pPr>
            <w:r>
              <w:rPr>
                <w:rFonts w:ascii="Arial" w:cs="Arial" w:eastAsia="Arial" w:hAnsi="Arial"/>
                <w:sz w:val="18"/>
                <w:szCs w:val="18"/>
                <w:color w:val="auto"/>
              </w:rPr>
              <w:t>Ratio of earnings to fixed charges (A divided by B)</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92"/>
              </w:rPr>
              <w:t>Ratio of earning to combined fixed charges and preferred stock dividends (A</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divided by C)</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2"/>
    </w:lvl>
    <w:lvl w:ilvl="1">
      <w:lvlJc w:val="left"/>
      <w:lvlText w:val="(%2)"/>
      <w:numFmt w:val="lowerLetter"/>
      <w:start w:val="1"/>
    </w:lvl>
  </w:abstractNum>
  <w:abstractNum w:abstractNumId="3">
    <w:nsid w:val="6763845E"/>
    <w:multiLevelType w:val="hybridMultilevel"/>
    <w:lvl w:ilvl="0">
      <w:lvlJc w:val="left"/>
      <w:lvlText w:val="(%1)"/>
      <w:numFmt w:val="lowerLetter"/>
      <w:start w:val="2"/>
    </w:lvl>
  </w:abstractNum>
  <w:abstractNum w:abstractNumId="4">
    <w:nsid w:val="75A2A8D4"/>
    <w:multiLevelType w:val="hybridMultilevel"/>
    <w:lvl w:ilvl="0">
      <w:lvlJc w:val="left"/>
      <w:lvlText w:val="(%1)"/>
      <w:numFmt w:val="lowerLetter"/>
      <w:start w:val="3"/>
    </w:lvl>
  </w:abstractNum>
  <w:abstractNum w:abstractNumId="5">
    <w:nsid w:val="8EDBDAB"/>
    <w:multiLevelType w:val="hybridMultilevel"/>
    <w:lvl w:ilvl="0">
      <w:lvlJc w:val="left"/>
      <w:lvlText w:val="%1)"/>
      <w:numFmt w:val="decimal"/>
      <w:start w:val="163"/>
    </w:lvl>
    <w:lvl w:ilvl="1">
      <w:lvlJc w:val="left"/>
      <w:lvlText w:val="(%2)"/>
      <w:numFmt w:val="upperLetter"/>
      <w:start w:val="1"/>
    </w:lvl>
  </w:abstractNum>
  <w:abstractNum w:abstractNumId="6">
    <w:nsid w:val="79838CB2"/>
    <w:multiLevelType w:val="hybridMultilevel"/>
    <w:lvl w:ilvl="0">
      <w:lvlJc w:val="left"/>
      <w:lvlText w:val="(%1)"/>
      <w:numFmt w:val="lowerLetter"/>
      <w:start w:val="4"/>
    </w:lvl>
  </w:abstractNum>
  <w:abstractNum w:abstractNumId="7">
    <w:nsid w:val="4353D0CD"/>
    <w:multiLevelType w:val="hybridMultilevel"/>
    <w:lvl w:ilvl="0">
      <w:lvlJc w:val="left"/>
      <w:lvlText w:val="(%1)"/>
      <w:numFmt w:val="lowerLetter"/>
      <w:start w:val="7"/>
    </w:lvl>
  </w:abstractNum>
  <w:abstractNum w:abstractNumId="8">
    <w:nsid w:val="B03E0C6"/>
    <w:multiLevelType w:val="hybridMultilevel"/>
    <w:lvl w:ilvl="0">
      <w:lvlJc w:val="left"/>
      <w:lvlText w:val="(%1)"/>
      <w:numFmt w:val="lowerLetter"/>
      <w:start w:val="9"/>
    </w:lvl>
  </w:abstractNum>
  <w:abstractNum w:abstractNumId="9">
    <w:nsid w:val="189A769B"/>
    <w:multiLevelType w:val="hybridMultilevel"/>
    <w:lvl w:ilvl="0">
      <w:lvlJc w:val="left"/>
      <w:lvlText w:val="(%1)"/>
      <w:numFmt w:val="lowerLetter"/>
      <w:start w:val="13"/>
    </w:lvl>
  </w:abstractNum>
  <w:abstractNum w:abstractNumId="10">
    <w:nsid w:val="54E49EB4"/>
    <w:multiLevelType w:val="hybridMultilevel"/>
    <w:lvl w:ilvl="0">
      <w:lvlJc w:val="left"/>
      <w:lvlText w:val="(%1)"/>
      <w:numFmt w:val="lowerLetter"/>
      <w:start w:val="16"/>
    </w:lvl>
  </w:abstractNum>
  <w:abstractNum w:abstractNumId="11">
    <w:nsid w:val="71F32454"/>
    <w:multiLevelType w:val="hybridMultilevel"/>
    <w:lvl w:ilvl="0">
      <w:lvlJc w:val="left"/>
      <w:lvlText w:val="(%1)"/>
      <w:numFmt w:val="lowerLetter"/>
      <w:start w:val="20"/>
    </w:lvl>
  </w:abstractNum>
  <w:abstractNum w:abstractNumId="12">
    <w:nsid w:val="2CA88611"/>
    <w:multiLevelType w:val="hybridMultilevel"/>
    <w:lvl w:ilvl="0">
      <w:lvlJc w:val="left"/>
      <w:lvlText w:val="%1"/>
      <w:numFmt w:val="lowerRoman"/>
      <w:start w:val="1"/>
    </w:lvl>
    <w:lvl w:ilvl="1">
      <w:lvlJc w:val="left"/>
      <w:lvlText w:val="(%2)"/>
      <w:numFmt w:val="lowerRoman"/>
      <w:start w:val="10"/>
    </w:lvl>
  </w:abstractNum>
  <w:abstractNum w:abstractNumId="13">
    <w:nsid w:val="836C40E"/>
    <w:multiLevelType w:val="hybridMultilevel"/>
    <w:lvl w:ilvl="0">
      <w:lvlJc w:val="left"/>
      <w:lvlText w:val="(%1)"/>
      <w:numFmt w:val="lowerRoman"/>
      <w:start w:val="4"/>
    </w:lvl>
    <w:lvl w:ilvl="1">
      <w:lvlJc w:val="left"/>
      <w:lvlText w:val="%2"/>
      <w:numFmt w:val="lowerRoman"/>
      <w:start w:val="1"/>
    </w:lvl>
  </w:abstractNum>
  <w:abstractNum w:abstractNumId="14">
    <w:nsid w:val="2901D82"/>
    <w:multiLevelType w:val="hybridMultilevel"/>
    <w:lvl w:ilvl="0">
      <w:lvlJc w:val="left"/>
      <w:lvlText w:val="%1"/>
      <w:numFmt w:val="decimal"/>
      <w:start w:val="1"/>
    </w:lvl>
    <w:lvl w:ilvl="1">
      <w:lvlJc w:val="left"/>
      <w:lvlText w:val="(%2)"/>
      <w:numFmt w:val="lowerLetter"/>
      <w:start w:val="25"/>
    </w:lvl>
  </w:abstractNum>
  <w:abstractNum w:abstractNumId="15">
    <w:nsid w:val="3A95F874"/>
    <w:multiLevelType w:val="hybridMultilevel"/>
    <w:lvl w:ilvl="0">
      <w:lvlJc w:val="left"/>
      <w:lvlText w:val="%1."/>
      <w:numFmt w:val="decimal"/>
      <w:start w:val="3"/>
    </w:lvl>
    <w:lvl w:ilvl="1">
      <w:lvlJc w:val="left"/>
      <w:lvlText w:val="%2"/>
      <w:numFmt w:val="lowerLetter"/>
      <w:start w:val="1"/>
    </w:lvl>
  </w:abstractNum>
  <w:abstractNum w:abstractNumId="16">
    <w:nsid w:val="8138641"/>
    <w:multiLevelType w:val="hybridMultilevel"/>
    <w:lvl w:ilvl="0">
      <w:lvlJc w:val="left"/>
      <w:lvlText w:val="%1."/>
      <w:numFmt w:val="decimal"/>
      <w:start w:val="5"/>
    </w:lvl>
    <w:lvl w:ilvl="1">
      <w:lvlJc w:val="left"/>
      <w:lvlText w:val="(%2)"/>
      <w:numFmt w:val="lowerLetter"/>
      <w:start w:val="1"/>
    </w:lvl>
  </w:abstractNum>
  <w:abstractNum w:abstractNumId="17">
    <w:nsid w:val="1E7FF521"/>
    <w:multiLevelType w:val="hybridMultilevel"/>
    <w:lvl w:ilvl="0">
      <w:lvlJc w:val="left"/>
      <w:lvlText w:val="(%1)"/>
      <w:numFmt w:val="lowerLetter"/>
      <w:start w:val="2"/>
    </w:lvl>
  </w:abstractNum>
  <w:abstractNum w:abstractNumId="18">
    <w:nsid w:val="7C3DBD3D"/>
    <w:multiLevelType w:val="hybridMultilevel"/>
    <w:lvl w:ilvl="0">
      <w:lvlJc w:val="left"/>
      <w:lvlText w:val="(%1)"/>
      <w:numFmt w:val="lowerLetter"/>
      <w:start w:val="5"/>
    </w:lvl>
  </w:abstractNum>
  <w:abstractNum w:abstractNumId="19">
    <w:nsid w:val="737B8DDC"/>
    <w:multiLevelType w:val="hybridMultilevel"/>
    <w:lvl w:ilvl="0">
      <w:lvlJc w:val="left"/>
      <w:lvlText w:val="%1"/>
      <w:numFmt w:val="lowerLetter"/>
      <w:start w:val="1"/>
    </w:lvl>
    <w:lvl w:ilvl="1">
      <w:lvlJc w:val="left"/>
      <w:lvlText w:val="(%2)"/>
      <w:numFmt w:val="lowerLetter"/>
      <w:start w:val="8"/>
    </w:lvl>
  </w:abstractNum>
  <w:abstractNum w:abstractNumId="20">
    <w:nsid w:val="6CEAF087"/>
    <w:multiLevelType w:val="hybridMultilevel"/>
    <w:lvl w:ilvl="0">
      <w:lvlJc w:val="left"/>
      <w:lvlText w:val="(%1)"/>
      <w:numFmt w:val="lowerLetter"/>
      <w:start w:val="35"/>
    </w:lvl>
    <w:lvl w:ilvl="1">
      <w:lvlJc w:val="left"/>
      <w:lvlText w:val="%2"/>
      <w:numFmt w:val="lowerLetter"/>
      <w:start w:val="1"/>
    </w:lvl>
  </w:abstractNum>
  <w:abstractNum w:abstractNumId="21">
    <w:nsid w:val="22221A70"/>
    <w:multiLevelType w:val="hybridMultilevel"/>
    <w:lvl w:ilvl="0">
      <w:lvlJc w:val="left"/>
      <w:lvlText w:val="%1"/>
      <w:numFmt w:val="decimal"/>
      <w:start w:val="1"/>
    </w:lvl>
    <w:lvl w:ilvl="1">
      <w:lvlJc w:val="left"/>
      <w:lvlText w:val="(%2)"/>
      <w:numFmt w:val="lowerLetter"/>
      <w:start w:val="10"/>
    </w:lvl>
  </w:abstractNum>
  <w:abstractNum w:abstractNumId="22">
    <w:nsid w:val="4516DDE9"/>
    <w:multiLevelType w:val="hybridMultilevel"/>
    <w:lvl w:ilvl="0">
      <w:lvlJc w:val="left"/>
      <w:lvlText w:val="%1."/>
      <w:numFmt w:val="decimal"/>
      <w:start w:val="6"/>
    </w:lvl>
    <w:lvl w:ilvl="1">
      <w:lvlJc w:val="left"/>
      <w:lvlText w:val="%2"/>
      <w:numFmt w:val="lowerLetter"/>
      <w:start w:val="1"/>
    </w:lvl>
  </w:abstractNum>
  <w:abstractNum w:abstractNumId="23">
    <w:nsid w:val="3006C83E"/>
    <w:multiLevelType w:val="hybridMultilevel"/>
    <w:lvl w:ilvl="0">
      <w:lvlJc w:val="left"/>
      <w:lvlText w:val="%1."/>
      <w:numFmt w:val="decimal"/>
      <w:start w:val="7"/>
    </w:lvl>
    <w:lvl w:ilvl="1">
      <w:lvlJc w:val="left"/>
      <w:lvlText w:val="(%2)"/>
      <w:numFmt w:val="lowerLetter"/>
      <w:start w:val="1"/>
    </w:lvl>
  </w:abstractNum>
  <w:abstractNum w:abstractNumId="24">
    <w:nsid w:val="614FD4A1"/>
    <w:multiLevelType w:val="hybridMultilevel"/>
    <w:lvl w:ilvl="0">
      <w:lvlJc w:val="left"/>
      <w:lvlText w:val="(%1)"/>
      <w:numFmt w:val="lowerLetter"/>
      <w:start w:val="3"/>
    </w:lvl>
  </w:abstractNum>
  <w:abstractNum w:abstractNumId="25">
    <w:nsid w:val="419AC241"/>
    <w:multiLevelType w:val="hybridMultilevel"/>
    <w:lvl w:ilvl="0">
      <w:lvlJc w:val="left"/>
      <w:lvlText w:val="(%1)"/>
      <w:numFmt w:val="lowerLetter"/>
      <w:start w:val="7"/>
    </w:lvl>
  </w:abstractNum>
  <w:abstractNum w:abstractNumId="26">
    <w:nsid w:val="5577F8E1"/>
    <w:multiLevelType w:val="hybridMultilevel"/>
    <w:lvl w:ilvl="0">
      <w:lvlJc w:val="left"/>
      <w:lvlText w:val="%1."/>
      <w:numFmt w:val="decimal"/>
      <w:start w:val="8"/>
    </w:lvl>
  </w:abstractNum>
  <w:abstractNum w:abstractNumId="27">
    <w:nsid w:val="440BADFC"/>
    <w:multiLevelType w:val="hybridMultilevel"/>
    <w:lvl w:ilvl="0">
      <w:lvlJc w:val="left"/>
      <w:lvlText w:val="(%1)"/>
      <w:numFmt w:val="lowerLetter"/>
      <w:start w:val="2"/>
    </w:lvl>
  </w:abstractNum>
  <w:abstractNum w:abstractNumId="28">
    <w:nsid w:val="5072367"/>
    <w:multiLevelType w:val="hybridMultilevel"/>
    <w:lvl w:ilvl="0">
      <w:lvlJc w:val="left"/>
      <w:lvlText w:val="%1"/>
      <w:numFmt w:val="lowerLetter"/>
      <w:start w:val="1"/>
    </w:lvl>
    <w:lvl w:ilvl="1">
      <w:lvlJc w:val="left"/>
      <w:lvlText w:val="(%2)"/>
      <w:numFmt w:val="lowerLetter"/>
      <w:start w:val="3"/>
    </w:lvl>
  </w:abstractNum>
  <w:abstractNum w:abstractNumId="29">
    <w:nsid w:val="3804823E"/>
    <w:multiLevelType w:val="hybridMultilevel"/>
    <w:lvl w:ilvl="0">
      <w:lvlJc w:val="left"/>
      <w:lvlText w:val="(%1)"/>
      <w:numFmt w:val="lowerLetter"/>
      <w:start w:val="35"/>
    </w:lvl>
    <w:lvl w:ilvl="1">
      <w:lvlJc w:val="left"/>
      <w:lvlText w:val="(%2)"/>
      <w:numFmt w:val="lowerLetter"/>
      <w:start w:val="4"/>
    </w:lvl>
  </w:abstractNum>
  <w:abstractNum w:abstractNumId="30">
    <w:nsid w:val="77465F01"/>
    <w:multiLevelType w:val="hybridMultilevel"/>
    <w:lvl w:ilvl="0">
      <w:lvlJc w:val="left"/>
      <w:lvlText w:val="(%1)"/>
      <w:numFmt w:val="lowerLetter"/>
      <w:start w:val="2"/>
    </w:lvl>
  </w:abstractNum>
  <w:abstractNum w:abstractNumId="31">
    <w:nsid w:val="7724C67E"/>
    <w:multiLevelType w:val="hybridMultilevel"/>
    <w:lvl w:ilvl="0">
      <w:lvlJc w:val="left"/>
      <w:lvlText w:val="(%1)"/>
      <w:numFmt w:val="lowerLetter"/>
      <w:start w:val="5"/>
    </w:lvl>
  </w:abstractNum>
  <w:abstractNum w:abstractNumId="32">
    <w:nsid w:val="5C482A97"/>
    <w:multiLevelType w:val="hybridMultilevel"/>
    <w:lvl w:ilvl="0">
      <w:lvlJc w:val="left"/>
      <w:lvlText w:val="%1."/>
      <w:numFmt w:val="decimal"/>
      <w:start w:val="9"/>
    </w:lvl>
  </w:abstractNum>
  <w:abstractNum w:abstractNumId="33">
    <w:nsid w:val="2463B9EA"/>
    <w:multiLevelType w:val="hybridMultilevel"/>
    <w:lvl w:ilvl="0">
      <w:lvlJc w:val="left"/>
      <w:lvlText w:val="(%1)"/>
      <w:numFmt w:val="lowerLetter"/>
      <w:start w:val="2"/>
    </w:lvl>
  </w:abstractNum>
  <w:abstractNum w:abstractNumId="34">
    <w:nsid w:val="5E884ADC"/>
    <w:multiLevelType w:val="hybridMultilevel"/>
    <w:lvl w:ilvl="0">
      <w:lvlJc w:val="left"/>
      <w:lvlText w:val="%1."/>
      <w:numFmt w:val="decimal"/>
      <w:start w:val="10"/>
    </w:lvl>
  </w:abstractNum>
  <w:abstractNum w:abstractNumId="35">
    <w:nsid w:val="51EAD36B"/>
    <w:multiLevelType w:val="hybridMultilevel"/>
    <w:lvl w:ilvl="0">
      <w:lvlJc w:val="left"/>
      <w:lvlText w:val="%1."/>
      <w:numFmt w:val="decimal"/>
      <w:start w:val="11"/>
    </w:lvl>
  </w:abstractNum>
  <w:abstractNum w:abstractNumId="36">
    <w:nsid w:val="2D517796"/>
    <w:multiLevelType w:val="hybridMultilevel"/>
    <w:lvl w:ilvl="0">
      <w:lvlJc w:val="left"/>
      <w:lvlText w:val="%1."/>
      <w:numFmt w:val="decimal"/>
      <w:start w:val="13"/>
    </w:lvl>
  </w:abstractNum>
  <w:abstractNum w:abstractNumId="37">
    <w:nsid w:val="580BD78F"/>
    <w:multiLevelType w:val="hybridMultilevel"/>
    <w:lvl w:ilvl="0">
      <w:lvlJc w:val="left"/>
      <w:lvlText w:val="%1."/>
      <w:numFmt w:val="decimal"/>
      <w:start w:val="14"/>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4"/>
    </w:lvl>
    <w:lvl w:ilvl="1">
      <w:lvlJc w:val="left"/>
      <w:lvlText w:val="(%2)"/>
      <w:numFmt w:val="lowerLetter"/>
      <w:start w:val="1"/>
    </w:lvl>
  </w:abstractNum>
  <w:abstractNum w:abstractNumId="41">
    <w:nsid w:val="6A2342EC"/>
    <w:multiLevelType w:val="hybridMultilevel"/>
    <w:lvl w:ilvl="0">
      <w:lvlJc w:val="left"/>
      <w:lvlText w:val="(%1)"/>
      <w:numFmt w:val="decimal"/>
      <w:start w:val="2"/>
    </w:lvl>
  </w:abstractNum>
  <w:abstractNum w:abstractNumId="42">
    <w:nsid w:val="2A487CB0"/>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2019-12-05T10:18:21Z</dcterms:created>
  <dcterms:modified xsi:type="dcterms:W3CDTF">2019-12-05T10:18:21Z</dcterms:modified>
</cp:coreProperties>
</file>