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1900" w:type="dxa"/>
            <w:vAlign w:val="bottom"/>
            <w:gridSpan w:val="2"/>
          </w:tcPr>
          <w:p>
            <w:pPr>
              <w:spacing w:after="0"/>
              <w:rPr>
                <w:sz w:val="20"/>
                <w:szCs w:val="20"/>
                <w:color w:val="auto"/>
              </w:rPr>
            </w:pPr>
            <w:r>
              <w:rPr>
                <w:rFonts w:ascii="Courier New" w:cs="Courier New" w:eastAsia="Courier New" w:hAnsi="Courier New"/>
                <w:sz w:val="18"/>
                <w:szCs w:val="18"/>
                <w:color w:val="auto"/>
              </w:rPr>
              <w:t>OMB APPROVAL</w:t>
            </w:r>
          </w:p>
        </w:tc>
        <w:tc>
          <w:tcPr>
            <w:tcW w:w="84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October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31, 1994</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AVERAGE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BURDEN</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RESPONSE</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14.90</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31374720</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("1934 Act") or otherwise subject to the liabilities of that section of the Act but shall be subject to all other provisions of the 1934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2 of 13 Pages</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31374720</w:t>
            </w:r>
          </w:p>
        </w:tc>
        <w:tc>
          <w:tcPr>
            <w:tcW w:w="1260" w:type="dxa"/>
            <w:vAlign w:val="bottom"/>
          </w:tcPr>
          <w:p>
            <w:pPr>
              <w:ind w:left="94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4"/>
          <w:szCs w:val="24"/>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4"/>
          <w:szCs w:val="24"/>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ectPr>
          <w:pgSz w:w="11900" w:h="16838"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NONE</w:t>
      </w:r>
    </w:p>
    <w:p>
      <w:pPr>
        <w:spacing w:after="0" w:line="207" w:lineRule="exact"/>
        <w:rPr>
          <w:sz w:val="20"/>
          <w:szCs w:val="20"/>
          <w:color w:val="auto"/>
        </w:rPr>
      </w:pPr>
    </w:p>
    <w:p>
      <w:pPr>
        <w:ind w:right="789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4,051,950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4,051,950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4,051,950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10.3%</w:t>
      </w:r>
    </w:p>
    <w:p>
      <w:pPr>
        <w:spacing w:after="0" w:line="207" w:lineRule="exact"/>
        <w:rPr>
          <w:sz w:val="20"/>
          <w:szCs w:val="20"/>
          <w:color w:val="auto"/>
        </w:rPr>
      </w:pPr>
    </w:p>
    <w:p>
      <w:pPr>
        <w:ind w:right="7159" w:firstLine="8"/>
        <w:spacing w:after="0" w:line="470"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Page 3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31374720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3,742,250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3,742,250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3,742,250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right="7159" w:firstLine="8"/>
        <w:spacing w:after="0" w:line="470" w:lineRule="auto"/>
        <w:tabs>
          <w:tab w:leader="none" w:pos="4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Page 4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31374720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3,742,000</w:t>
      </w:r>
    </w:p>
    <w:p>
      <w:pPr>
        <w:spacing w:after="0" w:line="214"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3,742,000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3,742,000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right="7159" w:firstLine="8"/>
        <w:spacing w:after="0" w:line="470"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Page 5 of 13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CUSIP NO.   31374720</w:t>
            </w:r>
          </w:p>
        </w:tc>
        <w:tc>
          <w:tcPr>
            <w:tcW w:w="1120" w:type="dxa"/>
            <w:vAlign w:val="bottom"/>
          </w:tcPr>
          <w:p>
            <w:pPr>
              <w:ind w:left="80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3,742,000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3,742,000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3,742,000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w:t>
      </w:r>
    </w:p>
    <w:p>
      <w:pPr>
        <w:spacing w:after="0" w:line="207" w:lineRule="exact"/>
        <w:rPr>
          <w:sz w:val="20"/>
          <w:szCs w:val="20"/>
          <w:color w:val="auto"/>
        </w:rPr>
      </w:pPr>
    </w:p>
    <w:p>
      <w:pPr>
        <w:ind w:right="7159" w:firstLine="8"/>
        <w:spacing w:after="0" w:line="470" w:lineRule="auto"/>
        <w:tabs>
          <w:tab w:leader="none" w:pos="421"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PN</w:t>
      </w:r>
    </w:p>
    <w:p>
      <w:pPr>
        <w:spacing w:after="0" w:line="6"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Page 6 of 12 Pages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Courier New" w:cs="Courier New" w:eastAsia="Courier New" w:hAnsi="Courier New"/>
                <w:sz w:val="18"/>
                <w:szCs w:val="18"/>
                <w:color w:val="auto"/>
              </w:rPr>
              <w:t>CUSIP NO.</w:t>
            </w:r>
          </w:p>
        </w:tc>
        <w:tc>
          <w:tcPr>
            <w:tcW w:w="186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31374720</w:t>
            </w:r>
          </w:p>
        </w:tc>
        <w:tc>
          <w:tcPr>
            <w:tcW w:w="1100" w:type="dxa"/>
            <w:vAlign w:val="bottom"/>
          </w:tcPr>
          <w:p>
            <w:pPr>
              <w:ind w:left="780"/>
              <w:spacing w:after="0"/>
              <w:rPr>
                <w:sz w:val="20"/>
                <w:szCs w:val="20"/>
                <w:color w:val="auto"/>
              </w:rPr>
            </w:pPr>
            <w:r>
              <w:rPr>
                <w:rFonts w:ascii="Courier New" w:cs="Courier New" w:eastAsia="Courier New" w:hAnsi="Courier New"/>
                <w:sz w:val="18"/>
                <w:szCs w:val="18"/>
                <w:color w:val="auto"/>
                <w:w w:val="92"/>
              </w:rPr>
              <w:t>13G</w:t>
            </w:r>
          </w:p>
        </w:tc>
      </w:tr>
    </w:tbl>
    <w:p>
      <w:pPr>
        <w:spacing w:after="0" w:line="201" w:lineRule="exact"/>
        <w:rPr>
          <w:sz w:val="20"/>
          <w:szCs w:val="20"/>
          <w:color w:val="auto"/>
        </w:rPr>
      </w:pPr>
    </w:p>
    <w:p>
      <w:pPr>
        <w:ind w:left="320" w:hanging="312"/>
        <w:spacing w:after="0"/>
        <w:tabs>
          <w:tab w:leader="none" w:pos="3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CHECK THE APPROPRIATE BOX IF A MEMBER OF A GROUP* Joint Filing</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right="6099" w:firstLine="8"/>
        <w:spacing w:after="0" w:line="470" w:lineRule="auto"/>
        <w:tabs>
          <w:tab w:leader="none" w:pos="31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789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3,742,000</w:t>
      </w:r>
    </w:p>
    <w:p>
      <w:pPr>
        <w:spacing w:after="0" w:line="11" w:lineRule="exact"/>
        <w:rPr>
          <w:rFonts w:ascii="Courier New" w:cs="Courier New" w:eastAsia="Courier New" w:hAnsi="Courier New"/>
          <w:sz w:val="18"/>
          <w:szCs w:val="18"/>
          <w:color w:val="auto"/>
        </w:rPr>
      </w:pPr>
    </w:p>
    <w:p>
      <w:pPr>
        <w:ind w:right="7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1" w:lineRule="exact"/>
        <w:rPr>
          <w:rFonts w:ascii="Courier New" w:cs="Courier New" w:eastAsia="Courier New" w:hAnsi="Courier New"/>
          <w:sz w:val="18"/>
          <w:szCs w:val="18"/>
          <w:color w:val="auto"/>
        </w:rPr>
      </w:pPr>
    </w:p>
    <w:p>
      <w:pPr>
        <w:ind w:right="735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3,742,000</w:t>
      </w:r>
    </w:p>
    <w:p>
      <w:pPr>
        <w:spacing w:after="0" w:line="11" w:lineRule="exact"/>
        <w:rPr>
          <w:rFonts w:ascii="Courier New" w:cs="Courier New" w:eastAsia="Courier New" w:hAnsi="Courier New"/>
          <w:sz w:val="18"/>
          <w:szCs w:val="18"/>
          <w:color w:val="auto"/>
        </w:rPr>
      </w:pPr>
    </w:p>
    <w:p>
      <w:pPr>
        <w:ind w:right="3579" w:firstLine="8"/>
        <w:spacing w:after="0" w:line="470" w:lineRule="auto"/>
        <w:tabs>
          <w:tab w:leader="none" w:pos="316"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3,742,000</w:t>
      </w:r>
    </w:p>
    <w:p>
      <w:pPr>
        <w:spacing w:after="0" w:line="1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IV, CO</w:t>
      </w:r>
    </w:p>
    <w:p>
      <w:pPr>
        <w:ind w:left="420"/>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ectPr>
          <w:pgSz w:w="11900" w:h="16838" w:orient="portrait"/>
          <w:cols w:equalWidth="0" w:num="1">
            <w:col w:w="10219"/>
          </w:cols>
          <w:pgMar w:left="240" w:top="7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Page 7 of 13 Pages</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(a)</w:t>
      </w:r>
      <w:r>
        <w:rPr>
          <w:sz w:val="20"/>
          <w:szCs w:val="20"/>
          <w:color w:val="auto"/>
        </w:rPr>
        <w:tab/>
      </w:r>
      <w:r>
        <w:rPr>
          <w:rFonts w:ascii="Courier New" w:cs="Courier New" w:eastAsia="Courier New" w:hAnsi="Courier New"/>
          <w:sz w:val="16"/>
          <w:szCs w:val="16"/>
          <w:color w:val="auto"/>
        </w:rPr>
        <w:t>Name of Issuer:</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 (b)</w:t>
      </w:r>
      <w:r>
        <w:rPr>
          <w:sz w:val="20"/>
          <w:szCs w:val="20"/>
          <w:color w:val="auto"/>
        </w:rPr>
        <w:tab/>
      </w:r>
      <w:r>
        <w:rPr>
          <w:rFonts w:ascii="Courier New" w:cs="Courier New" w:eastAsia="Courier New" w:hAnsi="Courier New"/>
          <w:sz w:val="16"/>
          <w:szCs w:val="16"/>
          <w:color w:val="auto"/>
        </w:rPr>
        <w:t>Address of Issuer's Principal Executive Offices: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1626 East Jefferson St.</w:t>
      </w:r>
    </w:p>
    <w:p>
      <w:pPr>
        <w:ind w:left="1280"/>
        <w:spacing w:after="0" w:line="238" w:lineRule="auto"/>
        <w:rPr>
          <w:sz w:val="20"/>
          <w:szCs w:val="20"/>
          <w:color w:val="auto"/>
        </w:rPr>
      </w:pPr>
      <w:r>
        <w:rPr>
          <w:rFonts w:ascii="Courier New" w:cs="Courier New" w:eastAsia="Courier New" w:hAnsi="Courier New"/>
          <w:sz w:val="18"/>
          <w:szCs w:val="18"/>
          <w:color w:val="auto"/>
        </w:rPr>
        <w:t>Rockville, MD 20852-4041</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Name of Persons Filing:</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Merrill Lynch &amp; Co., Inc.</w:t>
      </w:r>
    </w:p>
    <w:p>
      <w:pPr>
        <w:ind w:left="1280"/>
        <w:spacing w:after="0" w:line="238" w:lineRule="auto"/>
        <w:rPr>
          <w:sz w:val="20"/>
          <w:szCs w:val="20"/>
          <w:color w:val="auto"/>
        </w:rPr>
      </w:pPr>
      <w:r>
        <w:rPr>
          <w:rFonts w:ascii="Courier New" w:cs="Courier New" w:eastAsia="Courier New" w:hAnsi="Courier New"/>
          <w:sz w:val="18"/>
          <w:szCs w:val="18"/>
          <w:color w:val="auto"/>
        </w:rPr>
        <w:t>Merrill Lynch Group, Inc.</w:t>
      </w:r>
    </w:p>
    <w:p>
      <w:pPr>
        <w:ind w:left="1280"/>
        <w:spacing w:after="0"/>
        <w:rPr>
          <w:sz w:val="20"/>
          <w:szCs w:val="20"/>
          <w:color w:val="auto"/>
        </w:rPr>
      </w:pPr>
      <w:r>
        <w:rPr>
          <w:rFonts w:ascii="Courier New" w:cs="Courier New" w:eastAsia="Courier New" w:hAnsi="Courier New"/>
          <w:sz w:val="18"/>
          <w:szCs w:val="18"/>
          <w:color w:val="auto"/>
        </w:rPr>
        <w:t>Princeton Services, Inc.</w:t>
      </w:r>
    </w:p>
    <w:p>
      <w:pPr>
        <w:ind w:left="1280"/>
        <w:spacing w:after="0" w:line="237" w:lineRule="auto"/>
        <w:rPr>
          <w:sz w:val="20"/>
          <w:szCs w:val="20"/>
          <w:color w:val="auto"/>
        </w:rPr>
      </w:pPr>
      <w:r>
        <w:rPr>
          <w:rFonts w:ascii="Courier New" w:cs="Courier New" w:eastAsia="Courier New" w:hAnsi="Courier New"/>
          <w:sz w:val="18"/>
          <w:szCs w:val="18"/>
          <w:color w:val="auto"/>
        </w:rPr>
        <w:t>Merrill Lynch Asset Management, L.P.</w:t>
      </w:r>
    </w:p>
    <w:p>
      <w:pPr>
        <w:ind w:left="1280"/>
        <w:spacing w:after="0" w:line="238" w:lineRule="auto"/>
        <w:rPr>
          <w:sz w:val="20"/>
          <w:szCs w:val="20"/>
          <w:color w:val="auto"/>
        </w:rPr>
      </w:pPr>
      <w:r>
        <w:rPr>
          <w:rFonts w:ascii="Courier New" w:cs="Courier New" w:eastAsia="Courier New" w:hAnsi="Courier New"/>
          <w:sz w:val="18"/>
          <w:szCs w:val="18"/>
          <w:color w:val="auto"/>
        </w:rPr>
        <w:t>Merrill Lynch Growth Fund</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38" w:lineRule="auto"/>
        <w:rPr>
          <w:sz w:val="20"/>
          <w:szCs w:val="20"/>
          <w:color w:val="auto"/>
        </w:rPr>
      </w:pPr>
      <w:r>
        <w:rPr>
          <w:rFonts w:ascii="Courier New" w:cs="Courier New" w:eastAsia="Courier New" w:hAnsi="Courier New"/>
          <w:sz w:val="18"/>
          <w:szCs w:val="18"/>
          <w:color w:val="auto"/>
        </w:rPr>
        <w:t>World Financial Center, North Tower</w:t>
      </w:r>
    </w:p>
    <w:p>
      <w:pPr>
        <w:spacing w:after="0"/>
        <w:rPr>
          <w:sz w:val="20"/>
          <w:szCs w:val="20"/>
          <w:color w:val="auto"/>
        </w:rPr>
      </w:pPr>
      <w:r>
        <w:rPr>
          <w:rFonts w:ascii="Courier New" w:cs="Courier New" w:eastAsia="Courier New" w:hAnsi="Courier New"/>
          <w:sz w:val="18"/>
          <w:szCs w:val="18"/>
          <w:color w:val="auto"/>
        </w:rPr>
        <w:t>250 Vesey Street</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10281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38" w:lineRule="auto"/>
        <w:rPr>
          <w:sz w:val="20"/>
          <w:szCs w:val="20"/>
          <w:color w:val="auto"/>
        </w:rPr>
      </w:pPr>
      <w:r>
        <w:rPr>
          <w:rFonts w:ascii="Courier New" w:cs="Courier New" w:eastAsia="Courier New" w:hAnsi="Courier New"/>
          <w:sz w:val="18"/>
          <w:szCs w:val="18"/>
          <w:color w:val="auto"/>
        </w:rPr>
        <w:t>800 Scudders Mills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800 Scudders Mills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w:t>
      </w:r>
    </w:p>
    <w:p>
      <w:pPr>
        <w:spacing w:after="0" w:line="238" w:lineRule="auto"/>
        <w:rPr>
          <w:sz w:val="20"/>
          <w:szCs w:val="20"/>
          <w:color w:val="auto"/>
        </w:rPr>
      </w:pPr>
      <w:r>
        <w:rPr>
          <w:rFonts w:ascii="Courier New" w:cs="Courier New" w:eastAsia="Courier New" w:hAnsi="Courier New"/>
          <w:sz w:val="18"/>
          <w:szCs w:val="18"/>
          <w:color w:val="auto"/>
        </w:rPr>
        <w:t>800 Scudders Mills Road</w:t>
      </w:r>
    </w:p>
    <w:p>
      <w:pPr>
        <w:spacing w:after="0"/>
        <w:tabs>
          <w:tab w:leader="none" w:pos="2520" w:val="left"/>
        </w:tabs>
        <w:rPr>
          <w:sz w:val="20"/>
          <w:szCs w:val="20"/>
          <w:color w:val="auto"/>
        </w:rPr>
      </w:pPr>
      <w:r>
        <w:rPr>
          <w:rFonts w:ascii="Courier New" w:cs="Courier New" w:eastAsia="Courier New" w:hAnsi="Courier New"/>
          <w:sz w:val="18"/>
          <w:szCs w:val="18"/>
          <w:color w:val="auto"/>
        </w:rPr>
        <w:t>Plainsboro, New Jersey</w:t>
      </w:r>
      <w:r>
        <w:rPr>
          <w:sz w:val="20"/>
          <w:szCs w:val="20"/>
          <w:color w:val="auto"/>
        </w:rPr>
        <w:tab/>
      </w:r>
      <w:r>
        <w:rPr>
          <w:rFonts w:ascii="Courier New" w:cs="Courier New" w:eastAsia="Courier New" w:hAnsi="Courier New"/>
          <w:sz w:val="16"/>
          <w:szCs w:val="16"/>
          <w:color w:val="auto"/>
        </w:rPr>
        <w:t>08536</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Page 8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(c)</w:t>
      </w:r>
      <w:r>
        <w:rPr>
          <w:sz w:val="20"/>
          <w:szCs w:val="20"/>
          <w:color w:val="auto"/>
        </w:rPr>
        <w:tab/>
      </w:r>
      <w:r>
        <w:rPr>
          <w:rFonts w:ascii="Courier New" w:cs="Courier New" w:eastAsia="Courier New" w:hAnsi="Courier New"/>
          <w:sz w:val="16"/>
          <w:szCs w:val="16"/>
          <w:color w:val="auto"/>
        </w:rPr>
        <w:t>Citizenship:</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4 of Cover Pages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(d)</w:t>
      </w:r>
      <w:r>
        <w:rPr>
          <w:sz w:val="20"/>
          <w:szCs w:val="20"/>
          <w:color w:val="auto"/>
        </w:rPr>
        <w:tab/>
      </w:r>
      <w:r>
        <w:rPr>
          <w:rFonts w:ascii="Courier New" w:cs="Courier New" w:eastAsia="Courier New" w:hAnsi="Courier New"/>
          <w:sz w:val="16"/>
          <w:szCs w:val="16"/>
          <w:color w:val="auto"/>
        </w:rPr>
        <w:t>Title of Class of Securities: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 (e)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31374720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Merrill Lynch &amp; Co., Inc. ("ML&amp;Co."), Merrill Lynch Group, Inc. ("ML Group") and Princeton Services, Inc. ("PSI") are parent holding companies, in accordance with (S) 240.13d-1(b)(ii)(G) of the 1934 Act. Merrill Lynch Asset Management, L.P.(d/b/a) Merrill Lynch Asset Management ("MLAM") is an investment adviser registered under (S) 203 of the Investment Advisers Act of 1940 (the "Advisers Act"). Merrill Lynch Growth Fund (the "Fund") is an investment company registered under Section 8 of the Investment Company Act of 1940 (the "Investment Company Act").</w:t>
      </w:r>
    </w:p>
    <w:p>
      <w:pPr>
        <w:spacing w:after="0" w:line="207"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See Item 9 of Cover Pages. Pursuant to (S) 240.13d-4, ML&amp;Co., ML Group, PSI, and MLAM disclaim beneficial ownership of the securities of Federal Realty Investment Trust (the "Company") referred to herein, and the filing of this Schedule 13G shall not be construed as an admission that such persons are, for the purposes of Section 13(d) or 13(g) of the 1934 Act, the beneficial owner of any securities of the Company covered by this statement.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Cover Pages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1060" w:right="4839" w:hanging="525"/>
        <w:spacing w:after="0" w:line="470"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See Item 5 of Cover Pages</w:t>
      </w:r>
    </w:p>
    <w:p>
      <w:pPr>
        <w:spacing w:after="0" w:line="11" w:lineRule="exact"/>
        <w:rPr>
          <w:rFonts w:ascii="Courier New" w:cs="Courier New" w:eastAsia="Courier New" w:hAnsi="Courier New"/>
          <w:sz w:val="18"/>
          <w:szCs w:val="18"/>
          <w:color w:val="auto"/>
        </w:rPr>
      </w:pPr>
    </w:p>
    <w:p>
      <w:pPr>
        <w:ind w:left="1060" w:right="4619" w:hanging="631"/>
        <w:spacing w:after="0" w:line="470"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See Item 6 of the Cover Pages</w:t>
      </w:r>
    </w:p>
    <w:p>
      <w:pPr>
        <w:spacing w:after="0" w:line="11" w:lineRule="exact"/>
        <w:rPr>
          <w:rFonts w:ascii="Courier New" w:cs="Courier New" w:eastAsia="Courier New" w:hAnsi="Courier New"/>
          <w:sz w:val="18"/>
          <w:szCs w:val="18"/>
          <w:color w:val="auto"/>
        </w:rPr>
      </w:pPr>
    </w:p>
    <w:p>
      <w:pPr>
        <w:ind w:left="1060" w:right="3159" w:hanging="736"/>
        <w:spacing w:after="0" w:line="470"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of or to direct the disposition of: See Item 7 of Cover Pages</w:t>
      </w:r>
    </w:p>
    <w:p>
      <w:pPr>
        <w:sectPr>
          <w:pgSz w:w="11900" w:h="16838" w:orient="portrait"/>
          <w:cols w:equalWidth="0" w:num="1">
            <w:col w:w="10219"/>
          </w:cols>
          <w:pgMar w:left="240" w:top="7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Page 9 of 13 Pages</w:t>
      </w:r>
    </w:p>
    <w:p>
      <w:pPr>
        <w:spacing w:after="0" w:line="200" w:lineRule="exact"/>
        <w:rPr>
          <w:sz w:val="20"/>
          <w:szCs w:val="20"/>
          <w:color w:val="auto"/>
        </w:rPr>
      </w:pPr>
    </w:p>
    <w:p>
      <w:pPr>
        <w:spacing w:after="0" w:line="209" w:lineRule="exact"/>
        <w:rPr>
          <w:sz w:val="20"/>
          <w:szCs w:val="20"/>
          <w:color w:val="auto"/>
        </w:rPr>
      </w:pPr>
    </w:p>
    <w:p>
      <w:pPr>
        <w:ind w:left="1060" w:right="3259" w:hanging="631"/>
        <w:spacing w:after="0" w:line="470" w:lineRule="auto"/>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of or direct the disposition of: See Item 8 of Cover Pages</w:t>
      </w:r>
    </w:p>
    <w:p>
      <w:pPr>
        <w:spacing w:after="0" w:line="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MLAM is an investment adviser registered under Section 203 of the Advisers Act and acts as an investment adviser to several investment companies registered under Section 8 of the Investment Company Act of 1940 and private accounts. With respect to securities held by those investment companies and private accounts, several persons have the right to receive, or the power to direct the receipt of dividends from or the proceeds from the sale of, such securities. The Fund, a reporting person on this Schedule 13G for which MLAM serves as investment adviser, has an interest that relates to more than 5% of the class of securities reported herein.</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Acquired the Security Being Reported on by the Parent Holding Company.</w:t>
      </w:r>
    </w:p>
    <w:p>
      <w:pPr>
        <w:ind w:left="22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Page 10 of 13 Pages</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their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jc w:val="both"/>
        <w:ind w:right="209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14,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Andrea Lowenthal</w:t>
      </w:r>
    </w:p>
    <w:p>
      <w:pPr>
        <w:spacing w:after="0" w:line="201"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Andrea Lowenthal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Andrea Lowenthal</w:t>
      </w:r>
    </w:p>
    <w:p>
      <w:pPr>
        <w:spacing w:after="0" w:line="201"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Andrea Lowenthal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Andrea Lowenthal</w:t>
      </w:r>
    </w:p>
    <w:p>
      <w:pPr>
        <w:spacing w:after="0" w:line="201"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Andrea Lowenthal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Attorney-In-Fact***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319" w:firstLine="8"/>
        <w:spacing w:after="0" w:line="235" w:lineRule="auto"/>
        <w:tabs>
          <w:tab w:leader="none" w:pos="211"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B to this Schedule 13G.</w:t>
      </w:r>
    </w:p>
    <w:p>
      <w:pPr>
        <w:spacing w:after="0" w:line="208" w:lineRule="exact"/>
        <w:rPr>
          <w:sz w:val="20"/>
          <w:szCs w:val="20"/>
          <w:color w:val="auto"/>
        </w:rPr>
      </w:pPr>
    </w:p>
    <w:p>
      <w:pPr>
        <w:ind w:right="2199" w:firstLine="8"/>
        <w:spacing w:after="0" w:line="235" w:lineRule="auto"/>
        <w:tabs>
          <w:tab w:leader="none" w:pos="316"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17, 1995, included as Exhibit C to this Schedule 13G.</w:t>
      </w:r>
    </w:p>
    <w:p>
      <w:pPr>
        <w:spacing w:after="0" w:line="208" w:lineRule="exact"/>
        <w:rPr>
          <w:rFonts w:ascii="Courier New" w:cs="Courier New" w:eastAsia="Courier New" w:hAnsi="Courier New"/>
          <w:sz w:val="18"/>
          <w:szCs w:val="18"/>
          <w:color w:val="auto"/>
        </w:rPr>
      </w:pPr>
    </w:p>
    <w:p>
      <w:pPr>
        <w:ind w:right="2099" w:firstLine="8"/>
        <w:spacing w:after="0" w:line="235" w:lineRule="auto"/>
        <w:tabs>
          <w:tab w:leader="none" w:pos="421"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1995, included as Exhibit D to this Schedule 13G.</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of 13</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Pages</w:t>
            </w:r>
          </w:p>
        </w:tc>
      </w:tr>
      <w:tr>
        <w:trPr>
          <w:trHeight w:val="608"/>
        </w:trPr>
        <w:tc>
          <w:tcPr>
            <w:tcW w:w="800" w:type="dxa"/>
            <w:vAlign w:val="bottom"/>
          </w:tcPr>
          <w:p>
            <w:pPr>
              <w:spacing w:after="0"/>
              <w:rPr>
                <w:sz w:val="20"/>
                <w:szCs w:val="20"/>
                <w:color w:val="auto"/>
              </w:rPr>
            </w:pPr>
            <w:r>
              <w:rPr>
                <w:rFonts w:ascii="Courier New" w:cs="Courier New" w:eastAsia="Courier New" w:hAnsi="Courier New"/>
                <w:sz w:val="18"/>
                <w:szCs w:val="18"/>
                <w:color w:val="auto"/>
              </w:rPr>
              <w:t>Merrill</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Lynch</w:t>
            </w:r>
          </w:p>
        </w:tc>
        <w:tc>
          <w:tcPr>
            <w:tcW w:w="3420" w:type="dxa"/>
            <w:vAlign w:val="bottom"/>
          </w:tcPr>
          <w:p>
            <w:pPr>
              <w:ind w:left="40"/>
              <w:spacing w:after="0"/>
              <w:rPr>
                <w:sz w:val="20"/>
                <w:szCs w:val="20"/>
                <w:color w:val="auto"/>
              </w:rPr>
            </w:pPr>
            <w:r>
              <w:rPr>
                <w:rFonts w:ascii="Courier New" w:cs="Courier New" w:eastAsia="Courier New" w:hAnsi="Courier New"/>
                <w:sz w:val="18"/>
                <w:szCs w:val="18"/>
                <w:color w:val="auto"/>
              </w:rPr>
              <w:t>Asset Management, L.P.</w:t>
            </w:r>
          </w:p>
        </w:tc>
      </w:tr>
      <w:tr>
        <w:trPr>
          <w:trHeight w:val="203"/>
        </w:trPr>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By: Princeton</w:t>
            </w:r>
          </w:p>
        </w:tc>
        <w:tc>
          <w:tcPr>
            <w:tcW w:w="3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Services, Inc. (General Partner)</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Andrea Lowenthal</w:t>
      </w:r>
    </w:p>
    <w:p>
      <w:pPr>
        <w:spacing w:after="0" w:line="201"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4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Name: Andrea Lowenthal Title Attorney-In-Fact****</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Andrea Lowenthal</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Andrea Lowenthal</w:t>
      </w:r>
    </w:p>
    <w:p>
      <w:pPr>
        <w:spacing w:after="0" w:line="238" w:lineRule="auto"/>
        <w:tabs>
          <w:tab w:leader="none" w:pos="840" w:val="left"/>
        </w:tabs>
        <w:rPr>
          <w:sz w:val="20"/>
          <w:szCs w:val="20"/>
          <w:color w:val="auto"/>
        </w:rPr>
      </w:pPr>
      <w:r>
        <w:rPr>
          <w:rFonts w:ascii="Courier New" w:cs="Courier New" w:eastAsia="Courier New" w:hAnsi="Courier New"/>
          <w:sz w:val="18"/>
          <w:szCs w:val="18"/>
          <w:color w:val="auto"/>
        </w:rPr>
        <w:t>Title:</w:t>
        <w:tab/>
        <w:t>Attorney-In-Fact*****</w:t>
      </w:r>
    </w:p>
    <w:p>
      <w:pPr>
        <w:spacing w:after="0" w:line="207" w:lineRule="exact"/>
        <w:rPr>
          <w:sz w:val="20"/>
          <w:szCs w:val="20"/>
          <w:color w:val="auto"/>
        </w:rPr>
      </w:pPr>
    </w:p>
    <w:p>
      <w:pPr>
        <w:ind w:right="1999" w:firstLine="8"/>
        <w:spacing w:after="0" w:line="235" w:lineRule="auto"/>
        <w:tabs>
          <w:tab w:leader="none" w:pos="527"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November 30, 1995, included as Exhibit E to this Schedule 13G.</w:t>
      </w:r>
    </w:p>
    <w:p>
      <w:pPr>
        <w:spacing w:after="0" w:line="208" w:lineRule="exact"/>
        <w:rPr>
          <w:rFonts w:ascii="Courier New" w:cs="Courier New" w:eastAsia="Courier New" w:hAnsi="Courier New"/>
          <w:sz w:val="18"/>
          <w:szCs w:val="18"/>
          <w:color w:val="auto"/>
        </w:rPr>
      </w:pPr>
    </w:p>
    <w:p>
      <w:pPr>
        <w:ind w:right="2319" w:firstLine="8"/>
        <w:spacing w:after="0" w:line="235" w:lineRule="auto"/>
        <w:tabs>
          <w:tab w:leader="none" w:pos="632"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Signed pursuant to a power of attorney, dated July 11, 1997, included as Exhibit F to this Schedule 13G.</w:t>
      </w:r>
    </w:p>
    <w:p>
      <w:pPr>
        <w:sectPr>
          <w:pgSz w:w="11900" w:h="16838" w:orient="portrait"/>
          <w:cols w:equalWidth="0" w:num="1">
            <w:col w:w="10219"/>
          </w:cols>
          <w:pgMar w:left="240" w:top="717"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Page 12 of 13 Pages</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EXHIBIT A TO SCHEDULE 13G</w:t>
      </w:r>
    </w:p>
    <w:p>
      <w:pPr>
        <w:ind w:left="2000"/>
        <w:spacing w:after="0" w:line="238" w:lineRule="auto"/>
        <w:rPr>
          <w:sz w:val="20"/>
          <w:szCs w:val="20"/>
          <w:color w:val="auto"/>
        </w:rPr>
      </w:pPr>
      <w:r>
        <w:rPr>
          <w:rFonts w:ascii="Courier New" w:cs="Courier New" w:eastAsia="Courier New" w:hAnsi="Courier New"/>
          <w:sz w:val="18"/>
          <w:szCs w:val="18"/>
          <w:color w:val="auto"/>
        </w:rPr>
        <w:t>ITEM 7 DISCLOSURE RESPECTING SUBSIDIARIES</w:t>
      </w:r>
    </w:p>
    <w:p>
      <w:pPr>
        <w:ind w:left="190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Three of the persons filing this report, Merrill Lynch &amp; Co., Inc., a Delaware corporation with its principal place of business at World Financial Center, North Tower, 250 Vesey Street, New York, New York ("ML&amp;Co."), Merrill Lynch Group, Inc., a Delaware corporation with its principal place of business at World Financial Center, North Tower, 250 Vesey Street, New York, New York ("ML Group"), and Princeton Services, Inc. a Delaware corporation with its principal place of business at 800 Scudders Mill Road, Plainsboro, New Jersey, ("PSI"), are parent holding companies pursuant to (S)240 13d-1(b) (1) (ii) (G) of the Securities Exchange Act of 1934 (the "1934 Act"). Pursuant to the instructions in Item 7 of Schedule 13G, the relevant subsidiaries of ML&amp;Co. are Merrill Lynch, Pierce, Fenner &amp; Smith Incorporated, a Delaware corporation with its principal place of business at 250 Vesey Street, New York, New York, ("MLPF&amp;S"), ML Group and PSI. PSI is the general partner of Merrill Lynch Asset Management, L.P. (d/b/a) Merrill Lynch Asset Management ("MLAM"). The relevant subsidiary of ML Group is PSI.</w:t>
      </w:r>
    </w:p>
    <w:p>
      <w:pPr>
        <w:spacing w:after="0" w:line="208"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ML&amp;Co. may be deemed to be the beneficial owner of certain of the reported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of Federal Realty Investment Trust (the "Company") held by 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deemed to be beneficially owned by its control of its wholly-owned subsidiaries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MLPF&amp;S and ML Group.</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MLPF&amp;S, a broker-dealer registered under Section 15 of the 1934 Act, and a wholly-owned subsidiary of ML&amp;Co., may be deemed to be the beneficial owner of certain of the reported securities of the Company held by unit investment trusts for which MLPF&amp;S is the sponsor.</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ML Group, a wholly-owned direct subsidiary of ML&amp;Co., may be deemed to be the beneficial owner of certain of the reported securities of the Company by virtue of its control of (ii) its wholly-owned subsidiary, PSI and (ii) one or more Merrill Lynch trust companies, each of which is a wholly-owned subsidiary of ML Group and a bank as defined in Section 3(a)(6) of the 1934 Act.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One or more Merrill Lynch trust companies or institutions, each of which is a bank as defined in Section 3(a)(6) of the 1934 Act, may be deemed the beneficial owner of certian of the reported securities of the Company held by customers in accounts over which such companies or institutions has discretionary authority.</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PSI, a wholly-owned direct subsidiary of ML Group, may be deemed to be the beneficial owner of certain of the reported securities of the company by virtue of its being the general partner of MLAM.</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MLAM, a Delaware limited partnership with its principal place of business</w:t>
      </w:r>
    </w:p>
    <w:p>
      <w:pPr>
        <w:spacing w:after="0" w:line="238" w:lineRule="auto"/>
        <w:rPr>
          <w:sz w:val="20"/>
          <w:szCs w:val="20"/>
          <w:color w:val="auto"/>
        </w:rPr>
      </w:pPr>
      <w:r>
        <w:rPr>
          <w:rFonts w:ascii="Courier New" w:cs="Courier New" w:eastAsia="Courier New" w:hAnsi="Courier New"/>
          <w:sz w:val="18"/>
          <w:szCs w:val="18"/>
          <w:color w:val="auto"/>
        </w:rPr>
        <w:t>at 800 Scudders Mill Road, Plainsboro, New Jersey, is an investment adviser</w:t>
      </w:r>
    </w:p>
    <w:p>
      <w:pPr>
        <w:spacing w:after="0"/>
        <w:tabs>
          <w:tab w:leader="none" w:pos="7360" w:val="left"/>
        </w:tabs>
        <w:rPr>
          <w:sz w:val="20"/>
          <w:szCs w:val="20"/>
          <w:color w:val="auto"/>
        </w:rPr>
      </w:pPr>
      <w:r>
        <w:rPr>
          <w:rFonts w:ascii="Courier New" w:cs="Courier New" w:eastAsia="Courier New" w:hAnsi="Courier New"/>
          <w:sz w:val="18"/>
          <w:szCs w:val="18"/>
          <w:color w:val="auto"/>
        </w:rPr>
        <w:t>registered under Section 203 of the Investment Advisers Act of 1940.</w:t>
      </w:r>
      <w:r>
        <w:rPr>
          <w:sz w:val="20"/>
          <w:szCs w:val="20"/>
          <w:color w:val="auto"/>
        </w:rPr>
        <w:tab/>
      </w:r>
      <w:r>
        <w:rPr>
          <w:rFonts w:ascii="Courier New" w:cs="Courier New" w:eastAsia="Courier New" w:hAnsi="Courier New"/>
          <w:sz w:val="16"/>
          <w:szCs w:val="16"/>
          <w:color w:val="auto"/>
        </w:rPr>
        <w:t>MLAM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be deemed to be the beneficial owner of certain of the reported securities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Company as a result of acting as investment adviser to one or more</w:t>
      </w:r>
    </w:p>
    <w:p>
      <w:pPr>
        <w:spacing w:after="0" w:line="238" w:lineRule="auto"/>
        <w:rPr>
          <w:sz w:val="20"/>
          <w:szCs w:val="20"/>
          <w:color w:val="auto"/>
        </w:rPr>
      </w:pPr>
      <w:r>
        <w:rPr>
          <w:rFonts w:ascii="Courier New" w:cs="Courier New" w:eastAsia="Courier New" w:hAnsi="Courier New"/>
          <w:sz w:val="18"/>
          <w:szCs w:val="18"/>
          <w:color w:val="auto"/>
        </w:rPr>
        <w:t>investment companies registered under Section 8 of the Investment Company Act</w:t>
      </w:r>
    </w:p>
    <w:p>
      <w:pPr>
        <w:spacing w:after="0"/>
        <w:rPr>
          <w:sz w:val="20"/>
          <w:szCs w:val="20"/>
          <w:color w:val="auto"/>
        </w:rPr>
      </w:pPr>
      <w:r>
        <w:rPr>
          <w:rFonts w:ascii="Courier New" w:cs="Courier New" w:eastAsia="Courier New" w:hAnsi="Courier New"/>
          <w:sz w:val="18"/>
          <w:szCs w:val="18"/>
          <w:color w:val="auto"/>
        </w:rPr>
        <w:t>and/or to one or more private accounts.</w:t>
      </w:r>
    </w:p>
    <w:p>
      <w:pPr>
        <w:spacing w:after="0" w:line="206"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One registered investment company advised by MLAM, Merrill Lynch Growth Fund, is the beneficial owner of certain of the reported securities of the Company and is a reporting person.</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Pursuant to (S)240.13d-4 of the 1934 Act, ML&amp;Co., ML Group, PSI and MLAM disclaim beneficial ownership of the securities of the Company reported herein, and the filing of this Schedule 13G shall not be construed as an admission that any such entity is, for the purposes of Section 13(d) or 13(g) of the 1934 Act, the beneficial owner of any securities of the Company.</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Page 13 of 13 Pages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B</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&amp; Co., Inc. (the "Corporation"), a corporation duly organized under the laws of the State of Delaware, with its principal place of business at World Financial Center, North Tower, New York, New York, 10281, does hereby make, constitute and appoint Andrea Lowenthal,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w:t>
      </w:r>
    </w:p>
    <w:p>
      <w:pPr>
        <w:spacing w:after="0" w:line="193" w:lineRule="exact"/>
        <w:rPr>
          <w:rFonts w:ascii="Courier New" w:cs="Courier New" w:eastAsia="Courier New" w:hAnsi="Courier New"/>
          <w:sz w:val="16"/>
          <w:szCs w:val="16"/>
          <w:color w:val="auto"/>
        </w:rPr>
      </w:pPr>
    </w:p>
    <w:p>
      <w:pPr>
        <w:ind w:right="209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undersigned could do if personally present. This Power of Attorney shall remain in effect until revoked, in writing, by the undersigned.</w:t>
      </w:r>
    </w:p>
    <w:p>
      <w:pPr>
        <w:spacing w:after="0" w:line="17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&amp; CO.,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H. Komansky</w:t>
      </w:r>
    </w:p>
    <w:p>
      <w:pPr>
        <w:ind w:left="220" w:hanging="212"/>
        <w:spacing w:after="0" w:line="238" w:lineRule="auto"/>
        <w:tabs>
          <w:tab w:leader="none" w:pos="2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David H. Komansky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President and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EXHIBIT C</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68" w:lineRule="auto"/>
        <w:rPr>
          <w:sz w:val="20"/>
          <w:szCs w:val="20"/>
          <w:color w:val="auto"/>
        </w:rPr>
      </w:pPr>
      <w:r>
        <w:rPr>
          <w:rFonts w:ascii="Courier New" w:cs="Courier New" w:eastAsia="Courier New" w:hAnsi="Courier New"/>
          <w:sz w:val="16"/>
          <w:szCs w:val="16"/>
          <w:color w:val="auto"/>
        </w:rPr>
        <w:t>The undersigned, Merrill Lynch Group, Inc. (the "Corporation"), a corporation duly organized under the laws of the State of Delaware, with its principal place of business at World Financial Center, North Tower, New York, New York, 10281, does hereby make, constitute and appoint Andrea Lowenthal, Richard D. Kreuder, Andrea Lowenthal, Gregory T. Russo, or any other individual from time to time elected or appointed as Secretary or an Assistant Secretary of the Corporation, acting severally, each of whose address is Merrill Lynch</w:t>
      </w:r>
    </w:p>
    <w:p>
      <w:pPr>
        <w:spacing w:after="0" w:line="1" w:lineRule="exact"/>
        <w:rPr>
          <w:sz w:val="20"/>
          <w:szCs w:val="20"/>
          <w:color w:val="auto"/>
        </w:rPr>
      </w:pPr>
    </w:p>
    <w:p>
      <w:pPr>
        <w:jc w:val="both"/>
        <w:ind w:right="1999" w:firstLine="8"/>
        <w:spacing w:after="0" w:line="268" w:lineRule="auto"/>
        <w:tabs>
          <w:tab w:leader="none" w:pos="211"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w:t>
      </w: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 to execute on behalf of the Corporation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(ii) to execute on behalf of the Corporation and cause to be filed and/or delivered, any number, as appropriate, of original, copies or electronic filings of any forms (inclu-</w:t>
      </w:r>
    </w:p>
    <w:p>
      <w:pPr>
        <w:sectPr>
          <w:pgSz w:w="11900" w:h="16838" w:orient="portrait"/>
          <w:cols w:equalWidth="0" w:num="1">
            <w:col w:w="10219"/>
          </w:cols>
          <w:pgMar w:left="240" w:top="717" w:right="1440" w:bottom="0" w:gutter="0" w:footer="0" w:header="0"/>
        </w:sectPr>
      </w:pPr>
    </w:p>
    <w:bookmarkStart w:id="13" w:name="page14"/>
    <w:bookmarkEnd w:id="13"/>
    <w:p>
      <w:pPr>
        <w:ind w:right="2099"/>
        <w:spacing w:after="0" w:line="272" w:lineRule="auto"/>
        <w:rPr>
          <w:sz w:val="20"/>
          <w:szCs w:val="20"/>
          <w:color w:val="auto"/>
        </w:rPr>
      </w:pPr>
      <w:r>
        <w:rPr>
          <w:rFonts w:ascii="Courier New" w:cs="Courier New" w:eastAsia="Courier New" w:hAnsi="Courier New"/>
          <w:sz w:val="16"/>
          <w:szCs w:val="16"/>
          <w:color w:val="auto"/>
        </w:rPr>
        <w:t>ding, without limitation, Securities and Exchange Commission Form 3, 4 and 5) required to be filed pursuant to Section 16(a) of the Act and the regulations thereunder, and (iii)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186"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17th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GROUP,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Rosemary T. Berkery</w:t>
      </w:r>
    </w:p>
    <w:p>
      <w:pPr>
        <w:ind w:left="220" w:hanging="212"/>
        <w:spacing w:after="0" w:line="238" w:lineRule="auto"/>
        <w:tabs>
          <w:tab w:leader="none" w:pos="2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Rosemary T. Berkery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Vice President and Director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D</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The undersigned, Princeton Services Inc., a corporation duly organized under the laws of the State of Delaware, with its principal place of business at 800 Scudders Mill Road, Plainsboro, New Jersey 08536 does hereby make, constitute and appoint Andrea Lowenthal,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PRINCETON SERVICES INC.</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36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E</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undersigned, Merrill Lynch Asset Management, L.P. d/b/a Merrill Lynch Asset Management, a Limited Partnership duly organized under the laws of the State of Delaware, with its principal place of business at 800 Scudders Mill Road, Plainsboro, New Jersey 08536 does hereby make, constitute and appoint Andrea Lowenthal, Andrea Lowenthal, Richard D. Kreuder, Gregory T. Russo,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Dauna R. Williams, acting severally, each of whose address is Merrill Lynch</w:t>
      </w:r>
    </w:p>
    <w:p>
      <w:pPr>
        <w:spacing w:after="0" w:line="21" w:lineRule="exact"/>
        <w:rPr>
          <w:sz w:val="20"/>
          <w:szCs w:val="20"/>
          <w:color w:val="auto"/>
        </w:rPr>
      </w:pPr>
    </w:p>
    <w:p>
      <w:pPr>
        <w:ind w:right="1999" w:firstLine="8"/>
        <w:spacing w:after="0" w:line="272" w:lineRule="auto"/>
        <w:tabs>
          <w:tab w:leader="none" w:pos="21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w:t>
      </w:r>
    </w:p>
    <w:p>
      <w:pPr>
        <w:sectPr>
          <w:pgSz w:w="11900" w:h="16838" w:orient="portrait"/>
          <w:cols w:equalWidth="0" w:num="1">
            <w:col w:w="10219"/>
          </w:cols>
          <w:pgMar w:left="240" w:top="142" w:right="1440" w:bottom="0" w:gutter="0" w:footer="0" w:header="0"/>
        </w:sectPr>
      </w:pPr>
    </w:p>
    <w:bookmarkStart w:id="14" w:name="page15"/>
    <w:bookmarkEnd w:id="14"/>
    <w:p>
      <w:pPr>
        <w:ind w:right="1879"/>
        <w:spacing w:after="0" w:line="237" w:lineRule="auto"/>
        <w:rPr>
          <w:sz w:val="20"/>
          <w:szCs w:val="20"/>
          <w:color w:val="auto"/>
        </w:rPr>
      </w:pPr>
      <w:r>
        <w:rPr>
          <w:rFonts w:ascii="Courier New" w:cs="Courier New" w:eastAsia="Courier New" w:hAnsi="Courier New"/>
          <w:sz w:val="18"/>
          <w:szCs w:val="18"/>
          <w:color w:val="auto"/>
        </w:rPr>
        <w:t>13G Beneficial Ownership Reports (together with any amendments and joint filing agreements under Rule 13d-1(f) (1)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5"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30th day of November, 1995.</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Asset Management, L.P.</w:t>
      </w:r>
    </w:p>
    <w:p>
      <w:pPr>
        <w:spacing w:after="0" w:line="238" w:lineRule="auto"/>
        <w:rPr>
          <w:sz w:val="20"/>
          <w:szCs w:val="20"/>
          <w:color w:val="auto"/>
        </w:rPr>
      </w:pPr>
      <w:r>
        <w:rPr>
          <w:rFonts w:ascii="Courier New" w:cs="Courier New" w:eastAsia="Courier New" w:hAnsi="Courier New"/>
          <w:sz w:val="18"/>
          <w:szCs w:val="18"/>
          <w:color w:val="auto"/>
        </w:rPr>
        <w:t>d/b/a Merrill Lynch Asset Management</w:t>
      </w:r>
    </w:p>
    <w:p>
      <w:pPr>
        <w:spacing w:after="0"/>
        <w:rPr>
          <w:sz w:val="20"/>
          <w:szCs w:val="20"/>
          <w:color w:val="auto"/>
        </w:rPr>
      </w:pPr>
      <w:r>
        <w:rPr>
          <w:rFonts w:ascii="Courier New" w:cs="Courier New" w:eastAsia="Courier New" w:hAnsi="Courier New"/>
          <w:sz w:val="18"/>
          <w:szCs w:val="18"/>
          <w:color w:val="auto"/>
        </w:rPr>
        <w:t>By: Princeton Services, Inc., General Partner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Philip L. Kirstein</w:t>
      </w:r>
    </w:p>
    <w:p>
      <w:pPr>
        <w:ind w:left="220" w:hanging="212"/>
        <w:spacing w:after="0" w:line="238" w:lineRule="auto"/>
        <w:tabs>
          <w:tab w:leader="none" w:pos="22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Philip L. Kirstein</w:t>
      </w:r>
    </w:p>
    <w:p>
      <w:pPr>
        <w:spacing w:after="0" w:line="4" w:lineRule="exact"/>
        <w:rPr>
          <w:rFonts w:ascii="Courier New" w:cs="Courier New" w:eastAsia="Courier New" w:hAnsi="Courier New"/>
          <w:sz w:val="18"/>
          <w:szCs w:val="18"/>
          <w:color w:val="auto"/>
        </w:rPr>
      </w:pPr>
    </w:p>
    <w:p>
      <w:pPr>
        <w:jc w:val="right"/>
        <w:ind w:left="960" w:right="6199" w:hanging="948"/>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Title: Director, Senior Vice President Secretary and General Counsel</w:t>
      </w:r>
    </w:p>
    <w:p>
      <w:pPr>
        <w:spacing w:after="0" w:line="200" w:lineRule="exact"/>
        <w:rPr>
          <w:sz w:val="20"/>
          <w:szCs w:val="20"/>
          <w:color w:val="auto"/>
        </w:rPr>
      </w:pPr>
    </w:p>
    <w:p>
      <w:pPr>
        <w:spacing w:after="0" w:line="36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F</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undersigned, Merrill Lynch Growth Fund</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 business trust duly organized under the laws of the Commonwealth of Massachusetts, with its principal place of business at 800 Scudders Mill Road, Plainsboro, New Jersey 08536 does hereby make, constitute and appoint Richard B. Alsop, Andrea Lowenthal, Richard D. Kreuder, Gregory T. Russo, or Dauna R. Williams, acting severally, each of whose address is Merrill Lynch &amp; Co., Inc., World Financial Center, North Tower, New York, New York 10281, as its true and lawful attorneys-in-fact, for it and in its name, place and stead to execute and cause to be filed and/or delivered, as required under Section 13(d) of the Securities Exchange Act of 1934 (the "Act") and the regulations thereunder, any number, as appropriate, of original, copies, or electronic filings of the Securities and Exchange Commission Schedule 13D or Schedule 13G Beneficial Ownership Reports (together with any amendments and joint filing agreements under Rule 13d-1(f)(1) of the Act, as may be required thereto) to be filed and/or delivered with respect to any equity security (as defined in Rule 13d-1(d) under the Act) beneficially owned by the undersigned and which must be reported by the undersigned pursuant to Section 13(d) of the Act and the regulations thereunder, and generally to take such other actions and perform such other things necessary to effectuate the foregoing as fully in all respects as if the undersigned could do if personally present. This Power of Attorney shall remain in effect until revoked, in writing, by the undersigned.</w:t>
      </w:r>
    </w:p>
    <w:p>
      <w:pPr>
        <w:spacing w:after="0" w:line="210"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this 11th day of July, 1997.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MERRILL LYNCH GROWTH FUND</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/s/Ira P. Shapiro</w:t>
      </w:r>
    </w:p>
    <w:p>
      <w:pPr>
        <w:ind w:left="220" w:hanging="212"/>
        <w:spacing w:after="0" w:line="238" w:lineRule="auto"/>
        <w:tabs>
          <w:tab w:leader="none" w:pos="2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Ira P. Shapiro</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lowerLetter"/>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6"/>
    </w:lvl>
  </w:abstractNum>
  <w:abstractNum w:abstractNumId="7">
    <w:nsid w:val="2CA88611"/>
    <w:multiLevelType w:val="hybridMultilevel"/>
    <w:lvl w:ilvl="0">
      <w:lvlJc w:val="left"/>
      <w:lvlText w:val="%1."/>
      <w:numFmt w:val="decimal"/>
      <w:start w:val="12"/>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decimal"/>
      <w:start w:val="3"/>
    </w:lvl>
  </w:abstractNum>
  <w:abstractNum w:abstractNumId="11">
    <w:nsid w:val="8138641"/>
    <w:multiLevelType w:val="hybridMultilevel"/>
    <w:lvl w:ilvl="0">
      <w:lvlJc w:val="left"/>
      <w:lvlText w:val="%1."/>
      <w:numFmt w:val="decimal"/>
      <w:start w:val="6"/>
    </w:lvl>
  </w:abstractNum>
  <w:abstractNum w:abstractNumId="12">
    <w:nsid w:val="1E7FF521"/>
    <w:multiLevelType w:val="hybridMultilevel"/>
    <w:lvl w:ilvl="0">
      <w:lvlJc w:val="left"/>
      <w:lvlText w:val="%1."/>
      <w:numFmt w:val="decimal"/>
      <w:start w:val="12"/>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decimal"/>
      <w:start w:val="3"/>
    </w:lvl>
  </w:abstractNum>
  <w:abstractNum w:abstractNumId="16">
    <w:nsid w:val="22221A70"/>
    <w:multiLevelType w:val="hybridMultilevel"/>
    <w:lvl w:ilvl="0">
      <w:lvlJc w:val="left"/>
      <w:lvlText w:val="%1."/>
      <w:numFmt w:val="decimal"/>
      <w:start w:val="6"/>
    </w:lvl>
  </w:abstractNum>
  <w:abstractNum w:abstractNumId="17">
    <w:nsid w:val="4516DDE9"/>
    <w:multiLevelType w:val="hybridMultilevel"/>
    <w:lvl w:ilvl="0">
      <w:lvlJc w:val="left"/>
      <w:lvlText w:val="%1."/>
      <w:numFmt w:val="decimal"/>
      <w:start w:val="12"/>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2"/>
    </w:lvl>
  </w:abstractNum>
  <w:abstractNum w:abstractNumId="20">
    <w:nsid w:val="419AC241"/>
    <w:multiLevelType w:val="hybridMultilevel"/>
    <w:lvl w:ilvl="0">
      <w:lvlJc w:val="left"/>
      <w:lvlText w:val="(%1)"/>
      <w:numFmt w:val="lowerLetter"/>
      <w:start w:val="1"/>
    </w:lvl>
  </w:abstractNum>
  <w:abstractNum w:abstractNumId="21">
    <w:nsid w:val="5577F8E1"/>
    <w:multiLevelType w:val="hybridMultilevel"/>
    <w:lvl w:ilvl="0">
      <w:lvlJc w:val="left"/>
      <w:lvlText w:val="%1."/>
      <w:numFmt w:val="decimal"/>
      <w:start w:val="3"/>
    </w:lvl>
  </w:abstractNum>
  <w:abstractNum w:abstractNumId="22">
    <w:nsid w:val="440BADFC"/>
    <w:multiLevelType w:val="hybridMultilevel"/>
    <w:lvl w:ilvl="0">
      <w:lvlJc w:val="left"/>
      <w:lvlText w:val="%1."/>
      <w:numFmt w:val="decimal"/>
      <w:start w:val="6"/>
    </w:lvl>
  </w:abstractNum>
  <w:abstractNum w:abstractNumId="23">
    <w:nsid w:val="5072367"/>
    <w:multiLevelType w:val="hybridMultilevel"/>
    <w:lvl w:ilvl="0">
      <w:lvlJc w:val="left"/>
      <w:lvlText w:val="%1."/>
      <w:numFmt w:val="decimal"/>
      <w:start w:val="12"/>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lowerLetter"/>
      <w:start w:val="1"/>
    </w:lvl>
  </w:abstractNum>
  <w:abstractNum w:abstractNumId="26">
    <w:nsid w:val="7724C67E"/>
    <w:multiLevelType w:val="hybridMultilevel"/>
    <w:lvl w:ilvl="0">
      <w:lvlJc w:val="left"/>
      <w:lvlText w:val="%1."/>
      <w:numFmt w:val="decimal"/>
      <w:start w:val="3"/>
    </w:lvl>
  </w:abstractNum>
  <w:abstractNum w:abstractNumId="27">
    <w:nsid w:val="5C482A97"/>
    <w:multiLevelType w:val="hybridMultilevel"/>
    <w:lvl w:ilvl="0">
      <w:lvlJc w:val="left"/>
      <w:lvlText w:val="%1."/>
      <w:numFmt w:val="decimal"/>
      <w:start w:val="6"/>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2"/>
    </w:lvl>
    <w:lvl w:ilvl="1">
      <w:lvlJc w:val="left"/>
      <w:lvlText w:val="(%2)"/>
      <w:numFmt w:val="lowerRoman"/>
      <w:start w:val="1"/>
    </w:lvl>
  </w:abstractNum>
  <w:abstractNum w:abstractNumId="30">
    <w:nsid w:val="51EAD36B"/>
    <w:multiLevelType w:val="hybridMultilevel"/>
    <w:lvl w:ilvl="0">
      <w:lvlJc w:val="left"/>
      <w:lvlText w:val="(%1)"/>
      <w:numFmt w:val="lowerRoman"/>
      <w:start w:val="4"/>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amp;"/>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amp;"/>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amp;"/>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2019-12-13T01:00:28Z</dcterms:created>
  <dcterms:modified xsi:type="dcterms:W3CDTF">2019-12-13T01:00:28Z</dcterms:modified>
</cp:coreProperties>
</file>