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333-135159</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32406B"/>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32406B"/>
        </w:rPr>
        <w:t>(To Prospectus Dated June 20, 2006)</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32406B"/>
        </w:rPr>
        <w:t>2,000,000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114300</wp:posOffset>
            </wp:positionV>
            <wp:extent cx="214376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32406B"/>
        </w:rPr>
        <w:t>Common Shares of Beneficial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1334135</wp:posOffset>
            </wp:positionH>
            <wp:positionV relativeFrom="paragraph">
              <wp:posOffset>169545</wp:posOffset>
            </wp:positionV>
            <wp:extent cx="4511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1104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32406B"/>
        </w:rPr>
        <w:t>We are offering 2,000,000 of our common shares of beneficial interest. Our common shares are listed on the New York Stock Exchange under the symbol “FRT.” On December 20, 2007, the last reported sale price of our common shares on the New York Stock Exchange was $81.25 per share.</w:t>
      </w:r>
    </w:p>
    <w:p>
      <w:pPr>
        <w:spacing w:after="0" w:line="66" w:lineRule="exact"/>
        <w:rPr>
          <w:sz w:val="24"/>
          <w:szCs w:val="24"/>
          <w:color w:val="auto"/>
        </w:rPr>
      </w:pPr>
    </w:p>
    <w:p>
      <w:pPr>
        <w:ind w:right="140"/>
        <w:spacing w:after="0" w:line="256" w:lineRule="auto"/>
        <w:rPr>
          <w:sz w:val="20"/>
          <w:szCs w:val="20"/>
          <w:color w:val="auto"/>
        </w:rPr>
      </w:pPr>
      <w:r>
        <w:rPr>
          <w:rFonts w:ascii="Arial" w:cs="Arial" w:eastAsia="Arial" w:hAnsi="Arial"/>
          <w:sz w:val="22"/>
          <w:szCs w:val="22"/>
          <w:b w:val="1"/>
          <w:bCs w:val="1"/>
          <w:color w:val="32406B"/>
        </w:rPr>
        <w:t>Investing in our common shares involves risks. See “Risk Factors” in our Annual Report on Form 10-K filed with the SEC on March 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180975</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80"/>
              <w:spacing w:after="0"/>
              <w:rPr>
                <w:sz w:val="20"/>
                <w:szCs w:val="20"/>
                <w:color w:val="auto"/>
              </w:rPr>
            </w:pPr>
            <w:r>
              <w:rPr>
                <w:rFonts w:ascii="Arial" w:cs="Arial" w:eastAsia="Arial" w:hAnsi="Arial"/>
                <w:sz w:val="14"/>
                <w:szCs w:val="14"/>
                <w:b w:val="1"/>
                <w:bCs w:val="1"/>
                <w:color w:val="32406B"/>
              </w:rPr>
              <w:t>Per</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1"/>
        </w:trPr>
        <w:tc>
          <w:tcPr>
            <w:tcW w:w="4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32406B"/>
                <w:w w:val="82"/>
              </w:rPr>
              <w:t>Share</w:t>
            </w: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32406B"/>
              </w:rPr>
              <w:t>Total</w:t>
            </w:r>
          </w:p>
        </w:tc>
      </w:tr>
      <w:tr>
        <w:trPr>
          <w:trHeight w:val="210"/>
        </w:trPr>
        <w:tc>
          <w:tcPr>
            <w:tcW w:w="4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32406B"/>
              </w:rPr>
              <w:t>Public offering price</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3"/>
              </w:rPr>
              <w:t>81.21</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1"/>
              </w:rPr>
              <w:t>162,420,000</w:t>
            </w:r>
          </w:p>
        </w:tc>
      </w:tr>
      <w:tr>
        <w:trPr>
          <w:trHeight w:val="216"/>
        </w:trPr>
        <w:tc>
          <w:tcPr>
            <w:tcW w:w="4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32406B"/>
              </w:rPr>
              <w:t>Underwriting discount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440" w:type="dxa"/>
            <w:vAlign w:val="bottom"/>
          </w:tcPr>
          <w:p>
            <w:pPr>
              <w:jc w:val="right"/>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c>
          <w:tcPr>
            <w:tcW w:w="940" w:type="dxa"/>
            <w:vAlign w:val="bottom"/>
          </w:tcPr>
          <w:p>
            <w:pPr>
              <w:jc w:val="right"/>
              <w:spacing w:after="0"/>
              <w:rPr>
                <w:sz w:val="20"/>
                <w:szCs w:val="20"/>
                <w:color w:val="auto"/>
              </w:rPr>
            </w:pPr>
            <w:r>
              <w:rPr>
                <w:rFonts w:ascii="Arial" w:cs="Arial" w:eastAsia="Arial" w:hAnsi="Arial"/>
                <w:sz w:val="18"/>
                <w:szCs w:val="18"/>
                <w:color w:val="32406B"/>
              </w:rPr>
              <w:t>—</w:t>
            </w: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32406B"/>
              </w:rPr>
              <w:t>Proceeds, before expenses, to Federal Realty</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3"/>
              </w:rPr>
              <w:t>81.21</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1"/>
              </w:rPr>
              <w:t>162,420,000</w:t>
            </w:r>
          </w:p>
        </w:tc>
      </w:tr>
      <w:tr>
        <w:trPr>
          <w:trHeight w:val="376"/>
        </w:trPr>
        <w:tc>
          <w:tcPr>
            <w:tcW w:w="6700" w:type="dxa"/>
            <w:vAlign w:val="bottom"/>
            <w:gridSpan w:val="2"/>
          </w:tcPr>
          <w:p>
            <w:pPr>
              <w:spacing w:after="0"/>
              <w:rPr>
                <w:sz w:val="20"/>
                <w:szCs w:val="20"/>
                <w:color w:val="auto"/>
              </w:rPr>
            </w:pPr>
            <w:r>
              <w:rPr>
                <w:rFonts w:ascii="Arial" w:cs="Arial" w:eastAsia="Arial" w:hAnsi="Arial"/>
                <w:sz w:val="18"/>
                <w:szCs w:val="18"/>
                <w:color w:val="32406B"/>
              </w:rPr>
              <w:t>Delivery of the common shares will be made on or about December 27, 2007.</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50" w:lineRule="exact"/>
        <w:rPr>
          <w:sz w:val="24"/>
          <w:szCs w:val="24"/>
          <w:color w:val="auto"/>
        </w:rPr>
      </w:pPr>
    </w:p>
    <w:p>
      <w:pPr>
        <w:ind w:right="460" w:firstLine="456"/>
        <w:spacing w:after="0" w:line="262" w:lineRule="auto"/>
        <w:rPr>
          <w:sz w:val="20"/>
          <w:szCs w:val="20"/>
          <w:color w:val="auto"/>
        </w:rPr>
      </w:pPr>
      <w:r>
        <w:rPr>
          <w:rFonts w:ascii="Arial" w:cs="Arial" w:eastAsia="Arial" w:hAnsi="Arial"/>
          <w:sz w:val="18"/>
          <w:szCs w:val="18"/>
          <w:b w:val="1"/>
          <w:bCs w:val="1"/>
          <w:color w:val="32406B"/>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187325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32406B"/>
        </w:rPr>
        <w:t>Joint Book-Running Managers</w:t>
      </w:r>
    </w:p>
    <w:p>
      <w:pPr>
        <w:sectPr>
          <w:pgSz w:w="11900" w:h="16838" w:orient="portrait"/>
          <w:cols w:equalWidth="0" w:num="1">
            <w:col w:w="11420"/>
          </w:cols>
          <w:pgMar w:left="240" w:top="233" w:right="239" w:bottom="1440" w:gutter="0" w:footer="0" w:header="0"/>
        </w:sectPr>
      </w:pPr>
    </w:p>
    <w:p>
      <w:pPr>
        <w:spacing w:after="0" w:line="179" w:lineRule="exact"/>
        <w:rPr>
          <w:sz w:val="24"/>
          <w:szCs w:val="24"/>
          <w:color w:val="auto"/>
        </w:rPr>
      </w:pPr>
    </w:p>
    <w:p>
      <w:pPr>
        <w:spacing w:after="0"/>
        <w:rPr>
          <w:sz w:val="20"/>
          <w:szCs w:val="20"/>
          <w:color w:val="auto"/>
        </w:rPr>
      </w:pPr>
      <w:r>
        <w:rPr>
          <w:rFonts w:ascii="Arial" w:cs="Arial" w:eastAsia="Arial" w:hAnsi="Arial"/>
          <w:sz w:val="31"/>
          <w:szCs w:val="31"/>
          <w:b w:val="1"/>
          <w:bCs w:val="1"/>
          <w:color w:val="32406B"/>
        </w:rPr>
        <w:t>Merrill Lynch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323215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28"/>
          <w:szCs w:val="28"/>
          <w:b w:val="1"/>
          <w:bCs w:val="1"/>
          <w:color w:val="32406B"/>
        </w:rPr>
        <w:t>Wachovia Securities</w:t>
      </w:r>
    </w:p>
    <w:p>
      <w:pPr>
        <w:spacing w:after="0" w:line="234" w:lineRule="exact"/>
        <w:rPr>
          <w:sz w:val="24"/>
          <w:szCs w:val="24"/>
          <w:color w:val="auto"/>
        </w:rPr>
      </w:pPr>
    </w:p>
    <w:p>
      <w:pPr>
        <w:sectPr>
          <w:pgSz w:w="11900" w:h="16838" w:orient="portrait"/>
          <w:cols w:equalWidth="0" w:num="2">
            <w:col w:w="7900" w:space="720"/>
            <w:col w:w="2800"/>
          </w:cols>
          <w:pgMar w:left="240" w:top="233" w:right="239" w:bottom="144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32406B"/>
        </w:rPr>
        <w:t>The date of this prospectus supplement is December 20, 2007.</w:t>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CALCULATION OF REGISTRATION FEE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44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60" w:type="dxa"/>
            <w:vAlign w:val="bottom"/>
            <w:vMerge w:val="restart"/>
          </w:tcPr>
          <w:p>
            <w:pPr>
              <w:jc w:val="center"/>
              <w:ind w:left="487"/>
              <w:spacing w:after="0"/>
              <w:rPr>
                <w:sz w:val="20"/>
                <w:szCs w:val="20"/>
                <w:color w:val="auto"/>
              </w:rPr>
            </w:pPr>
            <w:r>
              <w:rPr>
                <w:rFonts w:ascii="Arial" w:cs="Arial" w:eastAsia="Arial" w:hAnsi="Arial"/>
                <w:sz w:val="14"/>
                <w:szCs w:val="14"/>
                <w:b w:val="1"/>
                <w:bCs w:val="1"/>
                <w:color w:val="auto"/>
                <w:w w:val="86"/>
              </w:rPr>
              <w:t>Amount</w:t>
            </w:r>
          </w:p>
        </w:tc>
        <w:tc>
          <w:tcPr>
            <w:tcW w:w="680" w:type="dxa"/>
            <w:vAlign w:val="bottom"/>
          </w:tcPr>
          <w:p>
            <w:pPr>
              <w:spacing w:after="0" w:line="20" w:lineRule="exact"/>
              <w:rPr>
                <w:sz w:val="1"/>
                <w:szCs w:val="1"/>
                <w:color w:val="auto"/>
              </w:rPr>
            </w:pPr>
          </w:p>
        </w:tc>
        <w:tc>
          <w:tcPr>
            <w:tcW w:w="740" w:type="dxa"/>
            <w:vAlign w:val="bottom"/>
            <w:vMerge w:val="restart"/>
          </w:tcPr>
          <w:p>
            <w:pPr>
              <w:jc w:val="center"/>
              <w:ind w:right="27"/>
              <w:spacing w:after="0" w:line="130" w:lineRule="exact"/>
              <w:rPr>
                <w:sz w:val="20"/>
                <w:szCs w:val="20"/>
                <w:color w:val="auto"/>
              </w:rPr>
            </w:pPr>
            <w:r>
              <w:rPr>
                <w:rFonts w:ascii="Arial" w:cs="Arial" w:eastAsia="Arial" w:hAnsi="Arial"/>
                <w:sz w:val="14"/>
                <w:szCs w:val="14"/>
                <w:b w:val="1"/>
                <w:bCs w:val="1"/>
                <w:color w:val="auto"/>
                <w:w w:val="80"/>
              </w:rPr>
              <w:t>Proposed</w:t>
            </w:r>
          </w:p>
        </w:tc>
        <w:tc>
          <w:tcPr>
            <w:tcW w:w="20" w:type="dxa"/>
            <w:vAlign w:val="bottom"/>
          </w:tcPr>
          <w:p>
            <w:pPr>
              <w:spacing w:after="0" w:line="20" w:lineRule="exact"/>
              <w:rPr>
                <w:sz w:val="1"/>
                <w:szCs w:val="1"/>
                <w:color w:val="auto"/>
              </w:rPr>
            </w:pPr>
          </w:p>
        </w:tc>
        <w:tc>
          <w:tcPr>
            <w:tcW w:w="1540" w:type="dxa"/>
            <w:vAlign w:val="bottom"/>
            <w:vMerge w:val="restart"/>
          </w:tcPr>
          <w:p>
            <w:pPr>
              <w:jc w:val="center"/>
              <w:ind w:left="488"/>
              <w:spacing w:after="0" w:line="130" w:lineRule="exact"/>
              <w:rPr>
                <w:sz w:val="20"/>
                <w:szCs w:val="20"/>
                <w:color w:val="auto"/>
              </w:rPr>
            </w:pPr>
            <w:r>
              <w:rPr>
                <w:rFonts w:ascii="Arial" w:cs="Arial" w:eastAsia="Arial" w:hAnsi="Arial"/>
                <w:sz w:val="14"/>
                <w:szCs w:val="14"/>
                <w:b w:val="1"/>
                <w:bCs w:val="1"/>
                <w:color w:val="auto"/>
                <w:w w:val="83"/>
              </w:rPr>
              <w:t>Proposed</w:t>
            </w: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5440" w:type="dxa"/>
            <w:vAlign w:val="bottom"/>
            <w:tcBorders>
              <w:right w:val="single" w:sz="8" w:color="auto"/>
            </w:tcBorders>
          </w:tcPr>
          <w:p>
            <w:pPr>
              <w:spacing w:after="0"/>
              <w:rPr>
                <w:sz w:val="9"/>
                <w:szCs w:val="9"/>
                <w:color w:val="auto"/>
              </w:rPr>
            </w:pPr>
          </w:p>
        </w:tc>
        <w:tc>
          <w:tcPr>
            <w:tcW w:w="1260" w:type="dxa"/>
            <w:vAlign w:val="bottom"/>
            <w:vMerge w:val="continue"/>
          </w:tcPr>
          <w:p>
            <w:pPr>
              <w:spacing w:after="0"/>
              <w:rPr>
                <w:sz w:val="9"/>
                <w:szCs w:val="9"/>
                <w:color w:val="auto"/>
              </w:rPr>
            </w:pPr>
          </w:p>
        </w:tc>
        <w:tc>
          <w:tcPr>
            <w:tcW w:w="680" w:type="dxa"/>
            <w:vAlign w:val="bottom"/>
            <w:tcBorders>
              <w:left w:val="single" w:sz="8" w:color="auto"/>
            </w:tcBorders>
          </w:tcPr>
          <w:p>
            <w:pPr>
              <w:spacing w:after="0"/>
              <w:rPr>
                <w:sz w:val="9"/>
                <w:szCs w:val="9"/>
                <w:color w:val="auto"/>
              </w:rPr>
            </w:pPr>
          </w:p>
        </w:tc>
        <w:tc>
          <w:tcPr>
            <w:tcW w:w="74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540" w:type="dxa"/>
            <w:vAlign w:val="bottom"/>
            <w:vMerge w:val="continue"/>
          </w:tcPr>
          <w:p>
            <w:pPr>
              <w:spacing w:after="0"/>
              <w:rPr>
                <w:sz w:val="9"/>
                <w:szCs w:val="9"/>
                <w:color w:val="auto"/>
              </w:rPr>
            </w:pPr>
          </w:p>
        </w:tc>
        <w:tc>
          <w:tcPr>
            <w:tcW w:w="74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Borders>
              <w:right w:val="single" w:sz="8" w:color="auto"/>
            </w:tcBorders>
          </w:tcPr>
          <w:p>
            <w:pPr>
              <w:spacing w:after="0"/>
              <w:rPr>
                <w:sz w:val="11"/>
                <w:szCs w:val="11"/>
                <w:color w:val="auto"/>
              </w:rPr>
            </w:pPr>
          </w:p>
        </w:tc>
        <w:tc>
          <w:tcPr>
            <w:tcW w:w="1260" w:type="dxa"/>
            <w:vAlign w:val="bottom"/>
            <w:vMerge w:val="continue"/>
          </w:tcPr>
          <w:p>
            <w:pPr>
              <w:spacing w:after="0"/>
              <w:rPr>
                <w:sz w:val="11"/>
                <w:szCs w:val="11"/>
                <w:color w:val="auto"/>
              </w:rPr>
            </w:pPr>
          </w:p>
        </w:tc>
        <w:tc>
          <w:tcPr>
            <w:tcW w:w="680" w:type="dxa"/>
            <w:vAlign w:val="bottom"/>
            <w:tcBorders>
              <w:left w:val="single" w:sz="8" w:color="auto"/>
            </w:tcBorders>
          </w:tcPr>
          <w:p>
            <w:pPr>
              <w:spacing w:after="0"/>
              <w:rPr>
                <w:sz w:val="11"/>
                <w:szCs w:val="11"/>
                <w:color w:val="auto"/>
              </w:rPr>
            </w:pPr>
          </w:p>
        </w:tc>
        <w:tc>
          <w:tcPr>
            <w:tcW w:w="740" w:type="dxa"/>
            <w:vAlign w:val="bottom"/>
          </w:tcPr>
          <w:p>
            <w:pPr>
              <w:jc w:val="center"/>
              <w:ind w:right="27"/>
              <w:spacing w:after="0" w:line="135" w:lineRule="exact"/>
              <w:rPr>
                <w:sz w:val="20"/>
                <w:szCs w:val="20"/>
                <w:color w:val="auto"/>
              </w:rPr>
            </w:pPr>
            <w:r>
              <w:rPr>
                <w:rFonts w:ascii="Arial" w:cs="Arial" w:eastAsia="Arial" w:hAnsi="Arial"/>
                <w:sz w:val="14"/>
                <w:szCs w:val="14"/>
                <w:b w:val="1"/>
                <w:bCs w:val="1"/>
                <w:color w:val="auto"/>
                <w:w w:val="92"/>
              </w:rPr>
              <w:t>Maximum</w:t>
            </w:r>
          </w:p>
        </w:tc>
        <w:tc>
          <w:tcPr>
            <w:tcW w:w="20" w:type="dxa"/>
            <w:vAlign w:val="bottom"/>
            <w:shd w:val="clear" w:color="auto" w:fill="000000"/>
          </w:tcPr>
          <w:p>
            <w:pPr>
              <w:spacing w:after="0"/>
              <w:rPr>
                <w:sz w:val="11"/>
                <w:szCs w:val="11"/>
                <w:color w:val="auto"/>
              </w:rPr>
            </w:pPr>
          </w:p>
        </w:tc>
        <w:tc>
          <w:tcPr>
            <w:tcW w:w="1540" w:type="dxa"/>
            <w:vAlign w:val="bottom"/>
          </w:tcPr>
          <w:p>
            <w:pPr>
              <w:jc w:val="center"/>
              <w:ind w:left="468"/>
              <w:spacing w:after="0" w:line="135" w:lineRule="exact"/>
              <w:rPr>
                <w:sz w:val="20"/>
                <w:szCs w:val="20"/>
                <w:color w:val="auto"/>
              </w:rPr>
            </w:pPr>
            <w:r>
              <w:rPr>
                <w:rFonts w:ascii="Arial" w:cs="Arial" w:eastAsia="Arial" w:hAnsi="Arial"/>
                <w:sz w:val="14"/>
                <w:szCs w:val="14"/>
                <w:b w:val="1"/>
                <w:bCs w:val="1"/>
                <w:color w:val="auto"/>
                <w:w w:val="92"/>
              </w:rPr>
              <w:t>Maximum</w:t>
            </w:r>
          </w:p>
        </w:tc>
        <w:tc>
          <w:tcPr>
            <w:tcW w:w="740" w:type="dxa"/>
            <w:vAlign w:val="bottom"/>
            <w:tcBorders>
              <w:lef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260" w:type="dxa"/>
            <w:vAlign w:val="bottom"/>
          </w:tcPr>
          <w:p>
            <w:pPr>
              <w:jc w:val="center"/>
              <w:ind w:left="467"/>
              <w:spacing w:after="0" w:line="149" w:lineRule="exact"/>
              <w:rPr>
                <w:sz w:val="20"/>
                <w:szCs w:val="20"/>
                <w:color w:val="auto"/>
              </w:rPr>
            </w:pPr>
            <w:r>
              <w:rPr>
                <w:rFonts w:ascii="Arial" w:cs="Arial" w:eastAsia="Arial" w:hAnsi="Arial"/>
                <w:sz w:val="14"/>
                <w:szCs w:val="14"/>
                <w:b w:val="1"/>
                <w:bCs w:val="1"/>
                <w:color w:val="auto"/>
                <w:w w:val="83"/>
              </w:rPr>
              <w:t>to be</w:t>
            </w:r>
          </w:p>
        </w:tc>
        <w:tc>
          <w:tcPr>
            <w:tcW w:w="1420" w:type="dxa"/>
            <w:vAlign w:val="bottom"/>
            <w:tcBorders>
              <w:left w:val="single" w:sz="8" w:color="auto"/>
            </w:tcBorders>
            <w:gridSpan w:val="2"/>
          </w:tcPr>
          <w:p>
            <w:pPr>
              <w:jc w:val="center"/>
              <w:ind w:left="502"/>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20" w:type="dxa"/>
            <w:vAlign w:val="bottom"/>
            <w:shd w:val="clear" w:color="auto" w:fill="000000"/>
          </w:tcPr>
          <w:p>
            <w:pPr>
              <w:spacing w:after="0"/>
              <w:rPr>
                <w:sz w:val="12"/>
                <w:szCs w:val="12"/>
                <w:color w:val="auto"/>
              </w:rPr>
            </w:pPr>
          </w:p>
        </w:tc>
        <w:tc>
          <w:tcPr>
            <w:tcW w:w="154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83"/>
              </w:rPr>
              <w:t>Aggregate</w:t>
            </w:r>
          </w:p>
        </w:tc>
        <w:tc>
          <w:tcPr>
            <w:tcW w:w="740" w:type="dxa"/>
            <w:vAlign w:val="bottom"/>
            <w:tcBorders>
              <w:left w:val="single" w:sz="8" w:color="auto"/>
            </w:tcBorders>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260" w:type="dxa"/>
            <w:vAlign w:val="bottom"/>
          </w:tcPr>
          <w:p>
            <w:pPr>
              <w:jc w:val="center"/>
              <w:ind w:left="487"/>
              <w:spacing w:after="0"/>
              <w:rPr>
                <w:sz w:val="20"/>
                <w:szCs w:val="20"/>
                <w:color w:val="auto"/>
              </w:rPr>
            </w:pPr>
            <w:r>
              <w:rPr>
                <w:rFonts w:ascii="Arial" w:cs="Arial" w:eastAsia="Arial" w:hAnsi="Arial"/>
                <w:sz w:val="14"/>
                <w:szCs w:val="14"/>
                <w:b w:val="1"/>
                <w:bCs w:val="1"/>
                <w:color w:val="auto"/>
                <w:w w:val="85"/>
              </w:rPr>
              <w:t>Registered</w:t>
            </w:r>
          </w:p>
        </w:tc>
        <w:tc>
          <w:tcPr>
            <w:tcW w:w="680" w:type="dxa"/>
            <w:vAlign w:val="bottom"/>
            <w:tcBorders>
              <w:left w:val="single" w:sz="8" w:color="auto"/>
            </w:tcBorders>
          </w:tcPr>
          <w:p>
            <w:pPr>
              <w:spacing w:after="0"/>
              <w:rPr>
                <w:sz w:val="15"/>
                <w:szCs w:val="15"/>
                <w:color w:val="auto"/>
              </w:rPr>
            </w:pPr>
          </w:p>
        </w:tc>
        <w:tc>
          <w:tcPr>
            <w:tcW w:w="740" w:type="dxa"/>
            <w:vAlign w:val="bottom"/>
          </w:tcPr>
          <w:p>
            <w:pPr>
              <w:jc w:val="center"/>
              <w:ind w:right="27"/>
              <w:spacing w:after="0"/>
              <w:rPr>
                <w:sz w:val="20"/>
                <w:szCs w:val="20"/>
                <w:color w:val="auto"/>
              </w:rPr>
            </w:pPr>
            <w:r>
              <w:rPr>
                <w:rFonts w:ascii="Arial" w:cs="Arial" w:eastAsia="Arial" w:hAnsi="Arial"/>
                <w:sz w:val="14"/>
                <w:szCs w:val="14"/>
                <w:b w:val="1"/>
                <w:bCs w:val="1"/>
                <w:color w:val="auto"/>
                <w:w w:val="85"/>
              </w:rPr>
              <w:t>Per Share</w:t>
            </w:r>
          </w:p>
        </w:tc>
        <w:tc>
          <w:tcPr>
            <w:tcW w:w="20" w:type="dxa"/>
            <w:vAlign w:val="bottom"/>
            <w:shd w:val="clear" w:color="auto" w:fill="000000"/>
          </w:tcPr>
          <w:p>
            <w:pPr>
              <w:spacing w:after="0"/>
              <w:rPr>
                <w:sz w:val="15"/>
                <w:szCs w:val="15"/>
                <w:color w:val="auto"/>
              </w:rPr>
            </w:pPr>
          </w:p>
        </w:tc>
        <w:tc>
          <w:tcPr>
            <w:tcW w:w="1540" w:type="dxa"/>
            <w:vAlign w:val="bottom"/>
          </w:tcPr>
          <w:p>
            <w:pPr>
              <w:jc w:val="center"/>
              <w:ind w:left="488"/>
              <w:spacing w:after="0"/>
              <w:rPr>
                <w:sz w:val="20"/>
                <w:szCs w:val="20"/>
                <w:color w:val="auto"/>
              </w:rPr>
            </w:pPr>
            <w:r>
              <w:rPr>
                <w:rFonts w:ascii="Arial" w:cs="Arial" w:eastAsia="Arial" w:hAnsi="Arial"/>
                <w:sz w:val="14"/>
                <w:szCs w:val="14"/>
                <w:b w:val="1"/>
                <w:bCs w:val="1"/>
                <w:color w:val="auto"/>
                <w:w w:val="88"/>
              </w:rPr>
              <w:t>Offering Price</w:t>
            </w:r>
          </w:p>
        </w:tc>
        <w:tc>
          <w:tcPr>
            <w:tcW w:w="1740" w:type="dxa"/>
            <w:vAlign w:val="bottom"/>
            <w:tcBorders>
              <w:left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87"/>
              </w:rPr>
              <w:t>Registration Fee (1)</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4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of Beneficial Interest, $0.01 par value (2)</w:t>
            </w:r>
          </w:p>
        </w:tc>
        <w:tc>
          <w:tcPr>
            <w:tcW w:w="1260" w:type="dxa"/>
            <w:vAlign w:val="bottom"/>
            <w:tcBorders>
              <w:top w:val="single" w:sz="8" w:color="auto"/>
              <w:bottom w:val="single" w:sz="8" w:color="auto"/>
            </w:tcBorders>
          </w:tcPr>
          <w:p>
            <w:pPr>
              <w:jc w:val="center"/>
              <w:ind w:left="487"/>
              <w:spacing w:after="0"/>
              <w:rPr>
                <w:sz w:val="20"/>
                <w:szCs w:val="20"/>
                <w:color w:val="auto"/>
              </w:rPr>
            </w:pPr>
            <w:r>
              <w:rPr>
                <w:rFonts w:ascii="Arial" w:cs="Arial" w:eastAsia="Arial" w:hAnsi="Arial"/>
                <w:sz w:val="18"/>
                <w:szCs w:val="18"/>
                <w:color w:val="auto"/>
                <w:w w:val="87"/>
              </w:rPr>
              <w:t>2,000,000</w:t>
            </w:r>
          </w:p>
        </w:tc>
        <w:tc>
          <w:tcPr>
            <w:tcW w:w="680" w:type="dxa"/>
            <w:vAlign w:val="bottom"/>
            <w:tcBorders>
              <w:top w:val="single" w:sz="8" w:color="auto"/>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81.21</w:t>
            </w: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1540" w:type="dxa"/>
            <w:vAlign w:val="bottom"/>
            <w:tcBorders>
              <w:top w:val="single" w:sz="8" w:color="auto"/>
              <w:bottom w:val="single" w:sz="8" w:color="auto"/>
            </w:tcBorders>
          </w:tcPr>
          <w:p>
            <w:pPr>
              <w:jc w:val="center"/>
              <w:ind w:left="488"/>
              <w:spacing w:after="0"/>
              <w:rPr>
                <w:sz w:val="20"/>
                <w:szCs w:val="20"/>
                <w:color w:val="auto"/>
              </w:rPr>
            </w:pPr>
            <w:r>
              <w:rPr>
                <w:rFonts w:ascii="Arial" w:cs="Arial" w:eastAsia="Arial" w:hAnsi="Arial"/>
                <w:sz w:val="18"/>
                <w:szCs w:val="18"/>
                <w:color w:val="auto"/>
                <w:w w:val="88"/>
              </w:rPr>
              <w:t>$162,420,000</w:t>
            </w:r>
          </w:p>
        </w:tc>
        <w:tc>
          <w:tcPr>
            <w:tcW w:w="740" w:type="dxa"/>
            <w:vAlign w:val="bottom"/>
            <w:tcBorders>
              <w:top w:val="single" w:sz="8" w:color="auto"/>
              <w:left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4,986.30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457(o).</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associated rights to purchase common shares of beneficial interest of the registrant.</w:t>
      </w:r>
    </w:p>
    <w:p>
      <w:pPr>
        <w:sectPr>
          <w:pgSz w:w="11900" w:h="16838" w:orient="portrait"/>
          <w:cols w:equalWidth="0" w:num="1">
            <w:col w:w="11420"/>
          </w:cols>
          <w:pgMar w:left="240" w:top="274" w:right="239" w:bottom="1440" w:gutter="0" w:footer="0" w:header="0"/>
        </w:sectPr>
      </w:pPr>
    </w:p>
    <w:bookmarkStart w:id="2" w:name="page3"/>
    <w:bookmarkEnd w:id="2"/>
    <w:p>
      <w:pPr>
        <w:ind w:right="180"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 should rely only on the information contained in or incorporated by reference in this prospectus supplement and the accompanying prospectus.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state where the offer or sale is not permitted. You should assume that the information contained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173990</wp:posOffset>
            </wp:positionV>
            <wp:extent cx="1534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560" w:type="dxa"/>
            <w:vAlign w:val="bottom"/>
            <w:gridSpan w:val="2"/>
          </w:tcPr>
          <w:p>
            <w:pPr>
              <w:jc w:val="center"/>
              <w:ind w:right="4120"/>
              <w:spacing w:after="0"/>
              <w:rPr>
                <w:sz w:val="20"/>
                <w:szCs w:val="20"/>
                <w:color w:val="auto"/>
              </w:rPr>
            </w:pPr>
            <w:r>
              <w:rPr>
                <w:rFonts w:ascii="Arial" w:cs="Arial" w:eastAsia="Arial" w:hAnsi="Arial"/>
                <w:sz w:val="18"/>
                <w:szCs w:val="18"/>
                <w:b w:val="1"/>
                <w:bCs w:val="1"/>
                <w:color w:val="auto"/>
                <w:w w:val="96"/>
              </w:rPr>
              <w:t>TABLE OF CONTENTS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560" w:type="dxa"/>
            <w:vAlign w:val="bottom"/>
            <w:gridSpan w:val="2"/>
          </w:tcPr>
          <w:p>
            <w:pPr>
              <w:jc w:val="center"/>
              <w:ind w:right="4120"/>
              <w:spacing w:after="0"/>
              <w:rPr>
                <w:sz w:val="20"/>
                <w:szCs w:val="20"/>
                <w:color w:val="auto"/>
              </w:rPr>
            </w:pPr>
            <w:r>
              <w:rPr>
                <w:rFonts w:ascii="Arial" w:cs="Arial" w:eastAsia="Arial" w:hAnsi="Arial"/>
                <w:sz w:val="18"/>
                <w:szCs w:val="18"/>
                <w:b w:val="1"/>
                <w:bCs w:val="1"/>
                <w:color w:val="auto"/>
                <w:w w:val="85"/>
              </w:rPr>
              <w:t>Prospectus Supplement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60" w:type="dxa"/>
            <w:vAlign w:val="bottom"/>
            <w:gridSpan w:val="1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Cautionary Statement Concerning Forward-Looking Statements</w:t>
              </w:r>
            </w:hyperlink>
          </w:p>
        </w:tc>
        <w:tc>
          <w:tcPr>
            <w:tcW w:w="3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14"/>
            <w:vMerge w:val="continue"/>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4"/>
          </w:tcPr>
          <w:p>
            <w:pPr>
              <w:spacing w:after="0"/>
              <w:rPr>
                <w:sz w:val="17"/>
                <w:szCs w:val="17"/>
                <w:color w:val="auto"/>
              </w:rPr>
            </w:pPr>
          </w:p>
        </w:tc>
        <w:tc>
          <w:tcPr>
            <w:tcW w:w="65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196"/>
        </w:trPr>
        <w:tc>
          <w:tcPr>
            <w:tcW w:w="11060" w:type="dxa"/>
            <w:vAlign w:val="bottom"/>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S-3</w:t>
            </w: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Underwriting</w:t>
              </w:r>
            </w:hyperlink>
          </w:p>
        </w:tc>
        <w:tc>
          <w:tcPr>
            <w:tcW w:w="180" w:type="dxa"/>
            <w:vAlign w:val="bottom"/>
            <w:tcBorders>
              <w:top w:val="single" w:sz="8" w:color="0000EE"/>
            </w:tcBorders>
            <w:gridSpan w:val="2"/>
          </w:tcPr>
          <w:p>
            <w:pPr>
              <w:spacing w:after="0"/>
              <w:rPr>
                <w:sz w:val="17"/>
                <w:szCs w:val="17"/>
                <w:color w:val="auto"/>
              </w:rPr>
            </w:pPr>
          </w:p>
        </w:tc>
        <w:tc>
          <w:tcPr>
            <w:tcW w:w="9920" w:type="dxa"/>
            <w:vAlign w:val="bottom"/>
            <w:gridSpan w:val="10"/>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S-4</w:t>
            </w:r>
          </w:p>
        </w:tc>
        <w:tc>
          <w:tcPr>
            <w:tcW w:w="0" w:type="dxa"/>
            <w:vAlign w:val="bottom"/>
          </w:tcPr>
          <w:p>
            <w:pPr>
              <w:spacing w:after="0"/>
              <w:rPr>
                <w:sz w:val="1"/>
                <w:szCs w:val="1"/>
                <w:color w:val="auto"/>
              </w:rPr>
            </w:pPr>
          </w:p>
        </w:tc>
      </w:tr>
      <w:tr>
        <w:trPr>
          <w:trHeight w:val="196"/>
        </w:trPr>
        <w:tc>
          <w:tcPr>
            <w:tcW w:w="11060" w:type="dxa"/>
            <w:vAlign w:val="bottom"/>
            <w:gridSpan w:val="1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Experts</w:t>
              </w:r>
            </w:hyperlink>
          </w:p>
        </w:tc>
        <w:tc>
          <w:tcPr>
            <w:tcW w:w="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Legal Matters</w:t>
              </w:r>
            </w:hyperlink>
          </w:p>
        </w:tc>
        <w:tc>
          <w:tcPr>
            <w:tcW w:w="10060" w:type="dxa"/>
            <w:vAlign w:val="bottom"/>
            <w:gridSpan w:val="11"/>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S-6</w:t>
            </w:r>
          </w:p>
        </w:tc>
        <w:tc>
          <w:tcPr>
            <w:tcW w:w="0" w:type="dxa"/>
            <w:vAlign w:val="bottom"/>
          </w:tcPr>
          <w:p>
            <w:pPr>
              <w:spacing w:after="0"/>
              <w:rPr>
                <w:sz w:val="1"/>
                <w:szCs w:val="1"/>
                <w:color w:val="auto"/>
              </w:rPr>
            </w:pPr>
          </w:p>
        </w:tc>
      </w:tr>
      <w:tr>
        <w:trPr>
          <w:trHeight w:val="196"/>
        </w:trPr>
        <w:tc>
          <w:tcPr>
            <w:tcW w:w="11060" w:type="dxa"/>
            <w:vAlign w:val="bottom"/>
            <w:gridSpan w:val="1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Where You Can Find More Information</w:t>
              </w:r>
            </w:hyperlink>
          </w:p>
        </w:tc>
        <w:tc>
          <w:tcPr>
            <w:tcW w:w="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S-7</w:t>
            </w:r>
          </w:p>
        </w:tc>
        <w:tc>
          <w:tcPr>
            <w:tcW w:w="0" w:type="dxa"/>
            <w:vAlign w:val="bottom"/>
          </w:tcPr>
          <w:p>
            <w:pPr>
              <w:spacing w:after="0"/>
              <w:rPr>
                <w:sz w:val="1"/>
                <w:szCs w:val="1"/>
                <w:color w:val="auto"/>
              </w:rPr>
            </w:pPr>
          </w:p>
        </w:tc>
      </w:tr>
      <w:tr>
        <w:trPr>
          <w:trHeight w:val="397"/>
        </w:trPr>
        <w:tc>
          <w:tcPr>
            <w:tcW w:w="5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560" w:type="dxa"/>
            <w:vAlign w:val="bottom"/>
            <w:gridSpan w:val="2"/>
          </w:tcPr>
          <w:p>
            <w:pPr>
              <w:jc w:val="center"/>
              <w:ind w:right="4140"/>
              <w:spacing w:after="0"/>
              <w:rPr>
                <w:sz w:val="20"/>
                <w:szCs w:val="20"/>
                <w:color w:val="auto"/>
              </w:rPr>
            </w:pPr>
            <w:r>
              <w:rPr>
                <w:rFonts w:ascii="Arial" w:cs="Arial" w:eastAsia="Arial" w:hAnsi="Arial"/>
                <w:sz w:val="18"/>
                <w:szCs w:val="18"/>
                <w:b w:val="1"/>
                <w:bCs w:val="1"/>
                <w:color w:val="auto"/>
                <w:w w:val="83"/>
              </w:rPr>
              <w:t>Prospectus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60" w:type="dxa"/>
            <w:vAlign w:val="bottom"/>
            <w:gridSpan w:val="14"/>
            <w:vMerge w:val="restart"/>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About this Prospectus</w:t>
              </w:r>
            </w:hyperlink>
          </w:p>
        </w:tc>
        <w:tc>
          <w:tcPr>
            <w:tcW w:w="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060" w:type="dxa"/>
            <w:vAlign w:val="bottom"/>
            <w:gridSpan w:val="14"/>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Forward-Looking Information</w:t>
              </w:r>
            </w:hyperlink>
          </w:p>
        </w:tc>
        <w:tc>
          <w:tcPr>
            <w:tcW w:w="8920" w:type="dxa"/>
            <w:vAlign w:val="bottom"/>
            <w:gridSpan w:val="7"/>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060" w:type="dxa"/>
            <w:vAlign w:val="bottom"/>
            <w:gridSpan w:val="1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The Company</w:t>
              </w:r>
            </w:hyperlink>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Ratios of Earnings to Combined Fixed Charges and Preferred Share Dividends</w:t>
              </w:r>
            </w:hyperlink>
          </w:p>
        </w:tc>
        <w:tc>
          <w:tcPr>
            <w:tcW w:w="5520" w:type="dxa"/>
            <w:vAlign w:val="bottom"/>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Description of Debt Securities</w:t>
              </w:r>
            </w:hyperlink>
          </w:p>
        </w:tc>
        <w:tc>
          <w:tcPr>
            <w:tcW w:w="8920" w:type="dxa"/>
            <w:vAlign w:val="bottom"/>
            <w:gridSpan w:val="7"/>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Description of Shares of Beneficial Interest</w:t>
              </w:r>
            </w:hyperlink>
          </w:p>
        </w:tc>
        <w:tc>
          <w:tcPr>
            <w:tcW w:w="8000" w:type="dxa"/>
            <w:vAlign w:val="bottom"/>
            <w:gridSpan w:val="3"/>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9"/>
          </w:tcPr>
          <w:p>
            <w:pPr>
              <w:spacing w:after="0" w:line="196" w:lineRule="exact"/>
              <w:rPr>
                <w:rFonts w:ascii="Arial" w:cs="Arial" w:eastAsia="Arial" w:hAnsi="Arial"/>
                <w:sz w:val="18"/>
                <w:szCs w:val="18"/>
                <w:color w:val="0000EE"/>
                <w:w w:val="85"/>
              </w:rPr>
            </w:pPr>
            <w:hyperlink w:anchor="page41">
              <w:r>
                <w:rPr>
                  <w:rFonts w:ascii="Arial" w:cs="Arial" w:eastAsia="Arial" w:hAnsi="Arial"/>
                  <w:sz w:val="18"/>
                  <w:szCs w:val="18"/>
                  <w:color w:val="0000EE"/>
                  <w:w w:val="85"/>
                </w:rPr>
                <w:t>Federal Income Tax Consequences</w:t>
              </w:r>
            </w:hyperlink>
          </w:p>
        </w:tc>
        <w:tc>
          <w:tcPr>
            <w:tcW w:w="8600" w:type="dxa"/>
            <w:vAlign w:val="bottom"/>
            <w:gridSpan w:val="5"/>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060" w:type="dxa"/>
            <w:vAlign w:val="bottom"/>
            <w:gridSpan w:val="1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Legal Matters</w:t>
              </w:r>
            </w:hyperlink>
          </w:p>
        </w:tc>
        <w:tc>
          <w:tcPr>
            <w:tcW w:w="9660" w:type="dxa"/>
            <w:vAlign w:val="bottom"/>
            <w:gridSpan w:val="9"/>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10060" w:type="dxa"/>
            <w:vAlign w:val="bottom"/>
            <w:gridSpan w:val="11"/>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9"/>
          </w:tcPr>
          <w:p>
            <w:pPr>
              <w:spacing w:after="0" w:line="20" w:lineRule="exact"/>
              <w:rPr>
                <w:sz w:val="1"/>
                <w:szCs w:val="1"/>
                <w:color w:val="auto"/>
              </w:rPr>
            </w:pPr>
          </w:p>
        </w:tc>
        <w:tc>
          <w:tcPr>
            <w:tcW w:w="82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Where You Can Find More Information</w:t>
              </w:r>
            </w:hyperlink>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CAUTIONARY STATEMENT CONCERNING FORWARD-LOOKING STATEMENTS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supplement, the accompanying prospectus and documents that we “incorporate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similar words. These statements constitute forward-looking statements within the meaning of Section 27A of the Securities Act of 1933, Section 21E of the Securities Exchange Act of 1934 and the Private Securities Litigation Reform Act of 1995. In particular, the risk factors incorporated by reference in this prospectus supplement and the accompanying prospectus describe forward-looking information. The risk factors contained in our Annual Report on Form 10-K filed with the Securities and Exchange Commission, or the SEC, on March 1, 2007,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37"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5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260" w:right="140" w:hanging="455"/>
        <w:spacing w:after="0" w:line="268" w:lineRule="auto"/>
        <w:tabs>
          <w:tab w:leader="none" w:pos="12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cost more, take more time to complete, or fail to perform as expected,</w:t>
      </w:r>
    </w:p>
    <w:p>
      <w:pPr>
        <w:spacing w:after="0" w:line="50" w:lineRule="exact"/>
        <w:rPr>
          <w:rFonts w:ascii="Arial" w:cs="Arial" w:eastAsia="Arial" w:hAnsi="Arial"/>
          <w:sz w:val="18"/>
          <w:szCs w:val="18"/>
          <w:color w:val="auto"/>
        </w:rPr>
      </w:pPr>
    </w:p>
    <w:p>
      <w:pPr>
        <w:ind w:left="1260" w:hanging="455"/>
        <w:spacing w:after="0"/>
        <w:tabs>
          <w:tab w:leader="none" w:pos="126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780" w:right="260" w:hanging="326"/>
        <w:spacing w:after="0" w:line="25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780" w:right="240" w:hanging="326"/>
        <w:spacing w:after="0" w:line="25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incorporated by reference into this prospectus supplement and the accompanying prospectus. Except as may be required by law, we make no promise to update any of the forward-looking statements whether as a result of new information, future events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PROSPECTUS SUPPLEMENT SUMMARY</w:t>
      </w:r>
    </w:p>
    <w:p>
      <w:pPr>
        <w:spacing w:after="0" w:line="177"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high-quality retail and mixed-use properties. As of November 30, 2007, we owned or had a majority interest in community and neighborhood shopping centers and mixed-use properties which are operated as 82 predominantly retail real estate projects comprising approximately 18.2 million square feet, located primarily in densely populated and affluent communities in strategic metropolitan markets in the Northeast and Mid-Atlantic regions of the United States, as well as in California. Additionally, a joint venture in which we own a 30% interest owned seven retail real estate projects totaling approximately 1.0 million square feet as of November 30, 2007.</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operate in a manner intended to qualify as a real estate investment trust for tax purposes pursuant to provisions of the Internal Revenue Code. Our offices are located at 1626 East Jefferson Street, Rockville, Maryland 20852. Our telephone number is (301) 998-8100 or (800) 658-8980. Our website address is www.federalrealty.com. The information contained on our website is not a part of this prospectus supplement.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340"/>
          </w:cols>
          <w:pgMar w:left="240" w:top="274" w:right="31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Offering</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a more complete description of the terms of the common shares being offering by this prospectus supplement and the accompanying prospectus, see “Description of Shares of Beneficial Interest” in the accompanying prospectus.</w:t>
      </w:r>
    </w:p>
    <w:p>
      <w:pPr>
        <w:sectPr>
          <w:pgSz w:w="11900" w:h="16838" w:orient="portrait"/>
          <w:cols w:equalWidth="0" w:num="1">
            <w:col w:w="11360"/>
          </w:cols>
          <w:pgMar w:left="240" w:top="274" w:right="29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Common shares offered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2,000,000 common shares</w:t>
      </w:r>
    </w:p>
    <w:p>
      <w:pPr>
        <w:spacing w:after="0" w:line="200" w:lineRule="exact"/>
        <w:rPr>
          <w:sz w:val="20"/>
          <w:szCs w:val="20"/>
          <w:color w:val="auto"/>
        </w:rPr>
      </w:pPr>
    </w:p>
    <w:p>
      <w:pPr>
        <w:sectPr>
          <w:pgSz w:w="11900" w:h="16838" w:orient="portrait"/>
          <w:cols w:equalWidth="0" w:num="2">
            <w:col w:w="3400" w:space="720"/>
            <w:col w:w="7240"/>
          </w:cols>
          <w:pgMar w:left="240" w:top="274" w:right="29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Common shares to be outstanding after the offering</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60,131,101 common shares (1)</w:t>
      </w:r>
    </w:p>
    <w:p>
      <w:pPr>
        <w:spacing w:after="0" w:line="200" w:lineRule="exact"/>
        <w:rPr>
          <w:sz w:val="20"/>
          <w:szCs w:val="20"/>
          <w:color w:val="auto"/>
        </w:rPr>
      </w:pPr>
    </w:p>
    <w:p>
      <w:pPr>
        <w:sectPr>
          <w:pgSz w:w="11900" w:h="16838" w:orient="portrait"/>
          <w:cols w:equalWidth="0" w:num="2">
            <w:col w:w="3620" w:space="500"/>
            <w:col w:w="7240"/>
          </w:cols>
          <w:pgMar w:left="240" w:top="274" w:right="29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Public offering price per share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$81.21</w:t>
      </w:r>
    </w:p>
    <w:p>
      <w:pPr>
        <w:spacing w:after="0" w:line="211" w:lineRule="exact"/>
        <w:rPr>
          <w:sz w:val="20"/>
          <w:szCs w:val="20"/>
          <w:color w:val="auto"/>
        </w:rPr>
      </w:pPr>
    </w:p>
    <w:p>
      <w:pPr>
        <w:sectPr>
          <w:pgSz w:w="11900" w:h="16838" w:orient="portrait"/>
          <w:cols w:equalWidth="0" w:num="2">
            <w:col w:w="3400" w:space="720"/>
            <w:col w:w="7240"/>
          </w:cols>
          <w:pgMar w:left="240" w:top="274" w:right="2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New York Stock Exchange symbol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FRT</w:t>
      </w:r>
    </w:p>
    <w:p>
      <w:pPr>
        <w:spacing w:after="0" w:line="211" w:lineRule="exact"/>
        <w:rPr>
          <w:sz w:val="20"/>
          <w:szCs w:val="20"/>
          <w:color w:val="auto"/>
        </w:rPr>
      </w:pPr>
    </w:p>
    <w:p>
      <w:pPr>
        <w:sectPr>
          <w:pgSz w:w="11900" w:h="16838" w:orient="portrait"/>
          <w:cols w:equalWidth="0" w:num="2">
            <w:col w:w="3400" w:space="720"/>
            <w:col w:w="7240"/>
          </w:cols>
          <w:pgMar w:left="240" w:top="274" w:right="2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expect to use the net proceeds for general corporate purposes. See “Use of Proceeds” on page S-3 for more information.</w:t>
      </w:r>
    </w:p>
    <w:p>
      <w:pPr>
        <w:spacing w:after="0" w:line="186" w:lineRule="exact"/>
        <w:rPr>
          <w:sz w:val="20"/>
          <w:szCs w:val="20"/>
          <w:color w:val="auto"/>
        </w:rPr>
      </w:pPr>
    </w:p>
    <w:p>
      <w:pPr>
        <w:sectPr>
          <w:pgSz w:w="11900" w:h="16838" w:orient="portrait"/>
          <w:cols w:equalWidth="0" w:num="2">
            <w:col w:w="3400" w:space="720"/>
            <w:col w:w="7240"/>
          </w:cols>
          <w:pgMar w:left="240" w:top="274" w:right="299" w:bottom="1440" w:gutter="0" w:footer="0" w:header="0"/>
          <w:type w:val="continuous"/>
        </w:sectPr>
      </w:pPr>
    </w:p>
    <w:p>
      <w:pPr>
        <w:spacing w:after="0"/>
        <w:rPr>
          <w:sz w:val="20"/>
          <w:szCs w:val="20"/>
          <w:color w:val="auto"/>
        </w:rPr>
      </w:pPr>
      <w:r>
        <w:rPr>
          <w:rFonts w:ascii="Arial" w:cs="Arial" w:eastAsia="Arial" w:hAnsi="Arial"/>
          <w:sz w:val="15"/>
          <w:szCs w:val="15"/>
          <w:color w:val="auto"/>
        </w:rPr>
        <w:t>Federal Income Tax Consequences</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For a description of the material federal income tax consequences of an investment in our common shares, please review the disclosure contained in the accompanying prospectus under “Federal Income Tax Consequences.”</w:t>
      </w:r>
    </w:p>
    <w:p>
      <w:pPr>
        <w:spacing w:after="0" w:line="194" w:lineRule="exact"/>
        <w:rPr>
          <w:sz w:val="20"/>
          <w:szCs w:val="20"/>
          <w:color w:val="auto"/>
        </w:rPr>
      </w:pPr>
    </w:p>
    <w:p>
      <w:pPr>
        <w:sectPr>
          <w:pgSz w:w="11900" w:h="16838" w:orient="portrait"/>
          <w:cols w:equalWidth="0" w:num="2">
            <w:col w:w="3400" w:space="720"/>
            <w:col w:w="7240"/>
          </w:cols>
          <w:pgMar w:left="240" w:top="274" w:right="29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1054735</wp:posOffset>
            </wp:positionV>
            <wp:extent cx="746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90" w:lineRule="auto"/>
        <w:rPr>
          <w:sz w:val="20"/>
          <w:szCs w:val="20"/>
          <w:color w:val="auto"/>
        </w:rPr>
      </w:pPr>
      <w:r>
        <w:rPr>
          <w:rFonts w:ascii="Arial" w:cs="Arial" w:eastAsia="Arial" w:hAnsi="Arial"/>
          <w:sz w:val="16"/>
          <w:szCs w:val="16"/>
          <w:color w:val="auto"/>
        </w:rPr>
        <w:t>Investing in our common shares involves risks. Please review the risk factors discussed in our Annual Report on Form 10-K filed with the SEC on March 1, 2007, and the other information contained or incorporated by reference in this prospectus supplement and the accompanying prospectus for a discussion of factors you should consider before deciding to invest in our common shares. You may obtain a copy of this Annual Report and the other documents incorporated by reference in this prospectus supplement and the accompanying prospectus by following the procedures described below under “Where You Can Find More Information.”</w:t>
      </w:r>
    </w:p>
    <w:p>
      <w:pPr>
        <w:spacing w:after="0" w:line="200" w:lineRule="exact"/>
        <w:rPr>
          <w:sz w:val="20"/>
          <w:szCs w:val="20"/>
          <w:color w:val="auto"/>
        </w:rPr>
      </w:pPr>
    </w:p>
    <w:p>
      <w:pPr>
        <w:sectPr>
          <w:pgSz w:w="11900" w:h="16838" w:orient="portrait"/>
          <w:cols w:equalWidth="0" w:num="2">
            <w:col w:w="3400" w:space="720"/>
            <w:col w:w="7240"/>
          </w:cols>
          <w:pgMar w:left="240" w:top="274" w:right="299" w:bottom="1440" w:gutter="0" w:footer="0" w:header="0"/>
          <w:type w:val="continuous"/>
        </w:sectPr>
      </w:pPr>
    </w:p>
    <w:p>
      <w:pPr>
        <w:spacing w:after="0" w:line="202" w:lineRule="exact"/>
        <w:rPr>
          <w:sz w:val="20"/>
          <w:szCs w:val="20"/>
          <w:color w:val="auto"/>
        </w:rPr>
      </w:pPr>
    </w:p>
    <w:p>
      <w:pPr>
        <w:ind w:left="46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upon 58,131,101 common shares outstanding as of December 13, 2007. Excludes common shares that we may issue upon (i) exercise of outstanding share options, (ii) conversion, exchange or redemption of downREIT partnership units, and (iii) exercise of contractual or put rights by current or former joint venture and other business partners.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60"/>
          </w:cols>
          <w:pgMar w:left="240" w:top="274" w:right="299" w:bottom="1440" w:gutter="0" w:footer="0" w:header="0"/>
          <w:type w:val="continuous"/>
        </w:sectPr>
      </w:pPr>
    </w:p>
    <w:bookmarkStart w:id="6" w:name="page7"/>
    <w:bookmarkEnd w:id="6"/>
    <w:p>
      <w:pPr>
        <w:jc w:val="center"/>
        <w:ind w:right="-7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USE OF PROCEEDS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proceeds, after payment of expenses, to us from the sale of the common shares offered by this prospectus supplement are estimated to be approximately $162.22 million. We intend to use these net proceeds for general corporate purposes.</w:t>
      </w:r>
    </w:p>
    <w:p>
      <w:pPr>
        <w:spacing w:after="0" w:line="11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640"/>
          </w:cols>
          <w:pgMar w:left="240" w:top="274" w:right="10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UNDERWRITING</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Merrill Lynch, Pierce, Fenner &amp; Smith Incorporated and Wachovia Capital Markets, LLC, the underwriters, are acting as the joint book-running managers of the offering. Subject to the terms and conditions stated in the underwriting agreement and a related pricing agreement, each dated the date of this prospectus supplement, each underwriter named below has severally agreed to purchase, and we have agreed to sell to that underwriter, the number of common shares listed opposite their names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tcPr>
          <w:p>
            <w:pPr>
              <w:spacing w:after="0"/>
              <w:rPr>
                <w:sz w:val="14"/>
                <w:szCs w:val="14"/>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r>
      <w:tr>
        <w:trPr>
          <w:trHeight w:val="175"/>
        </w:trPr>
        <w:tc>
          <w:tcPr>
            <w:tcW w:w="10480" w:type="dxa"/>
            <w:vAlign w:val="bottom"/>
          </w:tcPr>
          <w:p>
            <w:pPr>
              <w:ind w:left="4780"/>
              <w:spacing w:after="0"/>
              <w:rPr>
                <w:sz w:val="20"/>
                <w:szCs w:val="20"/>
                <w:color w:val="auto"/>
              </w:rPr>
            </w:pPr>
            <w:r>
              <w:rPr>
                <w:rFonts w:ascii="Arial" w:cs="Arial" w:eastAsia="Arial" w:hAnsi="Arial"/>
                <w:sz w:val="14"/>
                <w:szCs w:val="14"/>
                <w:b w:val="1"/>
                <w:bCs w:val="1"/>
                <w:color w:val="auto"/>
              </w:rPr>
              <w:t>Underwriter</w:t>
            </w: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of Shares</w:t>
            </w:r>
          </w:p>
        </w:tc>
      </w:tr>
      <w:tr>
        <w:trPr>
          <w:trHeight w:val="201"/>
        </w:trPr>
        <w:tc>
          <w:tcPr>
            <w:tcW w:w="10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104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Incorporated</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4"/>
              </w:rPr>
              <w:t>1,000,000</w:t>
            </w:r>
          </w:p>
        </w:tc>
        <w:tc>
          <w:tcPr>
            <w:tcW w:w="20" w:type="dxa"/>
            <w:vAlign w:val="bottom"/>
          </w:tcPr>
          <w:p>
            <w:pPr>
              <w:spacing w:after="0"/>
              <w:rPr>
                <w:sz w:val="19"/>
                <w:szCs w:val="19"/>
                <w:color w:val="auto"/>
              </w:rPr>
            </w:pPr>
          </w:p>
        </w:tc>
      </w:tr>
      <w:tr>
        <w:trPr>
          <w:trHeight w:val="223"/>
        </w:trPr>
        <w:tc>
          <w:tcPr>
            <w:tcW w:w="10480" w:type="dxa"/>
            <w:vAlign w:val="bottom"/>
          </w:tcPr>
          <w:p>
            <w:pPr>
              <w:spacing w:after="0"/>
              <w:rPr>
                <w:sz w:val="20"/>
                <w:szCs w:val="20"/>
                <w:color w:val="auto"/>
              </w:rPr>
            </w:pPr>
            <w:r>
              <w:rPr>
                <w:rFonts w:ascii="Arial" w:cs="Arial" w:eastAsia="Arial" w:hAnsi="Arial"/>
                <w:sz w:val="18"/>
                <w:szCs w:val="18"/>
                <w:color w:val="auto"/>
              </w:rPr>
              <w:t>Wachovia Capital Markets, LLC</w:t>
            </w: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4"/>
              </w:rPr>
              <w:t>1,000,000</w:t>
            </w:r>
          </w:p>
        </w:tc>
        <w:tc>
          <w:tcPr>
            <w:tcW w:w="20" w:type="dxa"/>
            <w:vAlign w:val="bottom"/>
          </w:tcPr>
          <w:p>
            <w:pPr>
              <w:spacing w:after="0"/>
              <w:rPr>
                <w:sz w:val="19"/>
                <w:szCs w:val="19"/>
                <w:color w:val="auto"/>
              </w:rPr>
            </w:pPr>
          </w:p>
        </w:tc>
      </w:tr>
      <w:tr>
        <w:trPr>
          <w:trHeight w:val="216"/>
        </w:trPr>
        <w:tc>
          <w:tcPr>
            <w:tcW w:w="104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4"/>
              </w:rPr>
              <w:t>2,000,000</w:t>
            </w:r>
          </w:p>
        </w:tc>
        <w:tc>
          <w:tcPr>
            <w:tcW w:w="20" w:type="dxa"/>
            <w:vAlign w:val="bottom"/>
          </w:tcPr>
          <w:p>
            <w:pPr>
              <w:spacing w:after="0"/>
              <w:rPr>
                <w:sz w:val="18"/>
                <w:szCs w:val="18"/>
                <w:color w:val="auto"/>
              </w:rPr>
            </w:pPr>
          </w:p>
        </w:tc>
      </w:tr>
      <w:tr>
        <w:trPr>
          <w:trHeight w:val="20"/>
        </w:trPr>
        <w:tc>
          <w:tcPr>
            <w:tcW w:w="10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underwriters have agreed to purchase all of the common shares shown in the above table if any of those common shares are purchased. If an underwriter defaults, the underwriting agreement provides that the purchase commitment of the nondefaulting underwriter may be increased or the underwriting agreement may be terminated.</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common shares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underwriters have advised us that they propose to offer the common shares to the public at the public offering price appearing on the cover page of this prospectus supplement. After the initial offering, the public offering price and concession to dealers may be changed.</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following table shows the public offering price, underwriting discount and proceeds, before expenses, to us, both on a per share basis and in total.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Per Share</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560" w:type="dxa"/>
            <w:vAlign w:val="bottom"/>
            <w:gridSpan w:val="2"/>
            <w:shd w:val="clear" w:color="auto" w:fill="CCEEFF"/>
          </w:tcPr>
          <w:p>
            <w:pPr>
              <w:ind w:left="54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81.21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162,420,000</w:t>
            </w:r>
          </w:p>
        </w:tc>
        <w:tc>
          <w:tcPr>
            <w:tcW w:w="2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Underwriting discount</w:t>
            </w:r>
          </w:p>
        </w:tc>
        <w:tc>
          <w:tcPr>
            <w:tcW w:w="5560" w:type="dxa"/>
            <w:vAlign w:val="bottom"/>
            <w:gridSpan w:val="2"/>
          </w:tcPr>
          <w:p>
            <w:pPr>
              <w:ind w:left="54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5560" w:type="dxa"/>
            <w:vAlign w:val="bottom"/>
            <w:gridSpan w:val="2"/>
            <w:shd w:val="clear" w:color="auto" w:fill="CCEEFF"/>
          </w:tcPr>
          <w:p>
            <w:pPr>
              <w:ind w:left="54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81.21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162,420,000</w:t>
            </w:r>
          </w:p>
        </w:tc>
        <w:tc>
          <w:tcPr>
            <w:tcW w:w="20" w:type="dxa"/>
            <w:vAlign w:val="bottom"/>
          </w:tcPr>
          <w:p>
            <w:pPr>
              <w:spacing w:after="0"/>
              <w:rPr>
                <w:sz w:val="18"/>
                <w:szCs w:val="18"/>
                <w:color w:val="auto"/>
              </w:rPr>
            </w:pPr>
          </w:p>
        </w:tc>
      </w:tr>
      <w:tr>
        <w:trPr>
          <w:trHeight w:val="363"/>
        </w:trPr>
        <w:tc>
          <w:tcPr>
            <w:tcW w:w="3940" w:type="dxa"/>
            <w:vAlign w:val="bottom"/>
          </w:tcPr>
          <w:p>
            <w:pPr>
              <w:spacing w:after="0"/>
              <w:rPr>
                <w:sz w:val="24"/>
                <w:szCs w:val="24"/>
                <w:color w:val="auto"/>
              </w:rPr>
            </w:pPr>
          </w:p>
        </w:tc>
        <w:tc>
          <w:tcPr>
            <w:tcW w:w="5560" w:type="dxa"/>
            <w:vAlign w:val="bottom"/>
            <w:gridSpan w:val="2"/>
          </w:tcPr>
          <w:p>
            <w:pPr>
              <w:ind w:left="1660"/>
              <w:spacing w:after="0"/>
              <w:rPr>
                <w:sz w:val="20"/>
                <w:szCs w:val="20"/>
                <w:color w:val="auto"/>
              </w:rPr>
            </w:pPr>
            <w:r>
              <w:rPr>
                <w:rFonts w:ascii="Arial" w:cs="Arial" w:eastAsia="Arial" w:hAnsi="Arial"/>
                <w:sz w:val="18"/>
                <w:szCs w:val="18"/>
                <w:color w:val="auto"/>
              </w:rPr>
              <w:t>S-4</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agreed to reimburse the underwriters for their reasonable out-of-pocket expenses incurred in connection with this offering. We estimate that the expenses of this offering payable by us will be approximately $200,000.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We, our chief executive officer, our chief financial officer and one of our executive vice presidents have agreed that, for a period of 45 days from the date of this prospectus supplement, we and they will not, without the prior written consent of Merrill Lynch, Pierce, Fenner &amp; Smith Incorporated, offer, sell, contract to sell or otherwise dispose of or hedge any of our common shares or any securities convertible into or exercisable, exchangeable or redeemable for our common shares. This lock-up agreement, however, will not prevent us from issuing or granting options to purchase:</w:t>
      </w:r>
    </w:p>
    <w:p>
      <w:pPr>
        <w:spacing w:after="0" w:line="32"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shares in this offering;</w:t>
      </w:r>
    </w:p>
    <w:p>
      <w:pPr>
        <w:spacing w:after="0" w:line="90"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shares pursuant to our Dividend Reinvestment and Share Purchase Plan, including as a result of exercises of options granted under these plans;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common shares pursuant to our employee or trustee benefit plans, including as a result of exercises of options granted under these plans;</w:t>
      </w:r>
    </w:p>
    <w:p>
      <w:pPr>
        <w:spacing w:after="0" w:line="113" w:lineRule="exact"/>
        <w:rPr>
          <w:rFonts w:ascii="Arial" w:cs="Arial" w:eastAsia="Arial" w:hAnsi="Arial"/>
          <w:sz w:val="16"/>
          <w:szCs w:val="16"/>
          <w:color w:val="auto"/>
        </w:rPr>
      </w:pPr>
    </w:p>
    <w:p>
      <w:pPr>
        <w:ind w:left="780" w:right="2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shares pursuant to any exercise of contractual rights that exist on the date of this prospectus supplement and that require or permit us to issue common shares to current or former holders of partnership or other interests in certain of our “downREIT” partnerships or other subsidiaries, including as a result of exercises of options granted pursuant to such rights; and</w:t>
      </w:r>
    </w:p>
    <w:p>
      <w:pPr>
        <w:spacing w:after="0" w:line="59"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certain conditions, common shares, preferred shares and any other of our securities, including securities convertible into or exercisable, exchangeable or redeemable for common shares, as consideration for the acquisition of real property.</w:t>
      </w:r>
    </w:p>
    <w:p>
      <w:pPr>
        <w:spacing w:after="0" w:line="132"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lock-up agreements do not prohibit the chief executive officer, the chief financial officer or the specified executive vice president from exercising options (as long as they hold the common shares received from such exercises pursuant to the terms of the lock-up agreements) or purchasing shares under employee or trustee benefit plans, from making gifts of common shares or securities convertible into or exercisable, exchangeable or redeemable for common shares for the benefit of their immediate families or for charitable purposes as long as the donee enters into a similar lock-up agreement.</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Merrill Lynch, Pierce, Fenner &amp; Smith Incorporated, may, in its sole discretion and at any time or from time to time, without notice, release us, our chief executive officer, our chief financial officer or the specified executive vice president from the lock-up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underwriters have advised us that they may engage in transactions, including stabilization bids and covering transactions, which may have the effect of stabilizing or maintaining the market price of our common shares at a level above that which might otherwise prevail in the open market.</w:t>
      </w:r>
    </w:p>
    <w:p>
      <w:pPr>
        <w:spacing w:after="0" w:line="4" w:lineRule="exact"/>
        <w:rPr>
          <w:sz w:val="20"/>
          <w:szCs w:val="20"/>
          <w:color w:val="auto"/>
        </w:rPr>
      </w:pPr>
    </w:p>
    <w:p>
      <w:pPr>
        <w:ind w:left="780" w:right="4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“stabilizing bid” is a bid for or the purchase of the common shares on behalf of the underwriters for the purpose of fixing or maintaining the price of the common shares.</w:t>
      </w:r>
    </w:p>
    <w:p>
      <w:pPr>
        <w:spacing w:after="0" w:line="50"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“covering transaction” is a bid for or the purchase of the common shares on behalf of the underwriters to reduce a short position incurred by the underwriters in connection with this offering.</w:t>
      </w:r>
    </w:p>
    <w:p>
      <w:pPr>
        <w:spacing w:after="0" w:line="2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underwriters have advised us that these transactions may be effected on the New York Stock Exchange or otherwise. Neither we nor the underwriters makes any representation that the underwriters will engage in any of the transactions described above, and these transactions, if commenced, may be discontinued without notice. Neither we nor the underwriters makes any representation or prediction as to the direction or magnitude of the effect that the transactions described above, if commenced, may have on the market price of our common shares.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Relationships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underwriters have performed investment banking, and other commercial services for us from time to time for which they have received customary fees and expenses. The underwriters may, from time to time, engage in transactions with and perform services for us in the ordinary course of their business. In particular, affiliates of Wachovia Capital Markets, LLC are lenders under our Revolving Credit Facility and our term loan, and affiliates of Wachovia Capital Markets, LLC are an administrative agent, arranger and book manager, respectively, under our Revolving Credit Facility and our term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New York Stock Exchange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Prospectus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in electronic format may be made available on the websites maintained by one or more of the underwriters.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consolidated balance sheets as of December 31, 2006 and 2005 and the consolidated statements of operations, common shareholders’ equity and cash flows for the three years ended December 31, 2006, 2005 and 2004 appearing in our Annual Report on Form 10-K for the fiscal year ended December 31, 2006 and incorporated by reference into this prospectus supplement and elsewhere in the registration statement have been audited by Grant Thornton LLP, independent registered public accountants, as indicated in their report with respect thereto (which report expressed an unqualified opinion and contains an explanatory paragraph related to the adoption of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effective January 1, 2006) and is included herein in reliance upon the authority of said firm as experts in accounting and auditing in giving said report.</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legality of the common shares offered by this prospectus supplement will be passed upon for us by Pillsbury Winthrop Shaw Pittman LLP, Washington, DC. In addition, the description of federal income tax consequences contained in the accompanying prospectus under “Federal Income Tax Consequences” is, to the extent that it constitutes matters of law, summaries of legal matters or legal conclusions, based upon the opinion of Pillsbury Winthrop Shaw Pittman LLP. Sidley Austin LLP, New York, New York, will act as counsel to the underwriters.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274" w:right="27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 YOU CAN FIND MORE INFORMATION</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Securities and Exchange Commission, or SEC. Our SEC filings are available to the public at the SEC’s website at www.sec.gov. You may also read and copy any document we file at the SEC’s Public Reference Room at:</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Public Reference Section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Please call the SEC at (800) 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SEC allows us to “incorporate by reference” the information we file with the SEC and the New York Stock Exchange, which means we can disclose important information to you by referring you to those documents. The information we incorporate by reference is an important part of this prospectus supplement and the accompanying prospectus, and all information that we will later file with the SEC will automatically update and supersede that information. Any statement contained in this prospectus supplement, the accompanying prospectus or a document incorporated or deemed to be incorporated by reference in this prospectus supplement or the accompanying prospectus will be deemed to have been modified or superseded to the extent that a statement contained in this prospectus supplement, or in any subsequently filed document that also is or is deemed to be incorporated by reference in this prospectus supplement or the accompanying prospectus, modifies or supersedes that statement. Any statement so modified or superseded will not be deemed, except as so modified or superseded, to constitute a part of this prospectus supplement or the accompanying prospectus. We do not incorporate by reference into this prospectus supplement or the accompanying prospectus any documents or portions of documents that, in accordance with SEC rules, we “furnish” to the SEC, as opposed to “file” with the SEC. As a result, the information that we furnish to the SEC is not and will not be a part of this prospectus or the accompanying prospectus supplement.</w:t>
      </w:r>
    </w:p>
    <w:p>
      <w:pPr>
        <w:spacing w:after="0" w:line="12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incorporate by reference the documents listed below as well as any future filings made with the SEC under Sections 13(a), 13(c), 14, or 15(d) of the Securities Exchange Act of 1934, or the Exchange Act (Exchange Act File No. 1-07533), from the date of this prospectus supplement until we terminate the offering hereunder.</w:t>
      </w:r>
    </w:p>
    <w:p>
      <w:pPr>
        <w:spacing w:after="0" w:line="59"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March 31, 2007</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June 30, 2007</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September 30, 2007</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February 16, 2007</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13, 2007</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23, 2007</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2, 2007</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17, 2007</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November 5, 2007</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40"/>
          </w:cols>
          <w:pgMar w:left="240" w:top="274" w:right="319" w:bottom="1440" w:gutter="0" w:footer="0" w:header="0"/>
        </w:sectPr>
      </w:pPr>
    </w:p>
    <w:bookmarkStart w:id="11" w:name="page12"/>
    <w:bookmarkEnd w:id="11"/>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Copies of these filings are available at no cost on our website, www.federalrealty.com. Amendments to these filings will be posted to our website as soon as reasonably practical after filing with the SEC. In addition, you may obtain a copy of these filings and any amendments to the filings at no cost, by writing or telephoning us. Those copies will not include exhibits to the filings unless the exhibits are specifically incorporated by reference in the documents or unless you specifically request them. You also may obtain copies of any exhibits to the registration statement. Please direct your request to: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Senior Vice President, Capital Markets and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1626 E. Jefferson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(301) 998-8100 or (800) 658-8980</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prospectus supplement and the accompanying prospectus do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this prospectus supplement and the accompanying prospectus about the provisions or contents of any contract, agreement or any other document referred to are not necessarily complete. Please refer to the actual exhibit for a more complete description of the matters involved. You may obtain copies of the exhibits by contacting the person named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0" w:right="2460" w:firstLine="2064"/>
        <w:spacing w:after="0" w:line="444" w:lineRule="auto"/>
        <w:rPr>
          <w:sz w:val="20"/>
          <w:szCs w:val="20"/>
          <w:color w:val="auto"/>
        </w:rPr>
      </w:pPr>
      <w:r>
        <w:rPr>
          <w:rFonts w:ascii="Arial" w:cs="Arial" w:eastAsia="Arial" w:hAnsi="Arial"/>
          <w:sz w:val="16"/>
          <w:szCs w:val="16"/>
          <w:b w:val="1"/>
          <w:bCs w:val="1"/>
          <w:color w:val="auto"/>
        </w:rPr>
        <w:t xml:space="preserve">Debt Securities, Common Shares, Preferred Shares, Depositary Shares and Warrants </w:t>
      </w:r>
      <w:r>
        <w:rPr>
          <w:rFonts w:ascii="Arial" w:cs="Arial" w:eastAsia="Arial" w:hAnsi="Arial"/>
          <w:sz w:val="16"/>
          <w:szCs w:val="16"/>
          <w:color w:val="auto"/>
        </w:rPr>
        <w:t>We may from time to time offer, in one or more series, separately or together, the following:</w:t>
      </w:r>
    </w:p>
    <w:p>
      <w:pPr>
        <w:spacing w:after="0" w:line="1"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common shares of beneficial interest (and rights to acquire common shares that are attached to, or trade with, our common shares);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warrants to purchase our common and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Please read this prospectus and the applicable supplement carefully before you invest.</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106045</wp:posOffset>
            </wp:positionV>
            <wp:extent cx="15347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June 20, 2006.</w:t>
      </w:r>
    </w:p>
    <w:p>
      <w:pPr>
        <w:sectPr>
          <w:pgSz w:w="11900" w:h="16838" w:orient="portrait"/>
          <w:cols w:equalWidth="0" w:num="1">
            <w:col w:w="11360"/>
          </w:cols>
          <w:pgMar w:left="240" w:top="274"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80" w:type="dxa"/>
            <w:vAlign w:val="bottom"/>
            <w:gridSpan w:val="2"/>
          </w:tcPr>
          <w:p>
            <w:pPr>
              <w:ind w:left="17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11"/>
            <w:vMerge w:val="restart"/>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About this Prospectus</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11"/>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Forward-Looking Information</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The Company</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Ratios of Earnings to Combined Fixed Charges and Preferred Share Dividends</w:t>
              </w:r>
            </w:hyperlink>
          </w:p>
        </w:tc>
        <w:tc>
          <w:tcPr>
            <w:tcW w:w="56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Description of Debt Securities</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Description of Shares of Beneficial Interest</w:t>
              </w:r>
            </w:hyperlink>
          </w:p>
        </w:tc>
        <w:tc>
          <w:tcPr>
            <w:tcW w:w="808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41">
              <w:r>
                <w:rPr>
                  <w:rFonts w:ascii="Arial" w:cs="Arial" w:eastAsia="Arial" w:hAnsi="Arial"/>
                  <w:sz w:val="18"/>
                  <w:szCs w:val="18"/>
                  <w:color w:val="0000EE"/>
                  <w:w w:val="85"/>
                </w:rPr>
                <w:t>Federal Income Tax Consequences</w:t>
              </w:r>
            </w:hyperlink>
          </w:p>
        </w:tc>
        <w:tc>
          <w:tcPr>
            <w:tcW w:w="868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Legal Matters</w:t>
              </w:r>
            </w:hyperlink>
          </w:p>
        </w:tc>
        <w:tc>
          <w:tcPr>
            <w:tcW w:w="97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101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83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Where You Can Find More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You should read both this prospectus and the applicable prospectus supplement, together with additional information described under the heading “Where You Can Find More Information.”</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References to “we,” “us” or “our” refer to Federal Realty Investment Trust and its directly or indirectly owned subsidiaries, unless the context otherwise requires. The term “you” refers to a prospective investor.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Before investing in our securities, you should be aware that there are various risks. Investors should carefully consider, among other factors, the factors discussed in this prospectus and in any prospectus supplement. This prospectus contains, and any accompanying prospectus supplement will contain, forward-looking statements within the meaning of Section 27A of the Securities Act of 1933, as amended, Section 21E of the Securities Exchange Act of 1934, as amended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high-quality retail and mixed-use properties. As of March 31,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2006, we owned or had a majority interest in 104 community and neighborhood shopping centers and mixed-use properties comprising approximately</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17.6 million square feet, located primarily in densely populated and affluent communities throughout the Northeast and Mid-Atlantic United States, as well as in California, and one apartment complex in Maryland.</w:t>
      </w:r>
    </w:p>
    <w:p>
      <w:pPr>
        <w:spacing w:after="0" w:line="13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operate in a manner intended to qualify as a real estate investment trust pursuant to provisions of the Internal Revenue Code. Our offices are located at 1626 East Jefferson Street, Rockville, Maryland 20852. Our telephone number is (301) 998-8100 or (800) 658-8980.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in our website is not a part of this prospectus.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51"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of new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redevelopment of existing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327"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 of earnings to fixed charges and preferred stock dividends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For the Three Months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6"/>
              </w:rPr>
              <w:t>For the Years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136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4"/>
                <w:szCs w:val="14"/>
                <w:b w:val="1"/>
                <w:bCs w:val="1"/>
                <w:color w:val="auto"/>
              </w:rPr>
              <w:t>Ended March 31,</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580" w:type="dxa"/>
            <w:vAlign w:val="bottom"/>
          </w:tcPr>
          <w:p>
            <w:pPr>
              <w:jc w:val="right"/>
              <w:ind w:right="84"/>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58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5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2004</w:t>
            </w:r>
          </w:p>
        </w:tc>
        <w:tc>
          <w:tcPr>
            <w:tcW w:w="5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2003</w:t>
            </w:r>
          </w:p>
        </w:tc>
        <w:tc>
          <w:tcPr>
            <w:tcW w:w="4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2002</w:t>
            </w: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1.4</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 (a) earnings consist of income from continuing operations before minority interests plus distributed income of equity investees and fixed charges (excluding capitalized interest) less minority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ratio of earnings to combined fixed charges and preferred stock dividends is computed by dividing earnings by the total of fixed charges and preferred stock dividends. In computing the ratio of earnings to combined fixed charges and preferred stock dividends: (a) earnings consist of income from continuing operations before minority interests plus distributed income of equity investees and fixed charges (excluding capitalized interest) less minority interests of subsidiaries with no fixed charges; (b) fixed charges consist of interest expense including amortization of debt discounts and issuance costs (including capitalized interest) and the estimated portion of rents payable by us representing interest; and (c) preferred stock dividends consist of preferred stock dividends and preferred stock redemption costs.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90"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90"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96"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an indenture between us and Wachovia Bank National Association, as successor to First Union National Bank, Trustee. We have filed with the SEC two indentures that are exhibits to the registration statement that includes this prospectus. The senior indenture describes the general terms of senior debt securities we may issue. In addition to describing the general terms of subordinated debt securities that we may issue, the subordinated indenture includes additional terms describing the subordination provisions of these securities. Each of the indentures is subject to the Trust Indenture Act of 1939, as amended.</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indentures do not include all the terms of debt securities we may issue through this prospectus. If we issue debt securities through this prospectus, our Board of Trustees will establish the additional terms for each series of debt securities. The additional terms will be either established pursuant to, and set forth in, a supplemental indenture, or established pursuant to a resolution of our Board of Trustees and set forth in an officer’s certificate. Each indenture describes the additional terms that may be established and we summarize the additional terms that may be established under “— Additional Terms of Debt Securities,” below.</w:t>
      </w:r>
    </w:p>
    <w:p>
      <w:pPr>
        <w:spacing w:after="0" w:line="9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summarized the provisions of the senior indenture and the subordinated indenture below. The summary is not complete. You should read the indentures for provisions that may be important to you. The extent, if any, to which the provisions of the base indentures apply to particular debt securities will be described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6" w:name="page17"/>
    <w:bookmarkEnd w:id="16"/>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prospectus supplement relating to those securities. You should read the prospectus supplement for more information regarding any particular issuance of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when we issue the series. We will describe the terms of the series in a prospectus supplement. Each indenture provides that the terms that may be established include the following:</w:t>
      </w:r>
    </w:p>
    <w:p>
      <w:pPr>
        <w:spacing w:after="0" w:line="59"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or dates.</w:t>
      </w:r>
    </w:p>
    <w:p>
      <w:pPr>
        <w:spacing w:after="0" w:line="50" w:lineRule="exact"/>
        <w:rPr>
          <w:rFonts w:ascii="Arial" w:cs="Arial" w:eastAsia="Arial" w:hAnsi="Arial"/>
          <w:sz w:val="18"/>
          <w:szCs w:val="18"/>
          <w:color w:val="auto"/>
        </w:rPr>
      </w:pPr>
    </w:p>
    <w:p>
      <w:pPr>
        <w:ind w:left="780" w:right="6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90"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Payment Dates. </w:t>
      </w:r>
      <w:r>
        <w:rPr>
          <w:rFonts w:ascii="Arial" w:cs="Arial" w:eastAsia="Arial" w:hAnsi="Arial"/>
          <w:sz w:val="18"/>
          <w:szCs w:val="18"/>
          <w:color w:val="auto"/>
        </w:rPr>
        <w:t>The date or dates on which interest will be payable and the record date or dates to determine the persons who will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50"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59" w:lineRule="exact"/>
        <w:rPr>
          <w:rFonts w:ascii="Arial" w:cs="Arial" w:eastAsia="Arial" w:hAnsi="Arial"/>
          <w:sz w:val="18"/>
          <w:szCs w:val="18"/>
          <w:color w:val="auto"/>
        </w:rPr>
      </w:pPr>
    </w:p>
    <w:p>
      <w:pPr>
        <w:ind w:left="780" w:right="100" w:hanging="326"/>
        <w:spacing w:after="0" w:line="298"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31" w:lineRule="exact"/>
        <w:rPr>
          <w:rFonts w:ascii="Arial" w:cs="Arial" w:eastAsia="Arial" w:hAnsi="Arial"/>
          <w:sz w:val="16"/>
          <w:szCs w:val="16"/>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90" w:lineRule="exact"/>
        <w:rPr>
          <w:rFonts w:ascii="Arial" w:cs="Arial" w:eastAsia="Arial" w:hAnsi="Arial"/>
          <w:sz w:val="18"/>
          <w:szCs w:val="18"/>
          <w:color w:val="auto"/>
        </w:rPr>
      </w:pPr>
    </w:p>
    <w:p>
      <w:pPr>
        <w:ind w:left="780" w:right="160" w:hanging="326"/>
        <w:spacing w:after="0" w:line="256"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62"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index or pursuant to a formula or other method, the manner in which such amounts will be determined.</w:t>
      </w:r>
    </w:p>
    <w:p>
      <w:pPr>
        <w:spacing w:after="0" w:line="5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method by which such portion shall be determined.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Special Rights. </w:t>
      </w:r>
      <w:r>
        <w:rPr>
          <w:rFonts w:ascii="Arial" w:cs="Arial" w:eastAsia="Arial" w:hAnsi="Arial"/>
          <w:sz w:val="18"/>
          <w:szCs w:val="18"/>
          <w:color w:val="auto"/>
        </w:rPr>
        <w:t>Provisions, if any, granting special rights to the holders of the offered debt securities if certain specified events occur.</w:t>
      </w:r>
    </w:p>
    <w:p>
      <w:pPr>
        <w:spacing w:after="0" w:line="9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7" w:name="page18"/>
    <w:bookmarkEnd w:id="17"/>
    <w:p>
      <w:pPr>
        <w:ind w:left="780" w:right="22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90"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90"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62" w:lineRule="exact"/>
        <w:rPr>
          <w:rFonts w:ascii="Arial" w:cs="Arial" w:eastAsia="Arial" w:hAnsi="Arial"/>
          <w:sz w:val="18"/>
          <w:szCs w:val="18"/>
          <w:color w:val="auto"/>
        </w:rPr>
      </w:pPr>
    </w:p>
    <w:p>
      <w:pPr>
        <w:ind w:left="780" w:right="160" w:hanging="326"/>
        <w:spacing w:after="0" w:line="25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installation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59" w:lineRule="exact"/>
        <w:rPr>
          <w:rFonts w:ascii="Arial" w:cs="Arial" w:eastAsia="Arial" w:hAnsi="Arial"/>
          <w:sz w:val="18"/>
          <w:szCs w:val="18"/>
          <w:color w:val="auto"/>
        </w:rPr>
      </w:pPr>
    </w:p>
    <w:p>
      <w:pPr>
        <w:ind w:left="780" w:right="22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4" w:lineRule="exact"/>
        <w:rPr>
          <w:rFonts w:ascii="Arial" w:cs="Arial" w:eastAsia="Arial" w:hAnsi="Arial"/>
          <w:sz w:val="16"/>
          <w:szCs w:val="16"/>
          <w:color w:val="auto"/>
        </w:rPr>
      </w:pPr>
    </w:p>
    <w:p>
      <w:pPr>
        <w:ind w:left="780" w:right="70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4" w:lineRule="exact"/>
        <w:rPr>
          <w:rFonts w:ascii="Arial" w:cs="Arial" w:eastAsia="Arial" w:hAnsi="Arial"/>
          <w:sz w:val="16"/>
          <w:szCs w:val="16"/>
          <w:color w:val="auto"/>
        </w:rPr>
      </w:pPr>
    </w:p>
    <w:p>
      <w:pPr>
        <w:ind w:left="780" w:right="28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the subordinated indenture, the relative degree to which the offered debt securities shall be senior to or junior to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securities, whether currently outstanding or to be offered in the future, and to other debt, in right of payment.</w:t>
      </w:r>
    </w:p>
    <w:p>
      <w:pPr>
        <w:spacing w:after="0" w:line="4" w:lineRule="exact"/>
        <w:rPr>
          <w:rFonts w:ascii="Arial" w:cs="Arial" w:eastAsia="Arial" w:hAnsi="Arial"/>
          <w:sz w:val="16"/>
          <w:szCs w:val="16"/>
          <w:color w:val="auto"/>
        </w:rPr>
      </w:pPr>
    </w:p>
    <w:p>
      <w:pPr>
        <w:ind w:left="780" w:right="60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 guarantees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whether and the extent to which the guarantees are subordinated to other debt of the guarantors).</w:t>
      </w:r>
    </w:p>
    <w:p>
      <w:pPr>
        <w:spacing w:after="0" w:line="4" w:lineRule="exact"/>
        <w:rPr>
          <w:rFonts w:ascii="Arial" w:cs="Arial" w:eastAsia="Arial" w:hAnsi="Arial"/>
          <w:sz w:val="16"/>
          <w:szCs w:val="16"/>
          <w:color w:val="auto"/>
        </w:rPr>
      </w:pPr>
    </w:p>
    <w:p>
      <w:pPr>
        <w:ind w:left="780" w:right="10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The terms, if any, upon which the offered debt securities may be converted or exchanged into or for our common shares, preferred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 securities or property.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90" w:lineRule="exact"/>
        <w:rPr>
          <w:rFonts w:ascii="Arial" w:cs="Arial" w:eastAsia="Arial" w:hAnsi="Arial"/>
          <w:sz w:val="18"/>
          <w:szCs w:val="18"/>
          <w:color w:val="auto"/>
        </w:rPr>
      </w:pPr>
    </w:p>
    <w:p>
      <w:pPr>
        <w:ind w:left="780" w:right="38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90" w:lineRule="exact"/>
        <w:rPr>
          <w:sz w:val="20"/>
          <w:szCs w:val="20"/>
          <w:color w:val="auto"/>
        </w:rPr>
      </w:pPr>
    </w:p>
    <w:p>
      <w:pPr>
        <w:ind w:left="780" w:right="4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8" w:name="page19"/>
    <w:bookmarkEnd w:id="18"/>
    <w:p>
      <w:pPr>
        <w:ind w:left="780" w:right="120" w:hanging="326"/>
        <w:spacing w:after="0" w:line="306"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consequences relating to the offered debt securities in a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90"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90"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other currency may be a currency unit composed of various currencies. Payments on debt securities may also be based on an index.</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Payment, Transfer and Exchange. </w:t>
      </w:r>
      <w:r>
        <w:rPr>
          <w:rFonts w:ascii="Arial" w:cs="Arial" w:eastAsia="Arial" w:hAnsi="Arial"/>
          <w:sz w:val="15"/>
          <w:szCs w:val="15"/>
          <w:color w:val="auto"/>
        </w:rPr>
        <w:t>Unless we say otherwise in a prospectus supplement, the office for paying principal, interest and other amounts on the</w:t>
      </w:r>
    </w:p>
    <w:p>
      <w:pPr>
        <w:spacing w:after="0" w:line="57"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debt securities is Wachovia Bank National Association, 401 S. Tryon Street, 12</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Charlotte, North Carolina 28288. We will notify you of any change in the office’s location. At our option, however, we may make any interest payments on debt securities issued in registered form by:</w:t>
      </w:r>
    </w:p>
    <w:p>
      <w:pPr>
        <w:spacing w:after="0" w:line="102"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mailing checks to you at the address you specify;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specify.</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will describe in a prospectus supplement how we will pay amounts owing on bearer securities. We will only pay amounts owing on bearer securities at an office outside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agency that we designate.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You may transfer or exchange debt securities without service charge, although we may require you to pay any related tax or other governmental charge.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90"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Registered 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Covenants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Each indenture contains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90"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4" w:lineRule="exact"/>
        <w:rPr>
          <w:sz w:val="20"/>
          <w:szCs w:val="20"/>
          <w:color w:val="auto"/>
        </w:rPr>
      </w:pPr>
    </w:p>
    <w:p>
      <w:pPr>
        <w:jc w:val="both"/>
        <w:ind w:left="780" w:right="80" w:hanging="326"/>
        <w:spacing w:after="0" w:line="259"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59"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5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consolidate with, or sell, lease or convey all or substantially all of our assets, or merge with or into any other entity, provided that we satisfy all of the following conditions:</w:t>
      </w:r>
    </w:p>
    <w:p>
      <w:pPr>
        <w:spacing w:after="0" w:line="51"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we must be the continuing company, or</w:t>
      </w:r>
    </w:p>
    <w:p>
      <w:pPr>
        <w:spacing w:after="0" w:line="90" w:lineRule="exact"/>
        <w:rPr>
          <w:rFonts w:ascii="Arial" w:cs="Arial" w:eastAsia="Arial" w:hAnsi="Arial"/>
          <w:sz w:val="18"/>
          <w:szCs w:val="18"/>
          <w:color w:val="auto"/>
        </w:rPr>
      </w:pPr>
    </w:p>
    <w:p>
      <w:pPr>
        <w:ind w:left="1260" w:right="160" w:hanging="455"/>
        <w:spacing w:after="0" w:line="259" w:lineRule="auto"/>
        <w:tabs>
          <w:tab w:leader="none" w:pos="12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20" w:name="page21"/>
    <w:bookmarkEnd w:id="20"/>
    <w:p>
      <w:pPr>
        <w:ind w:left="780" w:right="4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immediately before and immediately after giving effect to such transactions, no default or event of default under the debt securities shall have occurred and be continuing; and</w:t>
      </w:r>
    </w:p>
    <w:p>
      <w:pPr>
        <w:spacing w:after="0" w:line="50" w:lineRule="exact"/>
        <w:rPr>
          <w:rFonts w:ascii="Arial" w:cs="Arial" w:eastAsia="Arial" w:hAnsi="Arial"/>
          <w:sz w:val="18"/>
          <w:szCs w:val="18"/>
          <w:color w:val="auto"/>
        </w:rPr>
      </w:pPr>
    </w:p>
    <w:p>
      <w:pPr>
        <w:ind w:left="780" w:right="240" w:hanging="326"/>
        <w:spacing w:after="0" w:line="25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Senior debt is defined in the subordinated indenture as the principal of and interest on, or substantially similar payments to be made by us in respect of, the following, whether outstanding at the date of execution of the subordinated indenture or thereafter incurred, created or assumed:</w:t>
      </w:r>
    </w:p>
    <w:p>
      <w:pPr>
        <w:spacing w:after="0" w:line="4"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90" w:lineRule="exact"/>
        <w:rPr>
          <w:rFonts w:ascii="Arial" w:cs="Arial" w:eastAsia="Arial" w:hAnsi="Arial"/>
          <w:sz w:val="18"/>
          <w:szCs w:val="18"/>
          <w:color w:val="auto"/>
        </w:rPr>
      </w:pPr>
    </w:p>
    <w:p>
      <w:pPr>
        <w:ind w:left="780" w:right="280" w:hanging="326"/>
        <w:spacing w:after="0" w:line="332" w:lineRule="auto"/>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4" w:lineRule="exact"/>
        <w:rPr>
          <w:rFonts w:ascii="Arial" w:cs="Arial" w:eastAsia="Arial" w:hAnsi="Arial"/>
          <w:sz w:val="16"/>
          <w:szCs w:val="16"/>
          <w:color w:val="auto"/>
        </w:rPr>
      </w:pPr>
    </w:p>
    <w:p>
      <w:pPr>
        <w:ind w:left="780" w:right="10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50" w:lineRule="exact"/>
        <w:rPr>
          <w:rFonts w:ascii="Arial" w:cs="Arial" w:eastAsia="Arial" w:hAnsi="Arial"/>
          <w:sz w:val="18"/>
          <w:szCs w:val="18"/>
          <w:color w:val="auto"/>
        </w:rPr>
      </w:pPr>
    </w:p>
    <w:p>
      <w:pPr>
        <w:ind w:left="1260" w:right="100" w:hanging="455"/>
        <w:spacing w:after="0" w:line="306" w:lineRule="auto"/>
        <w:tabs>
          <w:tab w:leader="none" w:pos="12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25" w:lineRule="exact"/>
        <w:rPr>
          <w:rFonts w:ascii="Arial" w:cs="Arial" w:eastAsia="Arial" w:hAnsi="Arial"/>
          <w:sz w:val="16"/>
          <w:szCs w:val="16"/>
          <w:color w:val="auto"/>
        </w:rPr>
      </w:pPr>
    </w:p>
    <w:p>
      <w:pPr>
        <w:ind w:left="1260" w:right="80" w:hanging="455"/>
        <w:spacing w:after="0" w:line="268" w:lineRule="auto"/>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50" w:lineRule="exact"/>
        <w:rPr>
          <w:rFonts w:ascii="Arial" w:cs="Arial" w:eastAsia="Arial" w:hAnsi="Arial"/>
          <w:sz w:val="18"/>
          <w:szCs w:val="18"/>
          <w:color w:val="auto"/>
        </w:rPr>
      </w:pPr>
    </w:p>
    <w:p>
      <w:pPr>
        <w:ind w:left="1260" w:hanging="455"/>
        <w:spacing w:after="0"/>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restrictions in the subordinated indenture upon the creation of additional senior debt.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w:t>
      </w:r>
    </w:p>
    <w:p>
      <w:pPr>
        <w:spacing w:after="0" w:line="51" w:lineRule="exact"/>
        <w:rPr>
          <w:sz w:val="20"/>
          <w:szCs w:val="20"/>
          <w:color w:val="auto"/>
        </w:rPr>
      </w:pPr>
    </w:p>
    <w:p>
      <w:pPr>
        <w:ind w:left="5680" w:right="4960" w:hanging="5226"/>
        <w:spacing w:after="0" w:line="525" w:lineRule="auto"/>
        <w:tabs>
          <w:tab w:leader="none" w:pos="788" w:val="left"/>
        </w:tabs>
        <w:numPr>
          <w:ilvl w:val="0"/>
          <w:numId w:val="24"/>
        </w:numPr>
        <w:rPr>
          <w:rFonts w:ascii="Arial" w:cs="Arial" w:eastAsia="Arial" w:hAnsi="Arial"/>
          <w:sz w:val="16"/>
          <w:szCs w:val="16"/>
          <w:color w:val="auto"/>
        </w:rPr>
      </w:pPr>
      <w:r>
        <w:rPr>
          <w:rFonts w:ascii="Arial" w:cs="Arial" w:eastAsia="Arial" w:hAnsi="Arial"/>
          <w:sz w:val="16"/>
          <w:szCs w:val="16"/>
          <w:color w:val="auto"/>
        </w:rPr>
        <w:t>pay any principal, premium, if any, or interest on subordinated debt securities; or 9</w:t>
      </w:r>
    </w:p>
    <w:p>
      <w:pPr>
        <w:sectPr>
          <w:pgSz w:w="11900" w:h="16838" w:orient="portrait"/>
          <w:cols w:equalWidth="0" w:num="1">
            <w:col w:w="11420"/>
          </w:cols>
          <w:pgMar w:left="240" w:top="280" w:right="239" w:bottom="1440" w:gutter="0" w:footer="0" w:header="0"/>
        </w:sectPr>
      </w:pPr>
    </w:p>
    <w:bookmarkStart w:id="21" w:name="page22"/>
    <w:bookmarkEnd w:id="21"/>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 redeem, defease, or otherwise acquire any subordinated debt securities.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13"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distributing any assets if:</w:t>
      </w:r>
    </w:p>
    <w:p>
      <w:pPr>
        <w:spacing w:after="0" w:line="51"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must resume payments on our subordinated debt securities, and make any payments we have missed, upon the earliest of:</w:t>
      </w:r>
    </w:p>
    <w:p>
      <w:pPr>
        <w:spacing w:after="0" w:line="59"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13"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 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1" w:lineRule="exact"/>
        <w:rPr>
          <w:sz w:val="20"/>
          <w:szCs w:val="20"/>
          <w:color w:val="auto"/>
        </w:rPr>
      </w:pPr>
    </w:p>
    <w:p>
      <w:pPr>
        <w:ind w:left="460" w:right="160" w:firstLine="443"/>
        <w:spacing w:after="0" w:line="268" w:lineRule="auto"/>
        <w:tabs>
          <w:tab w:leader="none" w:pos="10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in the payment of any interest on any debt security of that series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0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060" w:hanging="157"/>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2" w:name="page23"/>
    <w:bookmarkEnd w:id="22"/>
    <w:p>
      <w:pPr>
        <w:ind w:left="460" w:firstLine="443"/>
        <w:spacing w:after="0" w:line="259" w:lineRule="auto"/>
        <w:tabs>
          <w:tab w:leader="none" w:pos="1064"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120" w:firstLine="443"/>
        <w:spacing w:after="0" w:line="289" w:lineRule="auto"/>
        <w:tabs>
          <w:tab w:leader="none" w:pos="107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18" w:lineRule="exact"/>
        <w:rPr>
          <w:rFonts w:ascii="Arial" w:cs="Arial" w:eastAsia="Arial" w:hAnsi="Arial"/>
          <w:sz w:val="16"/>
          <w:szCs w:val="16"/>
          <w:color w:val="auto"/>
        </w:rPr>
      </w:pPr>
    </w:p>
    <w:p>
      <w:pPr>
        <w:ind w:left="1080" w:hanging="177"/>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and</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90" w:lineRule="exact"/>
        <w:rPr>
          <w:sz w:val="20"/>
          <w:szCs w:val="20"/>
          <w:color w:val="auto"/>
        </w:rPr>
      </w:pPr>
    </w:p>
    <w:p>
      <w:pPr>
        <w:ind w:left="1080" w:hanging="177"/>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920" w:right="80" w:firstLine="421"/>
        <w:spacing w:after="0" w:line="268" w:lineRule="auto"/>
        <w:tabs>
          <w:tab w:leader="none" w:pos="1579"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 or any other case or proceeding to be adjudicated bankrupt or insolvent;</w:t>
      </w:r>
    </w:p>
    <w:p>
      <w:pPr>
        <w:spacing w:after="0" w:line="50" w:lineRule="exact"/>
        <w:rPr>
          <w:rFonts w:ascii="Arial" w:cs="Arial" w:eastAsia="Arial" w:hAnsi="Arial"/>
          <w:sz w:val="18"/>
          <w:szCs w:val="18"/>
          <w:color w:val="auto"/>
        </w:rPr>
      </w:pPr>
    </w:p>
    <w:p>
      <w:pPr>
        <w:ind w:left="920" w:right="40" w:firstLine="421"/>
        <w:spacing w:after="0" w:line="332" w:lineRule="auto"/>
        <w:tabs>
          <w:tab w:leader="none" w:pos="1588" w:val="left"/>
        </w:tabs>
        <w:numPr>
          <w:ilvl w:val="1"/>
          <w:numId w:val="31"/>
        </w:numPr>
        <w:rPr>
          <w:rFonts w:ascii="Arial" w:cs="Arial" w:eastAsia="Arial" w:hAnsi="Arial"/>
          <w:sz w:val="16"/>
          <w:szCs w:val="16"/>
          <w:color w:val="auto"/>
        </w:rPr>
      </w:pPr>
      <w:r>
        <w:rPr>
          <w:rFonts w:ascii="Arial" w:cs="Arial" w:eastAsia="Arial" w:hAnsi="Arial"/>
          <w:sz w:val="16"/>
          <w:szCs w:val="16"/>
          <w:color w:val="auto"/>
        </w:rPr>
        <w:t>consent to the entry of a decree or order for relief in respect of us or any of our significant subsidiaries in an involuntary case or proceeding under any applicable bankruptcy law or to the commencement of any bankruptcy or insolvency case or proceeding against us or it;</w:t>
      </w:r>
    </w:p>
    <w:p>
      <w:pPr>
        <w:spacing w:after="0" w:line="4" w:lineRule="exact"/>
        <w:rPr>
          <w:rFonts w:ascii="Arial" w:cs="Arial" w:eastAsia="Arial" w:hAnsi="Arial"/>
          <w:sz w:val="16"/>
          <w:szCs w:val="16"/>
          <w:color w:val="auto"/>
        </w:rPr>
      </w:pPr>
    </w:p>
    <w:p>
      <w:pPr>
        <w:ind w:left="920" w:right="620" w:firstLine="421"/>
        <w:spacing w:after="0" w:line="268" w:lineRule="auto"/>
        <w:tabs>
          <w:tab w:leader="none" w:pos="1579"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90" w:lineRule="exact"/>
        <w:rPr>
          <w:rFonts w:ascii="Arial" w:cs="Arial" w:eastAsia="Arial" w:hAnsi="Arial"/>
          <w:sz w:val="18"/>
          <w:szCs w:val="18"/>
          <w:color w:val="auto"/>
        </w:rPr>
      </w:pPr>
    </w:p>
    <w:p>
      <w:pPr>
        <w:ind w:left="1060" w:hanging="157"/>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default except for:</w:t>
      </w:r>
    </w:p>
    <w:p>
      <w:pPr>
        <w:spacing w:after="0" w:line="51"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Acceleration of Payment. </w:t>
      </w:r>
      <w:r>
        <w:rPr>
          <w:rFonts w:ascii="Arial" w:cs="Arial" w:eastAsia="Arial" w:hAnsi="Arial"/>
          <w:sz w:val="18"/>
          <w:szCs w:val="18"/>
          <w:color w:val="auto"/>
        </w:rPr>
        <w:t>Unless we say otherwise in a prospectus supplement, each indenture provides that if an event of default occurs and continues,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 or the holders of not less than 25% in aggregate principal amount of the debt securities of the applicable series outstanding may declare all unpaid principal of, premium, if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3" w:name="page24"/>
    <w:bookmarkEnd w:id="2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Waiver of Acceleration. </w:t>
      </w:r>
      <w:r>
        <w:rPr>
          <w:rFonts w:ascii="Arial" w:cs="Arial" w:eastAsia="Arial" w:hAnsi="Arial"/>
          <w:sz w:val="18"/>
          <w:szCs w:val="18"/>
          <w:color w:val="auto"/>
        </w:rPr>
        <w:t>Unless we say otherwise in a prospectus supplement, each indenture provides that, after a declaration of acceleration, but before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59"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overdue interest on all debt securities of the applicable series,</w:t>
      </w:r>
    </w:p>
    <w:p>
      <w:pPr>
        <w:spacing w:after="0" w:line="90" w:lineRule="exact"/>
        <w:rPr>
          <w:rFonts w:ascii="Arial" w:cs="Arial" w:eastAsia="Arial" w:hAnsi="Arial"/>
          <w:sz w:val="18"/>
          <w:szCs w:val="18"/>
          <w:color w:val="auto"/>
        </w:rPr>
      </w:pPr>
    </w:p>
    <w:p>
      <w:pPr>
        <w:ind w:left="1260" w:right="220" w:hanging="455"/>
        <w:spacing w:after="0" w:line="268" w:lineRule="auto"/>
        <w:tabs>
          <w:tab w:leader="none" w:pos="12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50" w:lineRule="exact"/>
        <w:rPr>
          <w:rFonts w:ascii="Arial" w:cs="Arial" w:eastAsia="Arial" w:hAnsi="Arial"/>
          <w:sz w:val="18"/>
          <w:szCs w:val="18"/>
          <w:color w:val="auto"/>
        </w:rPr>
      </w:pPr>
    </w:p>
    <w:p>
      <w:pPr>
        <w:ind w:left="1260" w:hanging="455"/>
        <w:spacing w:after="0"/>
        <w:tabs>
          <w:tab w:leader="none" w:pos="12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borne by the debt securities, and</w:t>
      </w:r>
    </w:p>
    <w:p>
      <w:pPr>
        <w:spacing w:after="0" w:line="90" w:lineRule="exact"/>
        <w:rPr>
          <w:rFonts w:ascii="Arial" w:cs="Arial" w:eastAsia="Arial" w:hAnsi="Arial"/>
          <w:sz w:val="18"/>
          <w:szCs w:val="18"/>
          <w:color w:val="auto"/>
        </w:rPr>
      </w:pPr>
    </w:p>
    <w:p>
      <w:pPr>
        <w:ind w:left="1260" w:right="260" w:hanging="455"/>
        <w:spacing w:after="0" w:line="268" w:lineRule="auto"/>
        <w:tabs>
          <w:tab w:leader="none" w:pos="12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5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written statement as to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any debt security of such series or in the payment of any sinking fund installment in respect of any debt security of such series) if the trustee considers such withholding to be in the interest of the holders.</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Limitation on Suits. </w:t>
      </w:r>
      <w:r>
        <w:rPr>
          <w:rFonts w:ascii="Arial" w:cs="Arial" w:eastAsia="Arial" w:hAnsi="Arial"/>
          <w:sz w:val="18"/>
          <w:szCs w:val="18"/>
          <w:color w:val="auto"/>
        </w:rPr>
        <w:t>Each indenture provides that no holders of debt securities of any series may institute any proceedings, judicial or otherwise,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the indenture or for any remedy thereunder, except in the case of the failure of the trustee, for 60 days, to act after it has received a written request to institute proceedings in respect of an event of default from the holders of not less than 25% in aggregate principal amount of the debt securities of the applicable series outstanding, as well as an offer of indemnity reasonably satisfactory to it.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44"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24" w:name="page25"/>
    <w:bookmarkEnd w:id="24"/>
    <w:p>
      <w:pPr>
        <w:jc w:val="both"/>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59" w:lineRule="exact"/>
        <w:rPr>
          <w:sz w:val="20"/>
          <w:szCs w:val="20"/>
          <w:color w:val="auto"/>
        </w:rPr>
      </w:pPr>
    </w:p>
    <w:p>
      <w:pPr>
        <w:ind w:left="780" w:right="34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50" w:lineRule="exact"/>
        <w:rPr>
          <w:rFonts w:ascii="Arial" w:cs="Arial" w:eastAsia="Arial" w:hAnsi="Arial"/>
          <w:sz w:val="18"/>
          <w:szCs w:val="18"/>
          <w:color w:val="auto"/>
        </w:rPr>
      </w:pPr>
    </w:p>
    <w:p>
      <w:pPr>
        <w:ind w:left="780" w:hanging="326"/>
        <w:spacing w:after="0" w:line="332" w:lineRule="auto"/>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84"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780" w:right="100"/>
        <w:spacing w:after="0" w:line="253" w:lineRule="auto"/>
        <w:rPr>
          <w:rFonts w:ascii="Arial" w:cs="Arial" w:eastAsia="Arial" w:hAnsi="Arial"/>
          <w:sz w:val="16"/>
          <w:szCs w:val="16"/>
          <w:color w:val="auto"/>
        </w:rPr>
      </w:pPr>
      <w:r>
        <w:rPr>
          <w:rFonts w:ascii="Arial" w:cs="Arial" w:eastAsia="Arial" w:hAnsi="Arial"/>
          <w:sz w:val="18"/>
          <w:szCs w:val="18"/>
          <w:color w:val="auto"/>
        </w:rPr>
        <w:t>(i) currency, currencies or currency unit in which those debt securities are then specified as payable at maturity, (ii) government securities (as defined in the applicable indenture) or (iii) any combination thereof, as will be sufficient,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64" w:lineRule="exact"/>
        <w:rPr>
          <w:rFonts w:ascii="Arial" w:cs="Arial" w:eastAsia="Arial" w:hAnsi="Arial"/>
          <w:sz w:val="16"/>
          <w:szCs w:val="16"/>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90" w:lineRule="exact"/>
        <w:rPr>
          <w:sz w:val="20"/>
          <w:szCs w:val="20"/>
          <w:color w:val="auto"/>
        </w:rPr>
      </w:pPr>
    </w:p>
    <w:p>
      <w:pPr>
        <w:ind w:left="1260" w:hanging="455"/>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since the date we issued the applicable debt securities, there has been a change in the applicable federal income tax law,</w:t>
      </w:r>
    </w:p>
    <w:p>
      <w:pPr>
        <w:spacing w:after="0" w:line="90"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59" w:lineRule="exact"/>
        <w:rPr>
          <w:sz w:val="20"/>
          <w:szCs w:val="20"/>
          <w:color w:val="auto"/>
        </w:rPr>
      </w:pPr>
    </w:p>
    <w:p>
      <w:pPr>
        <w:ind w:left="780" w:right="60" w:hanging="326"/>
        <w:spacing w:after="0" w:line="256"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25" w:name="page26"/>
    <w:bookmarkEnd w:id="25"/>
    <w:p>
      <w:pPr>
        <w:ind w:left="780" w:right="6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default or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5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50" w:lineRule="exact"/>
        <w:rPr>
          <w:rFonts w:ascii="Arial" w:cs="Arial" w:eastAsia="Arial" w:hAnsi="Arial"/>
          <w:sz w:val="18"/>
          <w:szCs w:val="18"/>
          <w:color w:val="auto"/>
        </w:rPr>
      </w:pPr>
    </w:p>
    <w:p>
      <w:pPr>
        <w:ind w:left="780" w:hanging="326"/>
        <w:spacing w:after="0" w:line="306" w:lineRule="auto"/>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representations under the Investment Company Act have been effected.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26"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the coin or currency in which the principal or premium, if any, of any debt security or the interest thereon is payable;</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50" w:lineRule="exact"/>
        <w:rPr>
          <w:rFonts w:ascii="Arial" w:cs="Arial" w:eastAsia="Arial" w:hAnsi="Arial"/>
          <w:sz w:val="18"/>
          <w:szCs w:val="18"/>
          <w:color w:val="auto"/>
        </w:rPr>
      </w:pPr>
    </w:p>
    <w:p>
      <w:pPr>
        <w:ind w:left="780" w:right="380" w:hanging="326"/>
        <w:spacing w:after="0" w:line="332"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w:t>
      </w:r>
    </w:p>
    <w:p>
      <w:pPr>
        <w:spacing w:after="0" w:line="4" w:lineRule="exact"/>
        <w:rPr>
          <w:rFonts w:ascii="Arial" w:cs="Arial" w:eastAsia="Arial" w:hAnsi="Arial"/>
          <w:sz w:val="16"/>
          <w:szCs w:val="16"/>
          <w:color w:val="auto"/>
        </w:rPr>
      </w:pPr>
    </w:p>
    <w:p>
      <w:pPr>
        <w:ind w:left="780" w:right="20" w:hanging="326"/>
        <w:spacing w:after="0" w:line="256"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51" w:lineRule="exact"/>
        <w:rPr>
          <w:sz w:val="20"/>
          <w:szCs w:val="20"/>
          <w:color w:val="auto"/>
        </w:rPr>
      </w:pPr>
    </w:p>
    <w:p>
      <w:pPr>
        <w:ind w:left="780" w:right="52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9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6" w:name="page27"/>
    <w:bookmarkEnd w:id="26"/>
    <w:p>
      <w:pPr>
        <w:ind w:left="800"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premium or interest on bearer securities, to permit bearer securities to be issued in exchange for registered securities or bearer of securities of other authorized denominations, or to permit or facilitate the issuance of securities in uncertificated form;</w:t>
      </w:r>
    </w:p>
    <w:p>
      <w:pPr>
        <w:spacing w:after="0" w:line="64"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9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50" w:lineRule="exact"/>
        <w:rPr>
          <w:rFonts w:ascii="Arial" w:cs="Arial" w:eastAsia="Arial" w:hAnsi="Arial"/>
          <w:sz w:val="18"/>
          <w:szCs w:val="18"/>
          <w:color w:val="auto"/>
        </w:rPr>
      </w:pPr>
    </w:p>
    <w:p>
      <w:pPr>
        <w:ind w:left="780" w:right="400" w:hanging="326"/>
        <w:spacing w:after="0" w:line="256"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62"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35"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SHARES OF BENEFICIAL INTEREST</w:t>
      </w:r>
    </w:p>
    <w:p>
      <w:pPr>
        <w:spacing w:after="0" w:line="1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are a Maryland real estate investment trust. Your rights as a shareholder are governed by the Code of Maryland, including Title 8 of the Corporations and Associations Article, our declaration of trust and our bylaws. The following summary of the material terms, rights and preferences of the shares of beneficial interest is not complete. You should read our declaration of trust, bylaws and shareholder rights plan for more complete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96" w:lineRule="exact"/>
        <w:rPr>
          <w:sz w:val="20"/>
          <w:szCs w:val="20"/>
          <w:color w:val="auto"/>
        </w:rPr>
      </w:pPr>
    </w:p>
    <w:p>
      <w:pPr>
        <w:ind w:right="320" w:firstLine="456"/>
        <w:spacing w:after="0" w:line="300"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May 1, 2006, we had issued and outstanding 53,047,258 common shares, and 5,400,000 preferred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shares which were designated as 8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Series B Cumulative Redeemable Preferred Shares, which we refer to as the Series B preferred shares.</w:t>
      </w:r>
    </w:p>
    <w:p>
      <w:pPr>
        <w:spacing w:after="0" w:line="1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Each Series B preferred share is entitled to receive, when, as and if authorized by our Board of Trustees out of funds legally available for that purpose, cumulative dividends at the rate of $2.125 per annum.</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Series B preferred shares rank prior to the common shares with respect to the payment of dividends and the distribution of assets upon liquidation, dissolution or winding up of the Trust. Our declaration of trust provides that, unless full cumulative dividends on all outstanding Series B preferred shares and any other class or series of our shares of beneficial interest ranking, as to the payment of dividends and the distribution of assets upon liquidation, dissolution or winding up, on a parity with the Series B preferred shares (“Parity Shares”) shall have been declared and paid or declared and set apart for payment for all past dividend periods, then no dividends, other than dividends paid solely in shares of our, or options, warrants or rights to subscribe for or purchase shares of our, beneficial interest which rank junior to the Series B preferred shares with respect to the payment of dividends and the distribution of assets upon our liquidation, dissolution or winding up (“Fully Junior Shares”), shall be declared or paid or set apart for payment on the common shares nor shall any common shares be redeemed, purchased or otherwise acquired (other than for purposes of our employee incentive or benefit plans or by conversion into or exchange for Fully Junior Shares).</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the event of our liquidation, dissolution or winding up, the holders of Series B preferred shares shall be entitled to receive $25 per share, plus all accrued and unpaid dividends, before any distribution shall be made with respect to the common shares.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51"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classify or reclassify any authorized but unissued common shares or preferred shares into one or more classes or series of shares of beneficial interest;</w:t>
      </w:r>
    </w:p>
    <w:p>
      <w:pPr>
        <w:spacing w:after="0" w:line="124" w:lineRule="exact"/>
        <w:rPr>
          <w:rFonts w:ascii="Arial" w:cs="Arial" w:eastAsia="Arial" w:hAnsi="Arial"/>
          <w:sz w:val="15"/>
          <w:szCs w:val="15"/>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8" w:name="page29"/>
    <w:bookmarkEnd w:id="28"/>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series of beneficial shares that could have the effect of delaying or preventing a change of our control that might involve a premium price for holders of our common shares or otherwise be favorable to them.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Liability</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Under Maryland law, you will not be personally liable for any obligation of ours solely because you 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B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B preferred shares and any other shares of beneficial interest having a priority over our common shares in the event of our liquidation, dissolution or winding up. As noted above under “— Authorized Shares,” our outstanding Series B preferred shares rank prior to our common shares with respect to the payment of dividends and as to the distribution of assets in the event of our liquidation, dissolution or winding up.</w:t>
      </w:r>
    </w:p>
    <w:p>
      <w:pPr>
        <w:spacing w:after="0" w:line="12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(other than trustees elected by the holders of our preferred shares under the circumstances described below under “— Preferred Shares — Voting Rights”).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at a meeting where the number of nominees exceeds the number of trustees to be elected, and the holders of a majority of all of the votes cast at a meeting of shareholders duly called and at which a quorum is present can elect a trustee at a meeting where the number of nominees is the same as the number of trustees to be elected, and in both cases the holders of the remaining shares will not be able to elect any trustees.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90"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9" w:name="page30"/>
    <w:bookmarkEnd w:id="29"/>
    <w:p>
      <w:pPr>
        <w:ind w:right="5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59" w:lineRule="exact"/>
        <w:rPr>
          <w:sz w:val="20"/>
          <w:szCs w:val="20"/>
          <w:color w:val="auto"/>
        </w:rPr>
      </w:pPr>
    </w:p>
    <w:p>
      <w:pPr>
        <w:ind w:left="780" w:right="8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election of trustees where the number of nominees exceeds the number of trustees to be elected (which requires a plurality of all the votes cast at a meeting of our shareholders at which a quorum is present);</w:t>
      </w:r>
    </w:p>
    <w:p>
      <w:pPr>
        <w:spacing w:after="0" w:line="50" w:lineRule="exact"/>
        <w:rPr>
          <w:rFonts w:ascii="Arial" w:cs="Arial" w:eastAsia="Arial" w:hAnsi="Arial"/>
          <w:sz w:val="18"/>
          <w:szCs w:val="18"/>
          <w:color w:val="auto"/>
        </w:rPr>
      </w:pPr>
    </w:p>
    <w:p>
      <w:pPr>
        <w:ind w:left="780" w:right="20" w:hanging="326"/>
        <w:spacing w:after="0" w:line="256"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62" w:lineRule="exact"/>
        <w:rPr>
          <w:rFonts w:ascii="Arial" w:cs="Arial" w:eastAsia="Arial" w:hAnsi="Arial"/>
          <w:sz w:val="18"/>
          <w:szCs w:val="18"/>
          <w:color w:val="auto"/>
        </w:rPr>
      </w:pPr>
    </w:p>
    <w:p>
      <w:pPr>
        <w:ind w:left="780" w:right="180" w:hanging="326"/>
        <w:spacing w:after="0" w:line="306" w:lineRule="auto"/>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25" w:lineRule="exact"/>
        <w:rPr>
          <w:rFonts w:ascii="Arial" w:cs="Arial" w:eastAsia="Arial" w:hAnsi="Arial"/>
          <w:sz w:val="16"/>
          <w:szCs w:val="16"/>
          <w:color w:val="auto"/>
        </w:rPr>
      </w:pPr>
    </w:p>
    <w:p>
      <w:pPr>
        <w:ind w:left="780" w:right="52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the affirmative vote of two-thirds of all the votes entitled to be cast on the matter); and</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declaration of trust permits the trustees to revoke our election to be taxed as a real estate investment trust, or REIT, or to determine that compliance with any restriction or limitations on ownership and transfers of shares set forth in the declaration of trust is no longer required in order for us to qualify as a REIT. Our declaration of trust also permits the trustees to amend the declaration of trust from time to time, without approval by you or the other shareholders, to:</w:t>
      </w:r>
    </w:p>
    <w:p>
      <w:pPr>
        <w:spacing w:after="0" w:line="26"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law or the Internal Revenue Code;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any provision of our bylaws may be adopted, altered or repealed by the shareholders, at any meeting of shareholders called for that purpose, by the affirmative vote of holders of not less than a majority of the shares then outstanding and entitled to vote.</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Transfer Agent and Registrar. </w:t>
      </w:r>
      <w:r>
        <w:rPr>
          <w:rFonts w:ascii="Arial" w:cs="Arial" w:eastAsia="Arial" w:hAnsi="Arial"/>
          <w:sz w:val="16"/>
          <w:szCs w:val="16"/>
          <w:color w:val="auto"/>
        </w:rPr>
        <w:t>The transfer agent and registrar for the common shares is American Stock Transfer &amp; Trust Company, New York,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Preferred Shares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 Trustees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13"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dividend rate(s), period(s), amounts and/or payment date(s) or method(s) of calculation of any of those terms that apply to those preferred shares;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9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50"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discussion of federal income tax consequences applicable to those preferred shares; and</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real estate investment trust.</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31" w:name="page32"/>
    <w:bookmarkEnd w:id="31"/>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51"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0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4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may be required by applicable law or any applicable rules and regulations of the New York Stock Exchange.</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Declaration of Trust provides that the holders of Series B preferred shares, together with the holders of any series or class of shares ranking on a parity with the Series B preferred shares, voting as a single class regardless of series, will be entitled to elect two additional trustees to serve on the Board of Trustees when six consecutive quarterly dividends payable to the holders of Series B preferred shares or any series or class of parity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32" w:name="page33"/>
    <w:bookmarkEnd w:id="32"/>
    <w:p>
      <w:pPr>
        <w:jc w:val="both"/>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are in arrears. Whenever all dividends in arrears on the Series B preferred shares and any series or class of parity shares have been paid or set aside for payment, then these special voting rights immediately cease (subject to reinstatement under similar circumstances in the future), and the term of office of the trustees so elected automatically expires.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the holders of the Series B preferred shares have such voting rights as are required by applicable law or any applicable rules and regulations of the New York Stock Exchange.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51" w:lineRule="exact"/>
        <w:rPr>
          <w:sz w:val="20"/>
          <w:szCs w:val="20"/>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b w:val="1"/>
          <w:bCs w:val="1"/>
          <w:i w:val="1"/>
          <w:iCs w:val="1"/>
          <w:color w:val="auto"/>
        </w:rPr>
        <w:t xml:space="preserve">Transfer Agent and Registrar. </w:t>
      </w:r>
      <w:r>
        <w:rPr>
          <w:rFonts w:ascii="Arial" w:cs="Arial" w:eastAsia="Arial" w:hAnsi="Arial"/>
          <w:sz w:val="15"/>
          <w:szCs w:val="15"/>
          <w:color w:val="auto"/>
        </w:rPr>
        <w:t>The transfer agent and registrar for the Series B preferred shares is American Stock Transfer &amp; Trust Company, New York,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New York. We will identify the transfer agent and registrar for any additional series of preferred shares issued through this prospectus in a prospectus supplement.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33" w:name="page34"/>
    <w:bookmarkEnd w:id="33"/>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whether voluntary or involuntary, you will be entitled, as a record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depositary shares, to the fraction of the liquidation preference accorded each applicable preferred share, as has been set forth in a prospectus supplement.</w:t>
      </w:r>
    </w:p>
    <w:p>
      <w:pPr>
        <w:spacing w:after="0" w:line="8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Amendment and Termination of the Deposit Agreement. </w:t>
      </w:r>
      <w:r>
        <w:rPr>
          <w:rFonts w:ascii="Arial" w:cs="Arial" w:eastAsia="Arial" w:hAnsi="Arial"/>
          <w:sz w:val="16"/>
          <w:szCs w:val="16"/>
          <w:color w:val="auto"/>
        </w:rPr>
        <w:t>We and the depositary may amend the form of depositary receipt and any provision of the deposit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6" w:lineRule="exact"/>
        <w:rPr>
          <w:sz w:val="20"/>
          <w:szCs w:val="20"/>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34" w:name="page35"/>
    <w:bookmarkEnd w:id="34"/>
    <w:p>
      <w:pPr>
        <w:ind w:left="780" w:right="260" w:hanging="326"/>
        <w:spacing w:after="0" w:line="332" w:lineRule="auto"/>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4"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Restrictions on ownership and transfer of shares are important to ensure that we meet certain conditions under the Internal Revenue Code of 1986, as amended, which we refer to as the Code, to qualify as a REIT. For example, the Code contains the following requirements.</w:t>
      </w:r>
    </w:p>
    <w:p>
      <w:pPr>
        <w:spacing w:after="0" w:line="4" w:lineRule="exact"/>
        <w:rPr>
          <w:sz w:val="20"/>
          <w:szCs w:val="20"/>
          <w:color w:val="auto"/>
        </w:rPr>
      </w:pPr>
    </w:p>
    <w:p>
      <w:pPr>
        <w:ind w:left="780" w:right="200" w:hanging="326"/>
        <w:spacing w:after="0" w:line="306" w:lineRule="auto"/>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25" w:lineRule="exact"/>
        <w:rPr>
          <w:rFonts w:ascii="Arial" w:cs="Arial" w:eastAsia="Arial" w:hAnsi="Arial"/>
          <w:sz w:val="16"/>
          <w:szCs w:val="16"/>
          <w:color w:val="auto"/>
        </w:rPr>
      </w:pPr>
    </w:p>
    <w:p>
      <w:pPr>
        <w:ind w:left="780" w:right="140" w:hanging="326"/>
        <w:spacing w:after="0" w:line="268"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35" w:name="page36"/>
    <w:bookmarkEnd w:id="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transfer of shares will be null and void, and the intended transferee will acquire no rights in such shares if the transfer:</w:t>
      </w:r>
    </w:p>
    <w:p>
      <w:pPr>
        <w:spacing w:after="0" w:line="90" w:lineRule="exact"/>
        <w:rPr>
          <w:sz w:val="20"/>
          <w:szCs w:val="20"/>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90" w:lineRule="exact"/>
        <w:rPr>
          <w:rFonts w:ascii="Arial" w:cs="Arial" w:eastAsia="Arial" w:hAnsi="Arial"/>
          <w:sz w:val="18"/>
          <w:szCs w:val="18"/>
          <w:color w:val="auto"/>
        </w:rPr>
      </w:pPr>
    </w:p>
    <w:p>
      <w:pPr>
        <w:ind w:left="780" w:right="880" w:hanging="326"/>
        <w:spacing w:after="0" w:line="268"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color w:val="auto"/>
        </w:rPr>
        <w:t>. 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26" w:lineRule="exact"/>
        <w:rPr>
          <w:sz w:val="20"/>
          <w:szCs w:val="20"/>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54"/>
        </w:numPr>
        <w:rPr>
          <w:rFonts w:ascii="Arial" w:cs="Arial" w:eastAsia="Arial" w:hAnsi="Arial"/>
          <w:sz w:val="15"/>
          <w:szCs w:val="15"/>
          <w:color w:val="auto"/>
        </w:rPr>
      </w:pPr>
      <w:r>
        <w:rPr>
          <w:rFonts w:ascii="Arial" w:cs="Arial" w:eastAsia="Arial" w:hAnsi="Arial"/>
          <w:sz w:val="15"/>
          <w:szCs w:val="15"/>
          <w:color w:val="auto"/>
        </w:rPr>
        <w:t>the price per share equal to the market price (which is calculated as defined in our declaration of trust) on the date the shares were received, or</w:t>
      </w:r>
    </w:p>
    <w:p>
      <w:pPr>
        <w:spacing w:after="0" w:line="124" w:lineRule="exact"/>
        <w:rPr>
          <w:rFonts w:ascii="Arial" w:cs="Arial" w:eastAsia="Arial" w:hAnsi="Arial"/>
          <w:sz w:val="15"/>
          <w:szCs w:val="15"/>
          <w:color w:val="auto"/>
        </w:rPr>
      </w:pPr>
    </w:p>
    <w:p>
      <w:pPr>
        <w:ind w:left="1260" w:hanging="455"/>
        <w:spacing w:after="0"/>
        <w:tabs>
          <w:tab w:leader="none" w:pos="12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36" w:name="page37"/>
    <w:bookmarkEnd w:id="36"/>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must both give us immediate written notice of such event and provide us such other information as requested in order to determine the effect, if any, of such transfer on our status as a REIT.</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Board of Trustees has agreed to exempt from the ownership limitation Morgan Stanley Investment Management, Inc., or MSIM, for itself and on behalf of its investment advisory clients on whose behalf MSIM owns our common shares. The Board of Trustees approved an exemption for MSIM, which expires on May 3, 2010 and which permits MSIM and its clients, as a group to own up to 12.0% of our outstanding common shares.</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color w:val="auto"/>
        </w:rPr>
        <w:t>. 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90" w:lineRule="exact"/>
        <w:rPr>
          <w:sz w:val="20"/>
          <w:szCs w:val="20"/>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Provisions of Maryland Law and our Declaration of Trust and Bylaws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 Restrictions on Ownership and Transfer” and the supermajority voting rights described under “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color w:val="auto"/>
        </w:rPr>
        <w:t>. 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62" w:lineRule="exact"/>
        <w:rPr>
          <w:sz w:val="20"/>
          <w:szCs w:val="20"/>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shares; or</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of our affiliates that beneficially owned 10% or more of the voting power of our shares within two years prior to the applicable date relating to the transaction.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51" w:lineRule="exact"/>
        <w:rPr>
          <w:sz w:val="20"/>
          <w:szCs w:val="20"/>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real estate investment trust acquired in a “control share acquisition” have no voting rights unless two-thirds of the shareholders (excluding shares owned by the acquirer and by the officers and trustees who are employees of the Maryland real estate investment trust) approve their voting rights.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38" w:name="page39"/>
    <w:bookmarkEnd w:id="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 Shares” are shares that, if added to all other shares previously acquired, would entitle that person to vote, in electing trustees:</w:t>
      </w:r>
    </w:p>
    <w:p>
      <w:pPr>
        <w:spacing w:after="0" w:line="90" w:lineRule="exact"/>
        <w:rPr>
          <w:sz w:val="20"/>
          <w:szCs w:val="20"/>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10% or more but less than one-third of such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one-third or more but less than a majority of such shares,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majority of the outstanding shares.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Rights Plan</w:t>
      </w:r>
      <w:r>
        <w:rPr>
          <w:rFonts w:ascii="Arial" w:cs="Arial" w:eastAsia="Arial" w:hAnsi="Arial"/>
          <w:sz w:val="16"/>
          <w:szCs w:val="16"/>
          <w:color w:val="auto"/>
        </w:rPr>
        <w:t>. On April 13, 1989, we adopted a shareholder rights plan and declared a dividend distribution of one right for each outstanding common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shareholders of record at the close of business on April 24, 1989, with such rights to expire on April 24, 1999. On March 11, 1999, the expiration date of the rights plan was extended and certain other amendments to the terms of the rights plan were adopted. Except as set forth below, each right, when exercisable, entitles the registered holder to purchase from us a number of common shares equal in value to two times the purchase price, which is initially equal to $65.00 per share but is subject to adjustment upon the occurrence of specified events.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become exercisable upon the earlier to occur of</w:t>
      </w:r>
    </w:p>
    <w:p>
      <w:pPr>
        <w:spacing w:after="0" w:line="90" w:lineRule="exact"/>
        <w:rPr>
          <w:sz w:val="20"/>
          <w:szCs w:val="20"/>
          <w:color w:val="auto"/>
        </w:rPr>
      </w:pPr>
    </w:p>
    <w:p>
      <w:pPr>
        <w:ind w:left="780" w:right="480" w:hanging="326"/>
        <w:spacing w:after="0" w:line="268"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public announcement that, without our prior consent, a person or group of affiliated or associated persons has acquired, or obtained the right to acquire, beneficial ownership of 20% or more of our common shares; or</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ten days following the commencement of (or a public announcement of an intention to make) a tender offer or exchange offer that would result in the beneficial ownership by a person or group of 20% or more of our common shares.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to holders of record of our common shares, and the separate rights certificates alone will evidence the rights.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the rights will expire on the earliest of</w:t>
      </w:r>
    </w:p>
    <w:p>
      <w:pPr>
        <w:spacing w:after="0" w:line="90" w:lineRule="exact"/>
        <w:rPr>
          <w:sz w:val="20"/>
          <w:szCs w:val="20"/>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April 24, 2009;</w:t>
      </w:r>
    </w:p>
    <w:p>
      <w:pPr>
        <w:spacing w:after="0" w:line="90"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consummation of a merger transaction with a person or group who acquired common shares pursuant to a transaction approved by the Board of Trustees;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redemption by us as described below.</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 the event that the rights become exercisable, each holder of a right will for a 60-day period thereafter have the right to receive upon exercise and payment of the purchase price (initially set at $65.00 but subject to adjustment) that number of our common shares (or fractional shares) having a then-current market value of two times the purchase price, subject to the availability of a sufficient number of authorized but unissued common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We are entitled (but not required) to deliver, upon exercise of the right, in lieu of common shares, shares of equivalent securities.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which at the time of such transaction would have a market value equal to two times the then-current purchase price of the right.</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At any time prior to the earlier to occur of the date the rights become exercisable or the expiration of the rights, we may redeem the rights in whole, but not in part, at a price of $0.01 per right, payable in cash or common shares.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15% or more of our common shares. Upon the effective date of the redemption of the rights, the right to exercise the rights will terminate and the only right of the holders of rights will be to receive the price of $0.01 per right.</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one of our shareholders, including, without limitation, the right to vote or to receive dividends.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color w:val="auto"/>
        </w:rPr>
        <w:t>. Under Maryland law, there is a presumption that the act of a trustee satisfies the required standard of care. An act of a trustee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affecting an acquisition or a potential acquisition of control is not subject under Maryland law to a higher duty or greater scrutiny than is applied to any other act of a trustee.</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Number of Trustees; Classified Board</w:t>
      </w:r>
      <w:r>
        <w:rPr>
          <w:rFonts w:ascii="Arial" w:cs="Arial" w:eastAsia="Arial" w:hAnsi="Arial"/>
          <w:sz w:val="18"/>
          <w:szCs w:val="18"/>
          <w:color w:val="auto"/>
        </w:rPr>
        <w:t>. The number of trustees may be increased or decreased pursuant to the bylaws, provided that the total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may not be less than five or more than 10. Under Maryland law and our declaration of trust, trustees, except for any trustees that may be elected by holders of preferred shares, are elected in three classes for staggered, three-year terms.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color w:val="auto"/>
        </w:rPr>
        <w:t>. Under the declaration of trust, and subject to the rights of any holders of preferred shares, our shareholders may remove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or without cause, at any meeting of shareholders called for that purpose, either by</w:t>
      </w:r>
    </w:p>
    <w:p>
      <w:pPr>
        <w:spacing w:after="0" w:line="51" w:lineRule="exact"/>
        <w:rPr>
          <w:sz w:val="20"/>
          <w:szCs w:val="20"/>
          <w:color w:val="auto"/>
        </w:rPr>
      </w:pPr>
    </w:p>
    <w:p>
      <w:pPr>
        <w:ind w:left="780" w:right="220" w:hanging="326"/>
        <w:spacing w:after="0" w:line="268"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5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color w:val="auto"/>
        </w:rPr>
        <w:t>. 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holders of the Series B preferred shares have the right to elect two additional trustees to the Board of Trustees under the circumstances described above under “— Preferred Shares — Voting Rights.”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40" w:name="page41"/>
    <w:bookmarkEnd w:id="40"/>
    <w:p>
      <w:pPr>
        <w:jc w:val="both"/>
        <w:ind w:right="20" w:firstLine="456"/>
        <w:spacing w:after="0" w:line="256"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Meetings of Shareholders</w:t>
      </w:r>
      <w:r>
        <w:rPr>
          <w:rFonts w:ascii="Arial" w:cs="Arial" w:eastAsia="Arial" w:hAnsi="Arial"/>
          <w:sz w:val="18"/>
          <w:szCs w:val="18"/>
          <w:color w:val="auto"/>
        </w:rPr>
        <w:t>. Our bylaws provide for an annual meeting of shareholders, to be held in May after delivery of the annual report to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elect individuals to the Board of Trustees for the class of trustees then standing for election and transact such other business as may properly be brought before the meeting. Special meetings of shareholders may be called by our President or by one-third of the Board of Trustees, and shall be called at the request in writing of the holders of 25% of all votes entitled to be cast at the meeting.</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40" w:lineRule="exact"/>
        <w:rPr>
          <w:sz w:val="20"/>
          <w:szCs w:val="20"/>
          <w:color w:val="auto"/>
        </w:rPr>
      </w:pPr>
    </w:p>
    <w:p>
      <w:pPr>
        <w:ind w:right="40" w:firstLine="456"/>
        <w:spacing w:after="0" w:line="300" w:lineRule="auto"/>
        <w:rPr>
          <w:sz w:val="20"/>
          <w:szCs w:val="20"/>
          <w:color w:val="auto"/>
        </w:rPr>
      </w:pPr>
      <w:r>
        <w:rPr>
          <w:rFonts w:ascii="Arial" w:cs="Arial" w:eastAsia="Arial" w:hAnsi="Arial"/>
          <w:sz w:val="15"/>
          <w:szCs w:val="15"/>
          <w:b w:val="1"/>
          <w:bCs w:val="1"/>
          <w:i w:val="1"/>
          <w:iCs w:val="1"/>
          <w:color w:val="auto"/>
        </w:rPr>
        <w:t>Advance Notice for Shareholder Nominations and Shareholder New Business Proposals</w:t>
      </w:r>
      <w:r>
        <w:rPr>
          <w:rFonts w:ascii="Arial" w:cs="Arial" w:eastAsia="Arial" w:hAnsi="Arial"/>
          <w:sz w:val="15"/>
          <w:szCs w:val="15"/>
          <w:color w:val="auto"/>
        </w:rPr>
        <w:t>. Our bylaws require advance written notice for shareholders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nominate a trustee or bring other business before a meeting of shareholders. For an annual meeting, to nominate a trustee or bring other business before a meeting</w:t>
      </w:r>
    </w:p>
    <w:p>
      <w:pPr>
        <w:spacing w:after="0" w:line="1"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of shareholders, a shareholder must deliver notice to our Secretary not later than the close of business on the 120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advanced by more than 30 days from the date of the preceding year’s meeting or if we did not hold an annual meeting the preceding year, notice must be delivered within a reasonable time before we begin to print and mail our proxy materials.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a special meeting, to nominate a trustee, a shareholder must deliver notice to our Secretary not earlier that the close of business on the 120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prior to</w:t>
      </w:r>
    </w:p>
    <w:p>
      <w:pPr>
        <w:spacing w:after="0" w:line="25" w:lineRule="exact"/>
        <w:rPr>
          <w:sz w:val="20"/>
          <w:szCs w:val="20"/>
          <w:color w:val="auto"/>
        </w:rPr>
      </w:pPr>
    </w:p>
    <w:p>
      <w:pPr>
        <w:ind w:right="200"/>
        <w:spacing w:after="0" w:line="220" w:lineRule="auto"/>
        <w:rPr>
          <w:sz w:val="20"/>
          <w:szCs w:val="20"/>
          <w:color w:val="auto"/>
        </w:rPr>
      </w:pPr>
      <w:r>
        <w:rPr>
          <w:rFonts w:ascii="Arial" w:cs="Arial" w:eastAsia="Arial" w:hAnsi="Arial"/>
          <w:sz w:val="18"/>
          <w:szCs w:val="18"/>
          <w:color w:val="auto"/>
        </w:rPr>
        <w:t>the special meeting and not later than the close of business on the later of the 90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prior to the special meeting or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date on which public announcement is first made of the special meeting. Nominations for elections to the Board of Trustees at a special meeting may be made by shareholders only if the Board of Trustees has determined that trustees shall be elected at the special meeting.</w:t>
      </w:r>
    </w:p>
    <w:p>
      <w:pPr>
        <w:spacing w:after="0" w:line="185"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INCOME TAX CONSEQUENCES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Because this section is a summary, it does not address all of the tax issues that may be important to you. For example, this discussion addresses only shares held as capital assets. In addition, this section does not address the tax issues that may be important to certain types of shareholders that are subject to special treatment under the federal income tax laws, such as insurance companies, tax-exempt organizations (except to the extent discussed in “— Taxation of Tax — Exempt U.S. Shareholders” below), financial institutions and dealers or brokers in securities, non-U.S. individuals and foreign corporations (except to the extent discussed in “— Taxation of Non-U.S. Shareholders” below), and shareholders that hold their shares as part of a hedge, appreciated financial position, straddle or conversion transaction.</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Taxation of the Company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2005;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For a discussion of the tax treatment of us and our shareholders if we fail to qualify as a REIT, see “— Requirements for REIT Qualification — Failure to Qualify.”</w:t>
      </w:r>
    </w:p>
    <w:p>
      <w:pPr>
        <w:spacing w:after="0" w:line="12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corporation. However, we will be subject to federal tax in the following circumstances:</w:t>
      </w:r>
    </w:p>
    <w:p>
      <w:pPr>
        <w:spacing w:after="0" w:line="59" w:lineRule="exact"/>
        <w:rPr>
          <w:sz w:val="20"/>
          <w:szCs w:val="20"/>
          <w:color w:val="auto"/>
        </w:rPr>
      </w:pPr>
    </w:p>
    <w:p>
      <w:pPr>
        <w:ind w:left="780" w:right="4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may be subject to the “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780" w:right="180" w:hanging="326"/>
        <w:spacing w:after="0" w:line="332" w:lineRule="auto"/>
        <w:tabs>
          <w:tab w:leader="none" w:pos="7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4"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780" w:right="1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780" w:hanging="326"/>
        <w:spacing w:after="0" w:line="256"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42" w:name="page43"/>
    <w:bookmarkEnd w:id="42"/>
    <w:p>
      <w:pPr>
        <w:jc w:val="both"/>
        <w:ind w:left="780" w:right="160" w:hanging="326"/>
        <w:spacing w:after="0" w:line="259"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59"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780" w:right="160" w:hanging="326"/>
        <w:spacing w:after="0" w:line="294" w:lineRule="auto"/>
        <w:tabs>
          <w:tab w:leader="none" w:pos="7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U.S. Department of Treasury (“Treasury”);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43" w:name="page44"/>
    <w:bookmarkEnd w:id="43"/>
    <w:p>
      <w:pPr>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believe we have issued sufficient common shares with sufficient diversity of ownership to satisfy requirements 5 and 6 set forth above. In addition, our declaration of trust restricts the ownership and transfer of the common shares so that we should continue to satisfy requirements 5 and 6. The provisions of our declaration of trust restricting the ownership and transfer of the common shares are described in “Description of Shares of Beneficial Ownership–Restrictions on Ownership and Transfer.”</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which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liabilities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90" w:lineRule="exact"/>
        <w:rPr>
          <w:sz w:val="20"/>
          <w:szCs w:val="20"/>
          <w:color w:val="auto"/>
        </w:rPr>
      </w:pPr>
    </w:p>
    <w:p>
      <w:pPr>
        <w:ind w:left="780" w:right="60" w:hanging="326"/>
        <w:spacing w:after="0" w:line="255"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least 75% of our gross income (excluding gross income from prohibited transactions) for each taxable year must consist of defined types of income that we derive, directly or indirectly, from investments relating to real property or mortgages on real property or temporary investment income (the “75% gross income test”). Qualifying income for purposes of the 75% gross income test includes “rents from real property,” interest on debt secured by mortgages on real property or on interests in real property, and dividends or other distributions on and gain from the sale of shares in other REITs; and</w:t>
      </w:r>
    </w:p>
    <w:p>
      <w:pPr>
        <w:spacing w:after="0" w:line="61" w:lineRule="exact"/>
        <w:rPr>
          <w:rFonts w:ascii="Arial" w:cs="Arial" w:eastAsia="Arial" w:hAnsi="Arial"/>
          <w:sz w:val="18"/>
          <w:szCs w:val="18"/>
          <w:color w:val="auto"/>
        </w:rPr>
      </w:pPr>
    </w:p>
    <w:p>
      <w:pPr>
        <w:ind w:left="780" w:right="200" w:hanging="326"/>
        <w:spacing w:after="0" w:line="306" w:lineRule="auto"/>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At least 95% of our gross income (excluding gross income from prohibited transactions and certain real estate liability hedges)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7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Rent that we receive from real property that we own and lease to tenants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qualify as “rents from real property” (which is qualifying income for purposes of the 75% and 95% gross income tests) only if several conditions are met under the REIT tax rules:</w:t>
      </w:r>
    </w:p>
    <w:p>
      <w:pPr>
        <w:spacing w:after="0" w:line="59" w:lineRule="exact"/>
        <w:rPr>
          <w:sz w:val="20"/>
          <w:szCs w:val="20"/>
          <w:color w:val="auto"/>
        </w:rPr>
      </w:pPr>
    </w:p>
    <w:p>
      <w:pPr>
        <w:ind w:left="780" w:right="80" w:hanging="326"/>
        <w:spacing w:after="0" w:line="306" w:lineRule="auto"/>
        <w:tabs>
          <w:tab w:leader="none" w:pos="7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rent must not be based, in whole or in part, on the income or profits of any person although, generally, rent may be based on a fixed percentage or percentages of receipts or sales. We have not entered into any lease based in whole or part on the net income of any person and do not anticipate entering into such arrangements (except where we have determined that the rent received will not jeopardize our status as a REIT);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44" w:name="page45"/>
    <w:bookmarkEnd w:id="44"/>
    <w:p>
      <w:pPr>
        <w:ind w:left="780" w:hanging="326"/>
        <w:spacing w:after="0" w:line="287"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in certain limited circumstances involving taxable REIT subsidiaries, neither we nor someone who owns 10% or more of our shares may own 10% or more of a tenant from whom we receive rent.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is not material and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41" w:lineRule="exact"/>
        <w:rPr>
          <w:rFonts w:ascii="Arial" w:cs="Arial" w:eastAsia="Arial" w:hAnsi="Arial"/>
          <w:sz w:val="16"/>
          <w:szCs w:val="16"/>
          <w:color w:val="auto"/>
        </w:rPr>
      </w:pPr>
    </w:p>
    <w:p>
      <w:pPr>
        <w:ind w:left="780" w:right="40" w:hanging="326"/>
        <w:spacing w:after="0" w:line="254"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case of certain rent from a taxable REIT subsidiary which would, but for this exception, be considered rent from a related party tenant, the space leased to the taxable REIT subsidiary must be part of a property at least 90 percent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is not material and will not jeopardize our status as a REIT;</w:t>
      </w:r>
    </w:p>
    <w:p>
      <w:pPr>
        <w:spacing w:after="0" w:line="63" w:lineRule="exact"/>
        <w:rPr>
          <w:rFonts w:ascii="Arial" w:cs="Arial" w:eastAsia="Arial" w:hAnsi="Arial"/>
          <w:sz w:val="18"/>
          <w:szCs w:val="18"/>
          <w:color w:val="auto"/>
        </w:rPr>
      </w:pPr>
    </w:p>
    <w:p>
      <w:pPr>
        <w:ind w:left="780" w:right="240" w:hanging="326"/>
        <w:spacing w:after="0" w:line="298"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rent attributable to any personal property leased in connection with a lease of property is no more than 15% of the total rent received under the lease. In general, we have not leased a significant amount of personal property under our current leases. If any incidental personal property has been leased, we believe that rent under each lease from the personal property would be less than 15% of total rent from that lease. If we lease personal property in connection with a future lease, we intend to satisfy the 15% test described above; and</w:t>
      </w:r>
    </w:p>
    <w:p>
      <w:pPr>
        <w:spacing w:after="0" w:line="31" w:lineRule="exact"/>
        <w:rPr>
          <w:rFonts w:ascii="Arial" w:cs="Arial" w:eastAsia="Arial" w:hAnsi="Arial"/>
          <w:sz w:val="16"/>
          <w:szCs w:val="16"/>
          <w:color w:val="auto"/>
        </w:rPr>
      </w:pPr>
    </w:p>
    <w:p>
      <w:pPr>
        <w:ind w:left="780" w:right="20" w:hanging="326"/>
        <w:spacing w:after="0" w:line="290"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generally must not operate or manage our property or furnish or render services to our tenants, other than through an “independent contractor” who is adequately compensated and from whom we do not derive revenue, or through a taxable REIT subsidiary. We may provide services directly, if the services are “usually or customarily rendered” in connection with the rental of space for occupancy only and are not otherwise considered “rendered to the occupant.”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Based on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 an ongoing basis, we will use our best efforts not to:</w:t>
      </w:r>
    </w:p>
    <w:p>
      <w:pPr>
        <w:spacing w:after="0" w:line="90" w:lineRule="exact"/>
        <w:rPr>
          <w:sz w:val="20"/>
          <w:szCs w:val="20"/>
          <w:color w:val="auto"/>
        </w:rPr>
      </w:pPr>
    </w:p>
    <w:p>
      <w:pPr>
        <w:ind w:left="78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50" w:lineRule="exact"/>
        <w:rPr>
          <w:rFonts w:ascii="Arial" w:cs="Arial" w:eastAsia="Arial" w:hAnsi="Arial"/>
          <w:sz w:val="18"/>
          <w:szCs w:val="18"/>
          <w:color w:val="auto"/>
        </w:rPr>
      </w:pPr>
    </w:p>
    <w:p>
      <w:pPr>
        <w:ind w:left="780" w:right="380" w:hanging="326"/>
        <w:spacing w:after="0" w:line="259"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45" w:name="page46"/>
    <w:bookmarkEnd w:id="45"/>
    <w:p>
      <w:pPr>
        <w:ind w:left="780" w:right="120" w:hanging="326"/>
        <w:spacing w:after="0" w:line="268"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derive rental income attributable to personal property (other than personal property leased in connection with the lease of real property, the amount of which is less than 15% of the total rent received under the lease); and</w:t>
      </w:r>
    </w:p>
    <w:p>
      <w:pPr>
        <w:spacing w:after="0" w:line="50" w:lineRule="exact"/>
        <w:rPr>
          <w:rFonts w:ascii="Arial" w:cs="Arial" w:eastAsia="Arial" w:hAnsi="Arial"/>
          <w:sz w:val="18"/>
          <w:szCs w:val="18"/>
          <w:color w:val="auto"/>
        </w:rPr>
      </w:pPr>
    </w:p>
    <w:p>
      <w:pPr>
        <w:jc w:val="both"/>
        <w:ind w:left="780" w:right="20" w:hanging="326"/>
        <w:spacing w:after="0" w:line="259"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perform services considered to be rendered to the occupant of the property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26" w:lineRule="exact"/>
        <w:rPr>
          <w:sz w:val="20"/>
          <w:szCs w:val="20"/>
          <w:color w:val="auto"/>
        </w:rPr>
      </w:pPr>
    </w:p>
    <w:p>
      <w:pPr>
        <w:ind w:left="780" w:hanging="326"/>
        <w:spacing w:after="0" w:line="332" w:lineRule="auto"/>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an debt owed to the REIT secured by the property;</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right="20"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780" w:right="300" w:hanging="326"/>
        <w:spacing w:after="0" w:line="268"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50"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0" w:lineRule="exact"/>
        <w:rPr>
          <w:rFonts w:ascii="Arial" w:cs="Arial" w:eastAsia="Arial" w:hAnsi="Arial"/>
          <w:sz w:val="18"/>
          <w:szCs w:val="18"/>
          <w:color w:val="auto"/>
        </w:rPr>
      </w:pPr>
    </w:p>
    <w:p>
      <w:pPr>
        <w:ind w:left="780" w:right="240" w:hanging="326"/>
        <w:spacing w:after="0" w:line="370" w:lineRule="auto"/>
        <w:tabs>
          <w:tab w:leader="none" w:pos="7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Tax on Prohibited Transactions</w:t>
      </w:r>
      <w:r>
        <w:rPr>
          <w:rFonts w:ascii="Arial" w:cs="Arial" w:eastAsia="Arial" w:hAnsi="Arial"/>
          <w:sz w:val="18"/>
          <w:szCs w:val="18"/>
          <w:color w:val="auto"/>
        </w:rPr>
        <w:t>. A REIT will incur a 100% tax on net income derived from any “prohibited transaction.” A “prohibited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is a sale or other disposition of property (other than foreclosure property) that the REIT holds primarily for sale to customers in the ordinary course of a trade or business. The prohibited transaction rules do not apply to property held by a taxable subsidiary of a REIT. Not taking into account properties held by our taxable REIT subsidiaries, we believe that none of the assets we are treated as holding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 Nevertheless, we will attempt to comply with the terms of safe-harbor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46" w:name="page47"/>
    <w:bookmarkEnd w:id="46"/>
    <w:p>
      <w:pPr>
        <w:ind w:right="5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provisions in the Code prescribing when an asset sale will not be characterized as a prohibited transaction. We may fail to comply with such safe-harbor provisions or may own property that could be characterized as property held “primarily for sale to customers in the ordinary course of a trade or business.”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13" w:lineRule="exact"/>
        <w:rPr>
          <w:sz w:val="20"/>
          <w:szCs w:val="20"/>
          <w:color w:val="auto"/>
        </w:rPr>
      </w:pPr>
    </w:p>
    <w:p>
      <w:pPr>
        <w:ind w:left="780" w:right="44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260" w:right="460" w:hanging="455"/>
        <w:spacing w:after="0" w:line="268" w:lineRule="auto"/>
        <w:tabs>
          <w:tab w:leader="none" w:pos="12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50" w:lineRule="exact"/>
        <w:rPr>
          <w:rFonts w:ascii="Arial" w:cs="Arial" w:eastAsia="Arial" w:hAnsi="Arial"/>
          <w:sz w:val="18"/>
          <w:szCs w:val="18"/>
          <w:color w:val="auto"/>
        </w:rPr>
      </w:pPr>
    </w:p>
    <w:p>
      <w:pPr>
        <w:ind w:left="1260" w:right="60" w:hanging="455"/>
        <w:spacing w:after="0" w:line="259" w:lineRule="auto"/>
        <w:tabs>
          <w:tab w:leader="none" w:pos="12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260" w:right="120" w:hanging="455"/>
        <w:spacing w:after="0" w:line="268" w:lineRule="auto"/>
        <w:tabs>
          <w:tab w:leader="none" w:pos="12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50" w:lineRule="exact"/>
        <w:rPr>
          <w:rFonts w:ascii="Arial" w:cs="Arial" w:eastAsia="Arial" w:hAnsi="Arial"/>
          <w:sz w:val="18"/>
          <w:szCs w:val="18"/>
          <w:color w:val="auto"/>
        </w:rPr>
      </w:pPr>
    </w:p>
    <w:p>
      <w:pPr>
        <w:ind w:left="780" w:hanging="326"/>
        <w:spacing w:after="0" w:line="288" w:lineRule="auto"/>
        <w:tabs>
          <w:tab w:leader="none" w:pos="7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qualified REIT subsidiary, or any taxable REIT subsidiary) may not exceed 5% of the value of our total assets (the “5% asset test”), (B) we generally may not own more than 10% of the voting power or value of any one issuer’s outstanding securities, which does not include our equity ownership in other REITs, any qualified REIT subsidiary, or any taxable REIT subsidiary (the “10% asset test”), and (C) the value of our securities in one or more taxable REIT subsidiaries may not exceed 20% of the value of our total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47" w:name="page48"/>
    <w:bookmarkEnd w:id="47"/>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07"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88" w:lineRule="auto"/>
        <w:tabs>
          <w:tab w:leader="none" w:pos="258"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it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2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following taxable year and pay the distribution on or before the first regular dividend payment date after such declaration.</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48" w:name="page49"/>
    <w:bookmarkEnd w:id="48"/>
    <w:p>
      <w:pPr>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to qualify as a REIT. In addition, to avoid a monetary penalty, we must request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basis certain information from our shareholders designed to disclose the actual ownership of our outstanding shares. We have complied, and we intend to continue to comply, with such requirements.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In fact, we would not be required to distribute any amounts to shareholders in such year. In such event, to the extent of our earnings and profits, all distributions to shareholders would be taxable as ordinary income. Such distributions would, however, be “qualified dividend income,” which is taxable at long-term capital gain rates for individual shareholders.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herein, the term “taxable U.S. shareholder” means a taxable holder of common or preferred shares that for U.S. federal income tax purposes is</w:t>
      </w:r>
    </w:p>
    <w:p>
      <w:pPr>
        <w:spacing w:after="0" w:line="113" w:lineRule="exact"/>
        <w:rPr>
          <w:sz w:val="20"/>
          <w:szCs w:val="20"/>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corporation, partnership, or other entity created or organized in or under the laws of the United States, any of its states or the District of Columbia;</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780" w:right="140" w:hanging="326"/>
        <w:spacing w:after="0" w:line="298" w:lineRule="auto"/>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trust with respect to which (A) a U.S. court is able to exercise primary supervision over the administration of such trust and (B) one or more U.S. persons have the authority to control all substantial decisions of the trust. Notwithstanding the preceding sentence, to the extent provided in the Treasury regulations, some trusts in existence on August 20, 1996, and treated as United States persons prior to this date that elect to continue to be treated as United States persons, shall be considered taxable U.S. shareholders.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 partnership, including an entity that is treated as a partnership for U.S. federal income tax purposes, is a beneficial owner of our shares, the treatment of a partner in the partnership will generally depend on the status of the partner and the activities of the partnership.</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our depositary receipts.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49" w:name="page50"/>
    <w:bookmarkEnd w:id="49"/>
    <w:p>
      <w:pPr>
        <w:ind w:firstLine="456"/>
        <w:spacing w:after="0" w:line="30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Dividends and Other Taxable U.S. Shareholder Distributions. </w:t>
      </w:r>
      <w:r>
        <w:rPr>
          <w:rFonts w:ascii="Arial" w:cs="Arial" w:eastAsia="Arial" w:hAnsi="Arial"/>
          <w:sz w:val="16"/>
          <w:szCs w:val="16"/>
          <w:color w:val="auto"/>
        </w:rPr>
        <w:t>As long as we qualify as a REIT, a taxable U.S. shareholder must take into account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distributions on our common and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9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ordinary income or capital gain dividends.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the common or preferred shares as long-term capital gain or loss if the taxable U.S. shareholder has held its shares for more than one year and otherwise as short-term capital gain or loss.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50" w:name="page51"/>
    <w:bookmarkEnd w:id="50"/>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may be disallowed if the taxable U.S. shareholder purchases substantially identical shares within the 61-day period beginning 30 days before and ending 30 days after the disposition.</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tax rate differential between capital gain and ordinary income for non-corporate taxpayers is significant.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generally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other shares, under certain circumstances, such basis may be transferred to a related person, or it may be lost entirely.</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Proposed Treasury Regulations would, if adopted, alter the method for recovering a taxable U.S. shareholder’s adjusted tax basis in any of our shares redeemed in a dividend equivalent redemption. Under the Proposed Treasury Regulations, a holder would be treated as realizing a capital loss on the date of the dividend equivalent redemption equal to the adjusted tax basis of the shares redeemed, subject to adjustments. The recognition of such loss would generally be deferred until the occurrence of specified events, such as, for example, the holder’s ceasing to actually or constructively own any shares. There can be no assurance that the Proposed Treasury Regulations will be adopted, or that they will be adopted in their current form.</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provided in the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If a nonqualifying adjustment were made, the holders of preferred shares might be deemed to have received a taxable stock dividend.</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2010.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the 15% rate does generally apply to:</w:t>
      </w:r>
    </w:p>
    <w:p>
      <w:pPr>
        <w:spacing w:after="0" w:line="35" w:lineRule="exact"/>
        <w:rPr>
          <w:sz w:val="20"/>
          <w:szCs w:val="20"/>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52" w:name="page53"/>
    <w:bookmarkEnd w:id="52"/>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legislation, the maximum tax rate on long-term capital gains will increase to 20% in 2011, and qualified dividend income will no longer be taxed at a preferential rate compared to ordinary income.</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We will report to our shareholders and to the IRS the amount of dividends we pay during each calendar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Any amount paid as backup withholding will be creditable against the U.S. shareholder’s income tax liability. In addition, we may be required to withhold a portion of capital gain distributions to any shareholders who fail to certify their non-foreign status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47" w:lineRule="exact"/>
        <w:rPr>
          <w:sz w:val="20"/>
          <w:szCs w:val="20"/>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780" w:right="620" w:hanging="326"/>
        <w:spacing w:after="0" w:line="332" w:lineRule="auto"/>
        <w:tabs>
          <w:tab w:leader="none" w:pos="7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rules governing U.S. federal income taxation of non-U.S. shareholders are complex. This section is only a summary of such rules. We urge non-U.S. shareholders to consult their own tax advisors to determine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53" w:name="page54"/>
    <w:bookmarkEnd w:id="5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w:t>
      </w:r>
    </w:p>
    <w:p>
      <w:pPr>
        <w:spacing w:after="0" w:line="14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However, if a distribution is treated as effectively connected with the non-U.S. shareholder’s conduct of a U.S. trade or business,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We plan to withhold U.S. income tax at the rate of 30% on the gross amount of any such distribution paid to a non-U.S. shareholder unless (i) a lower treaty rate applies and the non-U.S. shareholder (or beneficial owner in the case of shares owned through a pass-through entity that is not acting as a withholding foreign partnership or trust) provides IRS Form W-8BEN to us evidencing eligibility for that reduced rate, (ii) the non-U.S. shareholder files an IRS Form W-8ECI with us claiming that the distribution is effectively connected income, or (iii) the non-U.S. shareholder holds shares through a “qualified intermediary” that has elected to perform any necessary withholding itself.</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an ordinary dividend taxable as described above under “— Ordinary Dividends.”</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our shares, the non-U.S. shareholder incurs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54" w:name="page55"/>
    <w:bookmarkEnd w:id="5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35% equals the amount of the distribution designated as a capital gain dividend. A non-U.S. shareholder may receive a credit against its FIRPTA tax liability for the amount we withhold.</w:t>
      </w:r>
    </w:p>
    <w:p>
      <w:pPr>
        <w:spacing w:after="0" w:line="13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4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taxed in the same manner as taxable U.S. shareholders with respect to such gain (subject to applicable alternative minimum tax and a special alternative minimum tax in the case of nonresident alien individuals), and the purchaser of the shares would be required to withhold and remit to the IRS 10% of the purchase price.</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Backup withholding and additional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62" w:lineRule="exact"/>
        <w:rPr>
          <w:sz w:val="20"/>
          <w:szCs w:val="20"/>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55" w:name="page56"/>
    <w:bookmarkEnd w:id="55"/>
    <w:p>
      <w:pPr>
        <w:ind w:left="780" w:hanging="326"/>
        <w:spacing w:after="0" w:line="268"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is a foreign partnership, if at any time during its tax year more than 50% of its income or capital interest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 non-U.S. shareholder may obtain a refund of excess amounts withheld under the backup withholding rules by filing the appropriate claim for refund with the IRS.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Consequences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may sell securities from time to time in one or more transactions on a negotiated or competitive bid basis to or through one or more underwriters or dealers on a firm commitment or best efforts basis, in the over-the-counter market, on any national securities exchange or automated quotation system on which the securities may be listed or traded, in privately negotiated transactions, to or through a market maker, or through any other legally available means. In addition, the sales will be made at market prices prevailing at the time of sale, at prices related to such prevailing market prices, or at negotiated prices. We may also sell securities directly to institutional investors or other purchasers or through agents.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90" w:lineRule="exact"/>
        <w:rPr>
          <w:sz w:val="20"/>
          <w:szCs w:val="20"/>
          <w:color w:val="auto"/>
        </w:rPr>
      </w:pPr>
    </w:p>
    <w:p>
      <w:pPr>
        <w:ind w:left="780" w:right="460" w:hanging="326"/>
        <w:spacing w:after="0" w:line="26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56" w:name="page57"/>
    <w:bookmarkEnd w:id="56"/>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securities may or may not be listed on a national securities exchange or traded in the over-the-counter market (other than the common shares and the Series B preferred shares, each of which are quoted on The New York Stock Exchange). No assurance can be given as to the liquidity of the trading market for any such securities.</w:t>
      </w:r>
    </w:p>
    <w:p>
      <w:pPr>
        <w:spacing w:after="0" w:line="14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LEGAL MATTERS</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validity of the offered securities and the accuracy of the discussion under “Federal Income Tax Considerations”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Pursuant to the Securities Act of 1933 and the rules promulgated thereunder, we are required to, and have incorporated into this registration statement our Annual Report on Form 10-K for the year ended December 31, 2005. Grant Thornton LLP, independent registered public accounting firm, have audited our consolidated financial statements and schedules and management’s assessment of the effectiveness of internal control over financial reporting included in our Annual Report on Form 10-K for the year ended December 31, 2005, as set forth in their reports, which are incorporated by reference in this prospectus and elsewhere in the registration statement. Our financial statements and schedules and management’s assessment of the effectiveness of internal control over financial reporting contained in the 2005 Form 10-K are incorporated by reference in reliance on Grant Thornton LLP’s report, given on their authority as experts in accounting and auditing.</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 xml:space="preserve">We file annual, quarterly and special reports, proxy statements and other information with the SEC. Our SEC filings are available to the public at the SEC’s website at </w:t>
      </w:r>
      <w:r>
        <w:rPr>
          <w:rFonts w:ascii="Arial" w:cs="Arial" w:eastAsia="Arial" w:hAnsi="Arial"/>
          <w:sz w:val="15"/>
          <w:szCs w:val="15"/>
          <w:i w:val="1"/>
          <w:iCs w:val="1"/>
          <w:color w:val="auto"/>
        </w:rPr>
        <w:t>www.sec.gov</w:t>
      </w:r>
      <w:r>
        <w:rPr>
          <w:rFonts w:ascii="Arial" w:cs="Arial" w:eastAsia="Arial" w:hAnsi="Arial"/>
          <w:sz w:val="15"/>
          <w:szCs w:val="15"/>
          <w:color w:val="auto"/>
        </w:rPr>
        <w:t>. You may also read and copy any document we file at the SEC’s Public Reference Room at 100 F Street, N.E., Washington, D.C. 20549.</w:t>
      </w:r>
    </w:p>
    <w:p>
      <w:pPr>
        <w:spacing w:after="0" w:line="6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filings made with the SEC under Sections 13(a), 13(c), 14, or 15(d) of the Securities Exchange Act (Exchange Act File No. 1-07533) made from the date of this prospectus until we sell all of the securities under this prospectus as supplemented.</w:t>
      </w:r>
    </w:p>
    <w:p>
      <w:pPr>
        <w:spacing w:after="0" w:line="37" w:lineRule="exact"/>
        <w:rPr>
          <w:sz w:val="20"/>
          <w:szCs w:val="20"/>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2005;</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February 23,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February 28,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March 10, 2006;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4" w:right="259" w:bottom="1440" w:gutter="0" w:footer="0" w:header="0"/>
        </w:sectPr>
      </w:pPr>
    </w:p>
    <w:bookmarkStart w:id="58" w:name="page59"/>
    <w:bookmarkEnd w:id="58"/>
    <w:p>
      <w:pPr>
        <w:ind w:left="780" w:hanging="326"/>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our common shares contained in the Registration Statement on Form 8-A/A, filed June 6, 2002; and</w:t>
      </w:r>
    </w:p>
    <w:p>
      <w:pPr>
        <w:spacing w:after="0" w:line="90"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Description of our Common Share Purchase Rights included in the Registration Statement on Form 8-A/A, filed March 11, 1999, and in the First Amendment to Amended and Restated Rights Agreement, dated as of November 2003 and filed as an exhibit to the Annual Report on Form 10-K for the year ended December 31, 2003, between us and American Stock Transfer &amp; Trust Company.</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Copies of these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Amendments to these filings will be posted to our website as soon as reasonably practical after filing with the SEC. In addition, you may request a copy of these filings and any amendments thereto at no cost, by writing or telephoning us. Those copies will not include exhibits to those documents unless the exhibits are specifically incorporated by reference in the documents or unless you specifically request them. You may also request copies of any exhibits to the registration statement.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direct your request 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Vice President, Capital Markets and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 or (301) 658-8980</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180975</wp:posOffset>
            </wp:positionV>
            <wp:extent cx="725043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32406B"/>
        </w:rPr>
        <w:t>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1798955</wp:posOffset>
            </wp:positionH>
            <wp:positionV relativeFrom="paragraph">
              <wp:posOffset>178435</wp:posOffset>
            </wp:positionV>
            <wp:extent cx="2143760" cy="814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2406B"/>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293370</wp:posOffset>
            </wp:positionV>
            <wp:extent cx="20497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2406B"/>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100965</wp:posOffset>
            </wp:positionV>
            <wp:extent cx="20497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354" w:lineRule="exact"/>
        <w:rPr>
          <w:sz w:val="20"/>
          <w:szCs w:val="20"/>
          <w:color w:val="auto"/>
        </w:rPr>
      </w:pPr>
    </w:p>
    <w:p>
      <w:pPr>
        <w:ind w:left="3080"/>
        <w:spacing w:after="0"/>
        <w:rPr>
          <w:sz w:val="20"/>
          <w:szCs w:val="20"/>
          <w:color w:val="auto"/>
        </w:rPr>
      </w:pPr>
      <w:r>
        <w:rPr>
          <w:rFonts w:ascii="Arial" w:cs="Arial" w:eastAsia="Arial" w:hAnsi="Arial"/>
          <w:sz w:val="32"/>
          <w:szCs w:val="32"/>
          <w:b w:val="1"/>
          <w:bCs w:val="1"/>
          <w:color w:val="32406B"/>
        </w:rPr>
        <w:t>Merrill Lynch &amp; Co.</w:t>
      </w:r>
    </w:p>
    <w:p>
      <w:pPr>
        <w:spacing w:after="0" w:line="78" w:lineRule="exact"/>
        <w:rPr>
          <w:sz w:val="20"/>
          <w:szCs w:val="20"/>
          <w:color w:val="auto"/>
        </w:rPr>
      </w:pPr>
    </w:p>
    <w:p>
      <w:pPr>
        <w:ind w:left="3120"/>
        <w:spacing w:after="0"/>
        <w:rPr>
          <w:sz w:val="20"/>
          <w:szCs w:val="20"/>
          <w:color w:val="auto"/>
        </w:rPr>
      </w:pPr>
      <w:r>
        <w:rPr>
          <w:rFonts w:ascii="Arial" w:cs="Arial" w:eastAsia="Arial" w:hAnsi="Arial"/>
          <w:sz w:val="32"/>
          <w:szCs w:val="32"/>
          <w:b w:val="1"/>
          <w:bCs w:val="1"/>
          <w:color w:val="32406B"/>
        </w:rPr>
        <w:t>Wachovia Securities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2406B"/>
        </w:rPr>
        <w:t>December 20,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1264920</wp:posOffset>
            </wp:positionV>
            <wp:extent cx="725043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decimal"/>
      <w:start w:val="1"/>
    </w:lvl>
  </w:abstractNum>
  <w:abstractNum w:abstractNumId="1">
    <w:nsid w:val="3855585C"/>
    <w:multiLevelType w:val="hybridMultilevel"/>
    <w:lvl w:ilvl="0">
      <w:lvlJc w:val="left"/>
      <w:lvlText w:val="•"/>
      <w:numFmt w:val="bullet"/>
      <w:start w:val="1"/>
    </w:lvl>
    <w:lvl w:ilvl="1">
      <w:lvlJc w:val="left"/>
      <w:lvlText w:val="•"/>
      <w:numFmt w:val="bullet"/>
      <w:start w:val="1"/>
    </w:lvl>
  </w:abstractNum>
  <w:abstractNum w:abstractNumId="2">
    <w:nsid w:val="70A64E2A"/>
    <w:multiLevelType w:val="hybridMultilevel"/>
    <w:lvl w:ilvl="0">
      <w:lvlJc w:val="left"/>
      <w:lvlText w:val="(%1)"/>
      <w:numFmt w:val="decimal"/>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lvl w:ilvl="1">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lvl w:ilvl="1">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1."/>
      <w:numFmt w:val="decimal"/>
      <w:start w:val="1"/>
    </w:lvl>
  </w:abstractNum>
  <w:abstractNum w:abstractNumId="29">
    <w:nsid w:val="649BB77C"/>
    <w:multiLevelType w:val="hybridMultilevel"/>
    <w:lvl w:ilvl="0">
      <w:lvlJc w:val="left"/>
      <w:lvlText w:val="%1."/>
      <w:numFmt w:val="decimal"/>
      <w:start w:val="4"/>
    </w:lvl>
    <w:lvl w:ilvl="1">
      <w:lvlJc w:val="left"/>
      <w:lvlText w:val="(%2)"/>
      <w:numFmt w:val="lowerLetter"/>
      <w:start w:val="1"/>
    </w:lvl>
  </w:abstractNum>
  <w:abstractNum w:abstractNumId="30">
    <w:nsid w:val="275AC794"/>
    <w:multiLevelType w:val="hybridMultilevel"/>
    <w:lvl w:ilvl="0">
      <w:lvlJc w:val="left"/>
      <w:lvlText w:val="%1."/>
      <w:numFmt w:val="decimal"/>
      <w:start w:val="7"/>
    </w:lvl>
    <w:lvl w:ilvl="1">
      <w:lvlJc w:val="left"/>
      <w:lvlText w:val="(%2)"/>
      <w:numFmt w:val="lowerLetter"/>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lvl w:ilvl="1">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lvl w:ilvl="1">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1."/>
      <w:numFmt w:val="decimal"/>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lvl w:ilvl="1">
      <w:lvlJc w:val="left"/>
      <w:lvlText w:val="•"/>
      <w:numFmt w:val="bullet"/>
      <w:start w:val="1"/>
    </w:lvl>
  </w:abstractNum>
  <w:abstractNum w:abstractNumId="72">
    <w:nsid w:val="11447B73"/>
    <w:multiLevelType w:val="hybridMultilevel"/>
    <w:lvl w:ilvl="0">
      <w:lvlJc w:val="left"/>
      <w:lvlText w:val="(%1)"/>
      <w:numFmt w:val="lowerRoman"/>
      <w:start w:val="2"/>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
      <w:numFmt w:val="bullet"/>
      <w:start w:val="1"/>
    </w:lvl>
  </w:abstractNum>
  <w:abstractNum w:abstractNumId="79">
    <w:nsid w:val="4962813B"/>
    <w:multiLevelType w:val="hybridMultilevel"/>
    <w:lvl w:ilvl="0">
      <w:lvlJc w:val="left"/>
      <w:lvlText w:val="•"/>
      <w:numFmt w:val="bullet"/>
      <w:start w:val="1"/>
    </w:lvl>
  </w:abstractNum>
  <w:abstractNum w:abstractNumId="80">
    <w:nsid w:val="60B6DF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2019-12-11T17:08:35Z</dcterms:created>
  <dcterms:modified xsi:type="dcterms:W3CDTF">2019-12-11T17:08:35Z</dcterms:modified>
</cp:coreProperties>
</file>