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338"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CURRENT REPORT</w:t>
      </w:r>
    </w:p>
    <w:p>
      <w:pPr>
        <w:spacing w:after="0" w:line="338" w:lineRule="exact"/>
        <w:rPr>
          <w:sz w:val="24"/>
          <w:szCs w:val="24"/>
          <w:color w:val="auto"/>
        </w:rPr>
      </w:pPr>
    </w:p>
    <w:p>
      <w:pPr>
        <w:ind w:left="520" w:right="3859" w:hanging="171"/>
        <w:spacing w:after="0" w:line="255"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September 30, 1995</w:t>
      </w:r>
    </w:p>
    <w:p>
      <w:pPr>
        <w:spacing w:after="0" w:line="326"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338"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District of Columbia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1-7533</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600" w:space="600"/>
            <w:col w:w="1340" w:space="720"/>
            <w:col w:w="4979"/>
          </w:cols>
          <w:pgMar w:left="220" w:top="561" w:right="1440" w:bottom="1440" w:gutter="0" w:footer="0" w:header="0"/>
          <w:type w:val="continuous"/>
        </w:sectPr>
      </w:pPr>
    </w:p>
    <w:p>
      <w:pPr>
        <w:spacing w:after="0" w:line="1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4800 Hampden Lane, Suite 500, Bethesda, Maryland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officers)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20814</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5320" w:space="720"/>
            <w:col w:w="4199"/>
          </w:cols>
          <w:pgMar w:left="220" w:top="561" w:right="1440" w:bottom="1440" w:gutter="0" w:footer="0" w:header="0"/>
          <w:type w:val="continuous"/>
        </w:sectPr>
      </w:pPr>
    </w:p>
    <w:p>
      <w:pPr>
        <w:spacing w:after="0" w:line="138" w:lineRule="exact"/>
        <w:rPr>
          <w:sz w:val="24"/>
          <w:szCs w:val="24"/>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Registrant's telephone number including area code:</w:t>
        <w:tab/>
        <w:t>301/652-3360</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338" w:lineRule="exact"/>
        <w:rPr>
          <w:sz w:val="20"/>
          <w:szCs w:val="20"/>
          <w:color w:val="auto"/>
        </w:rPr>
      </w:pPr>
    </w:p>
    <w:p>
      <w:pPr>
        <w:jc w:val="both"/>
        <w:ind w:right="3939" w:firstLine="947"/>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September 30, 1995.</w:t>
      </w:r>
    </w:p>
    <w:p>
      <w:pPr>
        <w:spacing w:after="0" w:line="200" w:lineRule="exact"/>
        <w:rPr>
          <w:sz w:val="20"/>
          <w:szCs w:val="20"/>
          <w:color w:val="auto"/>
        </w:rPr>
      </w:pPr>
    </w:p>
    <w:p>
      <w:pPr>
        <w:spacing w:after="0" w:line="2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338" w:lineRule="exact"/>
        <w:rPr>
          <w:sz w:val="20"/>
          <w:szCs w:val="20"/>
          <w:color w:val="auto"/>
        </w:rPr>
      </w:pPr>
    </w:p>
    <w:p>
      <w:pPr>
        <w:ind w:left="960" w:hanging="607"/>
        <w:spacing w:after="0"/>
        <w:tabs>
          <w:tab w:leader="none" w:pos="9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3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September 30, 1995</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200" w:lineRule="exact"/>
        <w:rPr>
          <w:sz w:val="20"/>
          <w:szCs w:val="20"/>
          <w:color w:val="auto"/>
        </w:rPr>
      </w:pPr>
    </w:p>
    <w:p>
      <w:pPr>
        <w:spacing w:after="0" w:line="304" w:lineRule="exact"/>
        <w:rPr>
          <w:sz w:val="20"/>
          <w:szCs w:val="20"/>
          <w:color w:val="auto"/>
        </w:rPr>
      </w:pPr>
    </w:p>
    <w:p>
      <w:pPr>
        <w:ind w:right="3419" w:firstLine="947"/>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FEDERAL REALTY INVESMENT TRUST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November 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200" w:lineRule="exact"/>
        <w:rPr>
          <w:sz w:val="20"/>
          <w:szCs w:val="20"/>
          <w:color w:val="auto"/>
        </w:rPr>
      </w:pPr>
    </w:p>
    <w:p>
      <w:pPr>
        <w:sectPr>
          <w:pgSz w:w="11900" w:h="16838" w:orient="portrait"/>
          <w:cols w:equalWidth="0" w:num="4">
            <w:col w:w="440" w:space="180"/>
            <w:col w:w="1020" w:space="180"/>
            <w:col w:w="820" w:space="720"/>
            <w:col w:w="6879"/>
          </w:cols>
          <w:pgMar w:left="220" w:top="616" w:right="1440"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780" w:space="0"/>
            <w:col w:w="4720" w:space="720"/>
            <w:col w:w="4019"/>
          </w:cols>
          <w:pgMar w:left="220" w:top="616" w:right="1440" w:bottom="1440" w:gutter="0" w:footer="0" w:header="0"/>
          <w:type w:val="continuous"/>
        </w:sectPr>
      </w:pPr>
    </w:p>
    <w:p>
      <w:pPr>
        <w:spacing w:after="0" w:line="138"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September 30, 1995</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w:t>
      </w:r>
    </w:p>
    <w:p>
      <w:pPr>
        <w:spacing w:after="0" w:line="211" w:lineRule="exact"/>
        <w:rPr>
          <w:sz w:val="20"/>
          <w:szCs w:val="20"/>
          <w:color w:val="auto"/>
        </w:rPr>
      </w:pPr>
    </w:p>
    <w:p>
      <w:pPr>
        <w:sectPr>
          <w:pgSz w:w="11900" w:h="16838" w:orient="portrait"/>
          <w:cols w:equalWidth="0" w:num="2">
            <w:col w:w="5840" w:space="720"/>
            <w:col w:w="3679"/>
          </w:cols>
          <w:pgMar w:left="220" w:top="616" w:right="1440"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September 30,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Debt Summary.............................................................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E-2</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c>
          <w:tcPr>
            <w:tcW w:w="6380" w:type="dxa"/>
            <w:vAlign w:val="bottom"/>
          </w:tcPr>
          <w:p>
            <w:pPr>
              <w:jc w:val="right"/>
              <w:ind w:right="5448"/>
              <w:spacing w:after="0"/>
              <w:rPr>
                <w:sz w:val="20"/>
                <w:szCs w:val="20"/>
                <w:color w:val="auto"/>
              </w:rPr>
            </w:pPr>
            <w:r>
              <w:rPr>
                <w:rFonts w:ascii="Courier New" w:cs="Courier New" w:eastAsia="Courier New" w:hAnsi="Courier New"/>
                <w:sz w:val="14"/>
                <w:szCs w:val="14"/>
                <w:color w:val="auto"/>
              </w:rPr>
              <w:t>Occupancy</w:t>
            </w:r>
          </w:p>
        </w:tc>
        <w:tc>
          <w:tcPr>
            <w:tcW w:w="26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Percentage Leased...................................................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260" w:type="dxa"/>
            <w:vAlign w:val="bottom"/>
          </w:tcPr>
          <w:p>
            <w:pPr>
              <w:spacing w:after="0"/>
              <w:rPr>
                <w:sz w:val="14"/>
                <w:szCs w:val="14"/>
                <w:color w:val="auto"/>
              </w:rPr>
            </w:pP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Economic Occupancy..................................................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E-4</w:t>
            </w:r>
          </w:p>
        </w:tc>
      </w:tr>
      <w:tr>
        <w:trPr>
          <w:trHeight w:val="166"/>
        </w:trPr>
        <w:tc>
          <w:tcPr>
            <w:tcW w:w="260" w:type="dxa"/>
            <w:vAlign w:val="bottom"/>
          </w:tcPr>
          <w:p>
            <w:pPr>
              <w:spacing w:after="0"/>
              <w:rPr>
                <w:sz w:val="14"/>
                <w:szCs w:val="14"/>
                <w:color w:val="auto"/>
              </w:rPr>
            </w:pP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Regional Breakdown..................................................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E-5</w:t>
            </w:r>
          </w:p>
        </w:tc>
      </w:tr>
    </w:tbl>
    <w:p>
      <w:pPr>
        <w:spacing w:after="0" w:line="170" w:lineRule="exact"/>
        <w:rPr>
          <w:sz w:val="20"/>
          <w:szCs w:val="20"/>
          <w:color w:val="auto"/>
        </w:rPr>
      </w:pPr>
    </w:p>
    <w:p>
      <w:pPr>
        <w:ind w:left="360" w:hanging="352"/>
        <w:spacing w:after="0"/>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Comparable and Non-Comparable</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.......................................E-6</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4.</w:t>
            </w:r>
          </w:p>
        </w:tc>
        <w:tc>
          <w:tcPr>
            <w:tcW w:w="3020" w:type="dxa"/>
            <w:vAlign w:val="bottom"/>
          </w:tcPr>
          <w:p>
            <w:pPr>
              <w:jc w:val="right"/>
              <w:spacing w:after="0"/>
              <w:rPr>
                <w:sz w:val="20"/>
                <w:szCs w:val="20"/>
                <w:color w:val="auto"/>
              </w:rPr>
            </w:pPr>
            <w:r>
              <w:rPr>
                <w:rFonts w:ascii="Courier New" w:cs="Courier New" w:eastAsia="Courier New" w:hAnsi="Courier New"/>
                <w:sz w:val="9"/>
                <w:szCs w:val="9"/>
                <w:color w:val="auto"/>
                <w:w w:val="76"/>
              </w:rPr>
              <w:t>Press Release............................................................</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E-7</w:t>
            </w:r>
          </w:p>
        </w:tc>
      </w:tr>
      <w:tr>
        <w:trPr>
          <w:trHeight w:val="497"/>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5.</w:t>
            </w:r>
          </w:p>
        </w:tc>
        <w:tc>
          <w:tcPr>
            <w:tcW w:w="3020" w:type="dxa"/>
            <w:vAlign w:val="bottom"/>
          </w:tcPr>
          <w:p>
            <w:pPr>
              <w:jc w:val="right"/>
              <w:spacing w:after="0"/>
              <w:rPr>
                <w:sz w:val="20"/>
                <w:szCs w:val="20"/>
                <w:color w:val="auto"/>
              </w:rPr>
            </w:pPr>
            <w:r>
              <w:rPr>
                <w:rFonts w:ascii="Courier New" w:cs="Courier New" w:eastAsia="Courier New" w:hAnsi="Courier New"/>
                <w:sz w:val="9"/>
                <w:szCs w:val="9"/>
                <w:color w:val="auto"/>
                <w:w w:val="77"/>
              </w:rPr>
              <w:t>Glossary of Terms.......................................................</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E-10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4800 Hampden Lane, Suite 500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Bethesda, Maryland 20814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301/652-3360</w:t>
      </w:r>
    </w:p>
    <w:p>
      <w:pPr>
        <w:sectPr>
          <w:pgSz w:w="11900" w:h="16838" w:orient="portrait"/>
          <w:cols w:equalWidth="0" w:num="1">
            <w:col w:w="10239"/>
          </w:cols>
          <w:pgMar w:left="220" w:top="47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ANALYSIS (excluding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Balance</w:t>
            </w:r>
          </w:p>
        </w:tc>
        <w:tc>
          <w:tcPr>
            <w:tcW w:w="9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Maturity</w:t>
            </w:r>
          </w:p>
        </w:tc>
        <w:tc>
          <w:tcPr>
            <w:tcW w:w="29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Rate</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thousands)</w:t>
            </w:r>
          </w:p>
        </w:tc>
        <w:tc>
          <w:tcPr>
            <w:tcW w:w="9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Barracks Road</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06/01/98</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9.77%</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$21,848</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Falls Plaza</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06/01/98</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9.77%</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4,344</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Old Keene Mill</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06/01/98</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9.77%</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7,121</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West Falls</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06/01/98</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9.77%</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4,985</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Loehmanns Plaza</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07/21/98</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9.75%</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6,518</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Federal Plaza</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03/10/01</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8.95%</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28,880</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Tysons Station</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09/01/01</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9.875%</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4,332</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Bristol</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08/01/98</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9.65%</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11,269</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Northeast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12/31/01</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participating</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w:t>
            </w:r>
          </w:p>
        </w:tc>
        <w:tc>
          <w:tcPr>
            <w:tcW w:w="9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r>
      <w:tr>
        <w:trPr>
          <w:trHeight w:val="331"/>
        </w:trPr>
        <w:tc>
          <w:tcPr>
            <w:tcW w:w="4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$90,797</w:t>
            </w:r>
          </w:p>
        </w:tc>
        <w:tc>
          <w:tcPr>
            <w:tcW w:w="980" w:type="dxa"/>
            <w:vAlign w:val="bottom"/>
          </w:tcPr>
          <w:p>
            <w:pPr>
              <w:spacing w:after="0"/>
              <w:rPr>
                <w:sz w:val="24"/>
                <w:szCs w:val="24"/>
                <w:color w:val="auto"/>
              </w:rPr>
            </w:pPr>
          </w:p>
        </w:tc>
      </w:tr>
      <w:tr>
        <w:trPr>
          <w:trHeight w:val="166"/>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r>
      <w:tr>
        <w:trPr>
          <w:trHeight w:val="497"/>
        </w:trPr>
        <w:tc>
          <w:tcPr>
            <w:tcW w:w="422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Revolving credit facilities</w:t>
            </w:r>
          </w:p>
        </w:tc>
        <w:tc>
          <w:tcPr>
            <w:tcW w:w="1480" w:type="dxa"/>
            <w:vAlign w:val="bottom"/>
          </w:tcPr>
          <w:p>
            <w:pPr>
              <w:spacing w:after="0"/>
              <w:rPr>
                <w:sz w:val="14"/>
                <w:szCs w:val="14"/>
                <w:color w:val="auto"/>
              </w:rPr>
            </w:pPr>
          </w:p>
        </w:tc>
        <w:tc>
          <w:tcPr>
            <w:tcW w:w="2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libor +.85% to libor +1%</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$35,920</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Note issued in connection with</w:t>
            </w: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220" w:type="dxa"/>
            <w:vAlign w:val="bottom"/>
          </w:tcPr>
          <w:p>
            <w:pPr>
              <w:ind w:left="1380"/>
              <w:spacing w:after="0"/>
              <w:rPr>
                <w:sz w:val="20"/>
                <w:szCs w:val="20"/>
                <w:color w:val="auto"/>
              </w:rPr>
            </w:pPr>
            <w:r>
              <w:rPr>
                <w:rFonts w:ascii="Courier New" w:cs="Courier New" w:eastAsia="Courier New" w:hAnsi="Courier New"/>
                <w:sz w:val="14"/>
                <w:szCs w:val="14"/>
                <w:color w:val="auto"/>
              </w:rPr>
              <w:t>tenant buyout at Queen Anne Plaza</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01/15/06</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8.875%</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1,369</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Note issued in connection with</w:t>
            </w: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220" w:type="dxa"/>
            <w:vAlign w:val="bottom"/>
          </w:tcPr>
          <w:p>
            <w:pPr>
              <w:ind w:left="1380"/>
              <w:spacing w:after="0"/>
              <w:rPr>
                <w:sz w:val="20"/>
                <w:szCs w:val="20"/>
                <w:color w:val="auto"/>
              </w:rPr>
            </w:pPr>
            <w:r>
              <w:rPr>
                <w:rFonts w:ascii="Courier New" w:cs="Courier New" w:eastAsia="Courier New" w:hAnsi="Courier New"/>
                <w:sz w:val="14"/>
                <w:szCs w:val="14"/>
                <w:color w:val="auto"/>
              </w:rPr>
              <w:t>aquisition of Federal Plaza</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07/01/96</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8.00%</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2,936</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Note issued in connection with</w:t>
            </w: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220" w:type="dxa"/>
            <w:vAlign w:val="bottom"/>
          </w:tcPr>
          <w:p>
            <w:pPr>
              <w:ind w:left="1380"/>
              <w:spacing w:after="0"/>
              <w:rPr>
                <w:sz w:val="20"/>
                <w:szCs w:val="20"/>
                <w:color w:val="auto"/>
              </w:rPr>
            </w:pPr>
            <w:r>
              <w:rPr>
                <w:rFonts w:ascii="Courier New" w:cs="Courier New" w:eastAsia="Courier New" w:hAnsi="Courier New"/>
                <w:sz w:val="14"/>
                <w:szCs w:val="14"/>
                <w:color w:val="auto"/>
              </w:rPr>
              <w:t>renovation of Perring Plaza</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01/31/13</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2,939</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Note issued in connection with lease</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11/13/95</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none</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2,500</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Other</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various</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various</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w:t>
            </w:r>
          </w:p>
        </w:tc>
        <w:tc>
          <w:tcPr>
            <w:tcW w:w="9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r>
      <w:tr>
        <w:trPr>
          <w:trHeight w:val="331"/>
        </w:trPr>
        <w:tc>
          <w:tcPr>
            <w:tcW w:w="4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$45,799</w:t>
            </w:r>
          </w:p>
        </w:tc>
        <w:tc>
          <w:tcPr>
            <w:tcW w:w="980" w:type="dxa"/>
            <w:vAlign w:val="bottom"/>
          </w:tcPr>
          <w:p>
            <w:pPr>
              <w:spacing w:after="0"/>
              <w:rPr>
                <w:sz w:val="24"/>
                <w:szCs w:val="24"/>
                <w:color w:val="auto"/>
              </w:rPr>
            </w:pPr>
          </w:p>
        </w:tc>
      </w:tr>
      <w:tr>
        <w:trPr>
          <w:trHeight w:val="166"/>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r>
      <w:tr>
        <w:trPr>
          <w:trHeight w:val="497"/>
        </w:trPr>
        <w:tc>
          <w:tcPr>
            <w:tcW w:w="422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5 1/4% Convertible subordinated</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04/30/02</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5.250%</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w:t>
            </w:r>
          </w:p>
        </w:tc>
        <w:tc>
          <w:tcPr>
            <w:tcW w:w="980" w:type="dxa"/>
            <w:vAlign w:val="bottom"/>
          </w:tcPr>
          <w:p>
            <w:pPr>
              <w:spacing w:after="0"/>
              <w:rPr>
                <w:sz w:val="14"/>
                <w:szCs w:val="14"/>
                <w:color w:val="auto"/>
              </w:rPr>
            </w:pPr>
          </w:p>
        </w:tc>
      </w:tr>
      <w:tr>
        <w:trPr>
          <w:trHeight w:val="166"/>
        </w:trPr>
        <w:tc>
          <w:tcPr>
            <w:tcW w:w="4220" w:type="dxa"/>
            <w:vAlign w:val="bottom"/>
          </w:tcPr>
          <w:p>
            <w:pPr>
              <w:ind w:left="1380"/>
              <w:spacing w:after="0"/>
              <w:rPr>
                <w:sz w:val="20"/>
                <w:szCs w:val="20"/>
                <w:color w:val="auto"/>
              </w:rPr>
            </w:pPr>
            <w:r>
              <w:rPr>
                <w:rFonts w:ascii="Courier New" w:cs="Courier New" w:eastAsia="Courier New" w:hAnsi="Courier New"/>
                <w:sz w:val="14"/>
                <w:szCs w:val="14"/>
                <w:color w:val="auto"/>
              </w:rPr>
              <w:t>debentures</w:t>
            </w: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5 1/4% Convertible subordinated</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10/28/03</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5.250%</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w:t>
            </w:r>
          </w:p>
        </w:tc>
        <w:tc>
          <w:tcPr>
            <w:tcW w:w="980" w:type="dxa"/>
            <w:vAlign w:val="bottom"/>
          </w:tcPr>
          <w:p>
            <w:pPr>
              <w:spacing w:after="0"/>
              <w:rPr>
                <w:sz w:val="14"/>
                <w:szCs w:val="14"/>
                <w:color w:val="auto"/>
              </w:rPr>
            </w:pPr>
          </w:p>
        </w:tc>
      </w:tr>
      <w:tr>
        <w:trPr>
          <w:trHeight w:val="166"/>
        </w:trPr>
        <w:tc>
          <w:tcPr>
            <w:tcW w:w="4220" w:type="dxa"/>
            <w:vAlign w:val="bottom"/>
          </w:tcPr>
          <w:p>
            <w:pPr>
              <w:ind w:left="1380"/>
              <w:spacing w:after="0"/>
              <w:rPr>
                <w:sz w:val="20"/>
                <w:szCs w:val="20"/>
                <w:color w:val="auto"/>
              </w:rPr>
            </w:pPr>
            <w:r>
              <w:rPr>
                <w:rFonts w:ascii="Courier New" w:cs="Courier New" w:eastAsia="Courier New" w:hAnsi="Courier New"/>
                <w:sz w:val="14"/>
                <w:szCs w:val="14"/>
                <w:color w:val="auto"/>
              </w:rPr>
              <w:t>debentures</w:t>
            </w: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8 7/8% Notes (fixed)</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01/15/00</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8.875%</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8 7/8% Notes (fixed)*</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01/15/00</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7.530%</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25,000</w:t>
            </w:r>
          </w:p>
        </w:tc>
        <w:tc>
          <w:tcPr>
            <w:tcW w:w="980" w:type="dxa"/>
            <w:vAlign w:val="bottom"/>
          </w:tcPr>
          <w:p>
            <w:pPr>
              <w:spacing w:after="0"/>
              <w:rPr>
                <w:sz w:val="14"/>
                <w:szCs w:val="14"/>
                <w:color w:val="auto"/>
              </w:rPr>
            </w:pPr>
          </w:p>
        </w:tc>
      </w:tr>
      <w:tr>
        <w:trPr>
          <w:trHeight w:val="166"/>
        </w:trPr>
        <w:tc>
          <w:tcPr>
            <w:tcW w:w="4220" w:type="dxa"/>
            <w:vAlign w:val="bottom"/>
          </w:tcPr>
          <w:p>
            <w:pPr>
              <w:ind w:left="1120"/>
              <w:spacing w:after="0"/>
              <w:rPr>
                <w:sz w:val="20"/>
                <w:szCs w:val="20"/>
                <w:color w:val="auto"/>
              </w:rPr>
            </w:pPr>
            <w:r>
              <w:rPr>
                <w:rFonts w:ascii="Courier New" w:cs="Courier New" w:eastAsia="Courier New" w:hAnsi="Courier New"/>
                <w:sz w:val="14"/>
                <w:szCs w:val="14"/>
                <w:color w:val="auto"/>
              </w:rPr>
              <w:t>8% Notes (fixed)</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04/21/02</w:t>
            </w:r>
          </w:p>
        </w:tc>
        <w:tc>
          <w:tcPr>
            <w:tcW w:w="2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8.000%</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25,000</w:t>
            </w:r>
          </w:p>
        </w:tc>
        <w:tc>
          <w:tcPr>
            <w:tcW w:w="9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r>
      <w:tr>
        <w:trPr>
          <w:trHeight w:val="331"/>
        </w:trPr>
        <w:tc>
          <w:tcPr>
            <w:tcW w:w="4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$200,289</w:t>
            </w:r>
          </w:p>
        </w:tc>
        <w:tc>
          <w:tcPr>
            <w:tcW w:w="980" w:type="dxa"/>
            <w:vAlign w:val="bottom"/>
          </w:tcPr>
          <w:p>
            <w:pPr>
              <w:spacing w:after="0"/>
              <w:rPr>
                <w:sz w:val="24"/>
                <w:szCs w:val="24"/>
                <w:color w:val="auto"/>
              </w:rPr>
            </w:pPr>
          </w:p>
        </w:tc>
      </w:tr>
      <w:tr>
        <w:trPr>
          <w:trHeight w:val="166"/>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r>
      <w:tr>
        <w:trPr>
          <w:trHeight w:val="331"/>
        </w:trPr>
        <w:tc>
          <w:tcPr>
            <w:tcW w:w="4220" w:type="dxa"/>
            <w:vAlign w:val="bottom"/>
          </w:tcPr>
          <w:p>
            <w:pPr>
              <w:spacing w:after="0"/>
              <w:rPr>
                <w:sz w:val="24"/>
                <w:szCs w:val="24"/>
                <w:color w:val="auto"/>
              </w:rPr>
            </w:pP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fixed rate</w:t>
            </w: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$299,465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88.89%</w:t>
            </w:r>
          </w:p>
        </w:tc>
      </w:tr>
      <w:tr>
        <w:trPr>
          <w:trHeight w:val="331"/>
        </w:trPr>
        <w:tc>
          <w:tcPr>
            <w:tcW w:w="42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Total variable rate debt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37,420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11.11%</w:t>
            </w:r>
          </w:p>
        </w:tc>
      </w:tr>
      <w:tr>
        <w:trPr>
          <w:trHeight w:val="166"/>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2920" w:type="dxa"/>
            <w:vAlign w:val="bottom"/>
          </w:tcPr>
          <w:p>
            <w:pPr>
              <w:spacing w:after="0"/>
              <w:rPr>
                <w:sz w:val="24"/>
                <w:szCs w:val="2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$336,885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4"/>
                <w:szCs w:val="24"/>
                <w:color w:val="auto"/>
              </w:rPr>
            </w:pP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Weighted average</w:t>
            </w: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interest rate:</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2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Fixed rate debt</w:t>
            </w:r>
          </w:p>
        </w:tc>
        <w:tc>
          <w:tcPr>
            <w:tcW w:w="29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7.95%</w:t>
            </w:r>
          </w:p>
        </w:tc>
        <w:tc>
          <w:tcPr>
            <w:tcW w:w="9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4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Variable on revolving facilities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7.00%**</w:t>
            </w:r>
          </w:p>
        </w:tc>
        <w:tc>
          <w:tcPr>
            <w:tcW w:w="980" w:type="dxa"/>
            <w:vAlign w:val="bottom"/>
          </w:tcPr>
          <w:p>
            <w:pPr>
              <w:spacing w:after="0"/>
              <w:rPr>
                <w:sz w:val="14"/>
                <w:szCs w:val="14"/>
                <w:color w:val="auto"/>
              </w:rPr>
            </w:pPr>
          </w:p>
        </w:tc>
      </w:tr>
    </w:tbl>
    <w:p>
      <w:pPr>
        <w:spacing w:after="0" w:line="335" w:lineRule="exact"/>
        <w:rPr>
          <w:sz w:val="20"/>
          <w:szCs w:val="20"/>
          <w:color w:val="auto"/>
        </w:rPr>
      </w:pPr>
    </w:p>
    <w:p>
      <w:pPr>
        <w:ind w:left="180" w:right="4740" w:hanging="172"/>
        <w:spacing w:after="0" w:line="255" w:lineRule="auto"/>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an interest rate swap on $25 million which was sold for $1.5 million, thereby decreasing the effective interest rate.</w:t>
      </w:r>
    </w:p>
    <w:p>
      <w:pPr>
        <w:spacing w:after="0" w:line="160" w:lineRule="exact"/>
        <w:rPr>
          <w:sz w:val="20"/>
          <w:szCs w:val="20"/>
          <w:color w:val="auto"/>
        </w:rPr>
      </w:pPr>
    </w:p>
    <w:p>
      <w:pPr>
        <w:ind w:left="260" w:right="5080" w:hanging="252"/>
        <w:spacing w:after="0" w:line="255" w:lineRule="auto"/>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nine months ended September 30, 1995.</w:t>
      </w:r>
    </w:p>
    <w:p>
      <w:pPr>
        <w:sectPr>
          <w:pgSz w:w="11900" w:h="16838" w:orient="portrait"/>
          <w:cols w:equalWidth="0" w:num="1">
            <w:col w:w="11380"/>
          </w:cols>
          <w:pgMar w:left="220" w:top="616" w:right="2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Overall Occupancy</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(Quarter to Quarter Analysis)</w:t>
            </w:r>
          </w:p>
        </w:tc>
        <w:tc>
          <w:tcPr>
            <w:tcW w:w="2660" w:type="dxa"/>
            <w:vAlign w:val="bottom"/>
            <w:gridSpan w:val="2"/>
          </w:tcPr>
          <w:p>
            <w:pPr>
              <w:jc w:val="center"/>
              <w:ind w:left="788"/>
              <w:spacing w:after="0"/>
              <w:rPr>
                <w:sz w:val="20"/>
                <w:szCs w:val="20"/>
                <w:color w:val="auto"/>
              </w:rPr>
            </w:pPr>
            <w:r>
              <w:rPr>
                <w:rFonts w:ascii="Courier New" w:cs="Courier New" w:eastAsia="Courier New" w:hAnsi="Courier New"/>
                <w:sz w:val="14"/>
                <w:szCs w:val="14"/>
                <w:color w:val="auto"/>
              </w:rPr>
              <w:t>September 30, 1995</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September 30, 1994</w:t>
            </w:r>
          </w:p>
        </w:tc>
        <w:tc>
          <w:tcPr>
            <w:tcW w:w="138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3"/>
              </w:rPr>
              <w:t>------------------------------------------</w:t>
            </w:r>
          </w:p>
        </w:tc>
        <w:tc>
          <w:tcPr>
            <w:tcW w:w="1380" w:type="dxa"/>
            <w:vAlign w:val="bottom"/>
          </w:tcPr>
          <w:p>
            <w:pPr>
              <w:spacing w:after="0"/>
              <w:rPr>
                <w:sz w:val="14"/>
                <w:szCs w:val="14"/>
                <w:color w:val="auto"/>
              </w:rPr>
            </w:pPr>
          </w:p>
        </w:tc>
        <w:tc>
          <w:tcPr>
            <w:tcW w:w="42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Size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Shopping Center (square feet)</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11,806,960</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11,173,268</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95%</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10,898,289</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10,178,944</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Main Street Retail (square feet)</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224,814</w:t>
            </w: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202,408</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90%</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279</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99%</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282</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281</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r>
      <w:tr>
        <w:trPr>
          <w:trHeight w:val="663"/>
        </w:trPr>
        <w:tc>
          <w:tcPr>
            <w:tcW w:w="316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Overall Occupancy</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316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(Rolling 12 Months)</w:t>
            </w:r>
          </w:p>
        </w:tc>
        <w:tc>
          <w:tcPr>
            <w:tcW w:w="106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September 30, 1995</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June 30, 1995</w:t>
            </w:r>
          </w:p>
        </w:tc>
        <w:tc>
          <w:tcPr>
            <w:tcW w:w="138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3"/>
              </w:rPr>
              <w:t>------------------------------------------</w:t>
            </w:r>
          </w:p>
        </w:tc>
        <w:tc>
          <w:tcPr>
            <w:tcW w:w="1380" w:type="dxa"/>
            <w:vAlign w:val="bottom"/>
          </w:tcPr>
          <w:p>
            <w:pPr>
              <w:spacing w:after="0"/>
              <w:rPr>
                <w:sz w:val="14"/>
                <w:szCs w:val="14"/>
                <w:color w:val="auto"/>
              </w:rPr>
            </w:pPr>
          </w:p>
        </w:tc>
        <w:tc>
          <w:tcPr>
            <w:tcW w:w="42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Size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Shopping Center (square feet)</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11,806,960</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11,173,268</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95%</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11,530,816</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10,796,603</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Main Street Retail (square feet)</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224,814</w:t>
            </w: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202,408</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90%</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194,266</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180,394</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279</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99%</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282</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280</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r>
      <w:tr>
        <w:trPr>
          <w:trHeight w:val="663"/>
        </w:trPr>
        <w:tc>
          <w:tcPr>
            <w:tcW w:w="316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Overall Occupancy</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316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(Rolling 12 Months)</w:t>
            </w:r>
          </w:p>
        </w:tc>
        <w:tc>
          <w:tcPr>
            <w:tcW w:w="1060" w:type="dxa"/>
            <w:vAlign w:val="bottom"/>
          </w:tcPr>
          <w:p>
            <w:pPr>
              <w:spacing w:after="0"/>
              <w:rPr>
                <w:sz w:val="14"/>
                <w:szCs w:val="14"/>
                <w:color w:val="auto"/>
              </w:rPr>
            </w:pP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March 31, 1995</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December 31, 1994</w:t>
            </w:r>
          </w:p>
        </w:tc>
        <w:tc>
          <w:tcPr>
            <w:tcW w:w="138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3"/>
              </w:rPr>
              <w:t>------------------------------------------</w:t>
            </w:r>
          </w:p>
        </w:tc>
        <w:tc>
          <w:tcPr>
            <w:tcW w:w="1380" w:type="dxa"/>
            <w:vAlign w:val="bottom"/>
          </w:tcPr>
          <w:p>
            <w:pPr>
              <w:spacing w:after="0"/>
              <w:rPr>
                <w:sz w:val="14"/>
                <w:szCs w:val="14"/>
                <w:color w:val="auto"/>
              </w:rPr>
            </w:pPr>
          </w:p>
        </w:tc>
        <w:tc>
          <w:tcPr>
            <w:tcW w:w="42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Size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Shopping Center (square feet)</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11,199,906</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10,482,104</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11,179,222</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10,592,521</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Main Street Retail (square feet)</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22,906</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22,906</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16,106</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16,106</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281</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99%</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282</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278</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r>
      <w:tr>
        <w:trPr>
          <w:trHeight w:val="497"/>
        </w:trPr>
        <w:tc>
          <w:tcPr>
            <w:tcW w:w="720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828"/>
        </w:trPr>
        <w:tc>
          <w:tcPr>
            <w:tcW w:w="316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Same Center Occupancy</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(Quarter to Quarter Analysis)</w:t>
            </w:r>
          </w:p>
        </w:tc>
        <w:tc>
          <w:tcPr>
            <w:tcW w:w="2660" w:type="dxa"/>
            <w:vAlign w:val="bottom"/>
            <w:gridSpan w:val="2"/>
          </w:tcPr>
          <w:p>
            <w:pPr>
              <w:jc w:val="center"/>
              <w:ind w:left="788"/>
              <w:spacing w:after="0"/>
              <w:rPr>
                <w:sz w:val="20"/>
                <w:szCs w:val="20"/>
                <w:color w:val="auto"/>
              </w:rPr>
            </w:pPr>
            <w:r>
              <w:rPr>
                <w:rFonts w:ascii="Courier New" w:cs="Courier New" w:eastAsia="Courier New" w:hAnsi="Courier New"/>
                <w:sz w:val="14"/>
                <w:szCs w:val="14"/>
                <w:color w:val="auto"/>
              </w:rPr>
              <w:t>September 30, 1995</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September 30, 1994</w:t>
            </w:r>
          </w:p>
        </w:tc>
        <w:tc>
          <w:tcPr>
            <w:tcW w:w="138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3"/>
              </w:rPr>
              <w:t>------------------------------------------</w:t>
            </w:r>
          </w:p>
        </w:tc>
        <w:tc>
          <w:tcPr>
            <w:tcW w:w="1380" w:type="dxa"/>
            <w:vAlign w:val="bottom"/>
          </w:tcPr>
          <w:p>
            <w:pPr>
              <w:spacing w:after="0"/>
              <w:rPr>
                <w:sz w:val="14"/>
                <w:szCs w:val="14"/>
                <w:color w:val="auto"/>
              </w:rPr>
            </w:pPr>
          </w:p>
        </w:tc>
        <w:tc>
          <w:tcPr>
            <w:tcW w:w="42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Size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Shopping Center (square feet)</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10,553,745</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10,009,447</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95%</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10,385,521</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9,773,527</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Main Street Retail (square feet)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ind w:left="700"/>
              <w:spacing w:after="0"/>
              <w:rPr>
                <w:sz w:val="20"/>
                <w:szCs w:val="20"/>
                <w:color w:val="auto"/>
              </w:rPr>
            </w:pPr>
            <w:r>
              <w:rPr>
                <w:rFonts w:ascii="Courier New" w:cs="Courier New" w:eastAsia="Courier New" w:hAnsi="Courier New"/>
                <w:sz w:val="14"/>
                <w:szCs w:val="14"/>
                <w:color w:val="auto"/>
              </w:rPr>
              <w:t>279</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282</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281</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r>
      <w:tr>
        <w:trPr>
          <w:trHeight w:val="663"/>
        </w:trPr>
        <w:tc>
          <w:tcPr>
            <w:tcW w:w="316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Same Center Occupancy</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316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(Rolling 12 Months)</w:t>
            </w:r>
          </w:p>
        </w:tc>
        <w:tc>
          <w:tcPr>
            <w:tcW w:w="2660" w:type="dxa"/>
            <w:vAlign w:val="bottom"/>
            <w:gridSpan w:val="2"/>
          </w:tcPr>
          <w:p>
            <w:pPr>
              <w:jc w:val="center"/>
              <w:ind w:left="788"/>
              <w:spacing w:after="0"/>
              <w:rPr>
                <w:sz w:val="20"/>
                <w:szCs w:val="20"/>
                <w:color w:val="auto"/>
              </w:rPr>
            </w:pPr>
            <w:r>
              <w:rPr>
                <w:rFonts w:ascii="Courier New" w:cs="Courier New" w:eastAsia="Courier New" w:hAnsi="Courier New"/>
                <w:sz w:val="14"/>
                <w:szCs w:val="14"/>
                <w:color w:val="auto"/>
              </w:rPr>
              <w:t>September 30, 1995</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June 30, 1995</w:t>
            </w:r>
          </w:p>
        </w:tc>
        <w:tc>
          <w:tcPr>
            <w:tcW w:w="138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1"/>
              </w:rPr>
              <w:t>-------------------------------------------</w:t>
            </w:r>
          </w:p>
        </w:tc>
        <w:tc>
          <w:tcPr>
            <w:tcW w:w="1380" w:type="dxa"/>
            <w:vAlign w:val="bottom"/>
          </w:tcPr>
          <w:p>
            <w:pPr>
              <w:spacing w:after="0"/>
              <w:rPr>
                <w:sz w:val="14"/>
                <w:szCs w:val="14"/>
                <w:color w:val="auto"/>
              </w:rPr>
            </w:pPr>
          </w:p>
        </w:tc>
        <w:tc>
          <w:tcPr>
            <w:tcW w:w="42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Size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Shopping Center (square feet)</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10,553,745</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10,009,447</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95%</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10,438,581</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9,820,887</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Main Street Retail (square feet)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279</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282</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280</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r>
      <w:tr>
        <w:trPr>
          <w:trHeight w:val="663"/>
        </w:trPr>
        <w:tc>
          <w:tcPr>
            <w:tcW w:w="316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Same Center Occupancy</w:t>
            </w: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316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(Rolling 12 Months)</w:t>
            </w:r>
          </w:p>
        </w:tc>
        <w:tc>
          <w:tcPr>
            <w:tcW w:w="1060" w:type="dxa"/>
            <w:vAlign w:val="bottom"/>
          </w:tcPr>
          <w:p>
            <w:pPr>
              <w:spacing w:after="0"/>
              <w:rPr>
                <w:sz w:val="14"/>
                <w:szCs w:val="14"/>
                <w:color w:val="auto"/>
              </w:rPr>
            </w:pP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March 31, 1995</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December 31, 1994</w:t>
            </w:r>
          </w:p>
        </w:tc>
        <w:tc>
          <w:tcPr>
            <w:tcW w:w="138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3"/>
              </w:rPr>
              <w:t>------------------------------------------</w:t>
            </w:r>
          </w:p>
        </w:tc>
        <w:tc>
          <w:tcPr>
            <w:tcW w:w="1380" w:type="dxa"/>
            <w:vAlign w:val="bottom"/>
          </w:tcPr>
          <w:p>
            <w:pPr>
              <w:spacing w:after="0"/>
              <w:rPr>
                <w:sz w:val="14"/>
                <w:szCs w:val="14"/>
                <w:color w:val="auto"/>
              </w:rPr>
            </w:pPr>
          </w:p>
        </w:tc>
        <w:tc>
          <w:tcPr>
            <w:tcW w:w="42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Size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Shopping Center (square feet)</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10,203,347</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9,600,482</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10,192,241</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9,681,163</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Main Street Retail (square feet)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281</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282</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278</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r>
    </w:tbl>
    <w:p>
      <w:pPr>
        <w:sectPr>
          <w:pgSz w:w="11900" w:h="16838" w:orient="portrait"/>
          <w:cols w:equalWidth="0" w:num="1">
            <w:col w:w="11460"/>
          </w:cols>
          <w:pgMar w:left="220" w:top="616" w:right="21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Overall Economic Occupancy</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(Quarter to Quarter Analysis)</w:t>
            </w: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September 30, 1995</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September 30, 1994</w:t>
            </w: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8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1300" w:type="dxa"/>
            <w:vAlign w:val="bottom"/>
          </w:tcPr>
          <w:p>
            <w:pPr>
              <w:spacing w:after="0"/>
              <w:rPr>
                <w:sz w:val="14"/>
                <w:szCs w:val="14"/>
                <w:color w:val="auto"/>
              </w:rPr>
            </w:pPr>
          </w:p>
        </w:tc>
        <w:tc>
          <w:tcPr>
            <w:tcW w:w="39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Leases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Leases</w:t>
            </w: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Income</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Shopping Center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11,806,960</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10,842,916</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92%</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10,898,289</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9,986,128</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92%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Main Street Retail (square feet)</w:t>
            </w:r>
          </w:p>
        </w:tc>
        <w:tc>
          <w:tcPr>
            <w:tcW w:w="12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224,814</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166,908</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74%</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279</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281</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99%</w:t>
            </w:r>
          </w:p>
        </w:tc>
      </w:tr>
      <w:tr>
        <w:trPr>
          <w:trHeight w:val="663"/>
        </w:trPr>
        <w:tc>
          <w:tcPr>
            <w:tcW w:w="3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Overall Economic Occupancy</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3280" w:type="dxa"/>
            <w:vAlign w:val="bottom"/>
          </w:tcPr>
          <w:p>
            <w:pPr>
              <w:ind w:left="700"/>
              <w:spacing w:after="0"/>
              <w:rPr>
                <w:sz w:val="20"/>
                <w:szCs w:val="20"/>
                <w:color w:val="auto"/>
              </w:rPr>
            </w:pPr>
            <w:r>
              <w:rPr>
                <w:rFonts w:ascii="Courier New" w:cs="Courier New" w:eastAsia="Courier New" w:hAnsi="Courier New"/>
                <w:sz w:val="14"/>
                <w:szCs w:val="14"/>
                <w:color w:val="auto"/>
              </w:rPr>
              <w:t>(Rolling 12 Months)</w:t>
            </w: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September 30, 1995</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June 30, 1995</w:t>
            </w: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8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1300" w:type="dxa"/>
            <w:vAlign w:val="bottom"/>
          </w:tcPr>
          <w:p>
            <w:pPr>
              <w:spacing w:after="0"/>
              <w:rPr>
                <w:sz w:val="14"/>
                <w:szCs w:val="14"/>
                <w:color w:val="auto"/>
              </w:rPr>
            </w:pPr>
          </w:p>
        </w:tc>
        <w:tc>
          <w:tcPr>
            <w:tcW w:w="39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Leases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Leases</w:t>
            </w: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Income</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Shopping Center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11,806,960</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10,842,916</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92%</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11,530,816</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10,460,610</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91%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Main Street Retail (square feet)</w:t>
            </w:r>
          </w:p>
        </w:tc>
        <w:tc>
          <w:tcPr>
            <w:tcW w:w="12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224,814</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166,908</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74%</w:t>
            </w: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194,266</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180,394</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93%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279</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280</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99%</w:t>
            </w:r>
          </w:p>
        </w:tc>
      </w:tr>
      <w:tr>
        <w:trPr>
          <w:trHeight w:val="663"/>
        </w:trPr>
        <w:tc>
          <w:tcPr>
            <w:tcW w:w="3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Overall Economic Occupancy</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3280" w:type="dxa"/>
            <w:vAlign w:val="bottom"/>
          </w:tcPr>
          <w:p>
            <w:pPr>
              <w:ind w:left="700"/>
              <w:spacing w:after="0"/>
              <w:rPr>
                <w:sz w:val="20"/>
                <w:szCs w:val="20"/>
                <w:color w:val="auto"/>
              </w:rPr>
            </w:pPr>
            <w:r>
              <w:rPr>
                <w:rFonts w:ascii="Courier New" w:cs="Courier New" w:eastAsia="Courier New" w:hAnsi="Courier New"/>
                <w:sz w:val="14"/>
                <w:szCs w:val="14"/>
                <w:color w:val="auto"/>
              </w:rPr>
              <w:t>(Rolling 12 Months)</w:t>
            </w: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March 31, 1995</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Courier New" w:cs="Courier New" w:eastAsia="Courier New" w:hAnsi="Courier New"/>
                <w:sz w:val="14"/>
                <w:szCs w:val="14"/>
                <w:color w:val="auto"/>
              </w:rPr>
              <w:t>December 31, 1994</w:t>
            </w: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8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1300" w:type="dxa"/>
            <w:vAlign w:val="bottom"/>
          </w:tcPr>
          <w:p>
            <w:pPr>
              <w:spacing w:after="0"/>
              <w:rPr>
                <w:sz w:val="14"/>
                <w:szCs w:val="14"/>
                <w:color w:val="auto"/>
              </w:rPr>
            </w:pPr>
          </w:p>
        </w:tc>
        <w:tc>
          <w:tcPr>
            <w:tcW w:w="39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Leases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Leases</w:t>
            </w: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Income</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Shopping Center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11,199,906</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10,153,934</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91%</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11,179,222</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10,213,130</w:t>
            </w: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91%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Main Street Retail (square feet)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22,906</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22,906</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16,106</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16,106</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281</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272</w:t>
            </w: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96%</w:t>
            </w:r>
          </w:p>
        </w:tc>
      </w:tr>
      <w:tr>
        <w:trPr>
          <w:trHeight w:val="497"/>
        </w:trPr>
        <w:tc>
          <w:tcPr>
            <w:tcW w:w="738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28"/>
        </w:trPr>
        <w:tc>
          <w:tcPr>
            <w:tcW w:w="3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Same Center Economic Occupancy</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(Quarter to Quarter Analysis)</w:t>
            </w: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September 30, 1995</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September 30, 1994</w:t>
            </w: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8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1300" w:type="dxa"/>
            <w:vAlign w:val="bottom"/>
          </w:tcPr>
          <w:p>
            <w:pPr>
              <w:spacing w:after="0"/>
              <w:rPr>
                <w:sz w:val="14"/>
                <w:szCs w:val="14"/>
                <w:color w:val="auto"/>
              </w:rPr>
            </w:pPr>
          </w:p>
        </w:tc>
        <w:tc>
          <w:tcPr>
            <w:tcW w:w="39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Leases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Leases</w:t>
            </w: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Income</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Shopping Center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10,553,745</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9,764,246</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93%</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10,385,521</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9,653,236</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93%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Main Street Retail (square feet)</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279</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281</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99%</w:t>
            </w:r>
          </w:p>
        </w:tc>
      </w:tr>
      <w:tr>
        <w:trPr>
          <w:trHeight w:val="663"/>
        </w:trPr>
        <w:tc>
          <w:tcPr>
            <w:tcW w:w="3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Same Center Economic Occupancy</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3280" w:type="dxa"/>
            <w:vAlign w:val="bottom"/>
          </w:tcPr>
          <w:p>
            <w:pPr>
              <w:ind w:left="780"/>
              <w:spacing w:after="0"/>
              <w:rPr>
                <w:sz w:val="20"/>
                <w:szCs w:val="20"/>
                <w:color w:val="auto"/>
              </w:rPr>
            </w:pPr>
            <w:r>
              <w:rPr>
                <w:rFonts w:ascii="Courier New" w:cs="Courier New" w:eastAsia="Courier New" w:hAnsi="Courier New"/>
                <w:sz w:val="14"/>
                <w:szCs w:val="14"/>
                <w:color w:val="auto"/>
              </w:rPr>
              <w:t>(Rolling 12 Months)</w:t>
            </w: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September 30, 1995</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June 30, 1995</w:t>
            </w: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8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1300" w:type="dxa"/>
            <w:vAlign w:val="bottom"/>
          </w:tcPr>
          <w:p>
            <w:pPr>
              <w:spacing w:after="0"/>
              <w:rPr>
                <w:sz w:val="14"/>
                <w:szCs w:val="14"/>
                <w:color w:val="auto"/>
              </w:rPr>
            </w:pPr>
          </w:p>
        </w:tc>
        <w:tc>
          <w:tcPr>
            <w:tcW w:w="39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Leases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Leases</w:t>
            </w: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Income</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Shopping Center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10,553,745</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9,764,246</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93%</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10,438,581</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9,552,765</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92%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Main Street Retail (square feet)</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279</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280</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99%</w:t>
            </w:r>
          </w:p>
        </w:tc>
      </w:tr>
      <w:tr>
        <w:trPr>
          <w:trHeight w:val="663"/>
        </w:trPr>
        <w:tc>
          <w:tcPr>
            <w:tcW w:w="3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Same Center Economic Occupancy</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3280" w:type="dxa"/>
            <w:vAlign w:val="bottom"/>
          </w:tcPr>
          <w:p>
            <w:pPr>
              <w:ind w:left="780"/>
              <w:spacing w:after="0"/>
              <w:rPr>
                <w:sz w:val="20"/>
                <w:szCs w:val="20"/>
                <w:color w:val="auto"/>
              </w:rPr>
            </w:pPr>
            <w:r>
              <w:rPr>
                <w:rFonts w:ascii="Courier New" w:cs="Courier New" w:eastAsia="Courier New" w:hAnsi="Courier New"/>
                <w:sz w:val="14"/>
                <w:szCs w:val="14"/>
                <w:color w:val="auto"/>
              </w:rPr>
              <w:t>(Rolling 12 Months)</w:t>
            </w: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March 31, 1995</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December 31, 1994</w:t>
            </w: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8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4"/>
              </w:rPr>
              <w:t>-------------------------------------------</w:t>
            </w:r>
          </w:p>
        </w:tc>
        <w:tc>
          <w:tcPr>
            <w:tcW w:w="1300" w:type="dxa"/>
            <w:vAlign w:val="bottom"/>
          </w:tcPr>
          <w:p>
            <w:pPr>
              <w:spacing w:after="0"/>
              <w:rPr>
                <w:sz w:val="14"/>
                <w:szCs w:val="14"/>
                <w:color w:val="auto"/>
              </w:rPr>
            </w:pPr>
          </w:p>
        </w:tc>
        <w:tc>
          <w:tcPr>
            <w:tcW w:w="39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Leases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Leases</w:t>
            </w: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w w:val="99"/>
              </w:rPr>
              <w:t>Income</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Shopping Center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10,203,347</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9,441,725</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93%</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10,192,241</w:t>
            </w: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9,472,958</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93%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Main Street Retail (square feet)</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281</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272</w:t>
            </w:r>
          </w:p>
        </w:tc>
        <w:tc>
          <w:tcPr>
            <w:tcW w:w="1180" w:type="dxa"/>
            <w:vAlign w:val="bottom"/>
          </w:tcPr>
          <w:p>
            <w:pPr>
              <w:ind w:left="320"/>
              <w:spacing w:after="0"/>
              <w:rPr>
                <w:sz w:val="20"/>
                <w:szCs w:val="20"/>
                <w:color w:val="auto"/>
              </w:rPr>
            </w:pPr>
            <w:r>
              <w:rPr>
                <w:rFonts w:ascii="Courier New" w:cs="Courier New" w:eastAsia="Courier New" w:hAnsi="Courier New"/>
                <w:sz w:val="14"/>
                <w:szCs w:val="14"/>
                <w:color w:val="auto"/>
              </w:rPr>
              <w:t>96%</w:t>
            </w:r>
          </w:p>
        </w:tc>
      </w:tr>
    </w:tbl>
    <w:p>
      <w:pPr>
        <w:sectPr>
          <w:pgSz w:w="11900" w:h="16838" w:orient="portrait"/>
          <w:cols w:equalWidth="0" w:num="1">
            <w:col w:w="11300"/>
          </w:cols>
          <w:pgMar w:left="220" w:top="616" w:right="379" w:bottom="257"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Total Square</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940" w:type="dxa"/>
            <w:vAlign w:val="bottom"/>
          </w:tcPr>
          <w:p>
            <w:pPr>
              <w:ind w:left="1040"/>
              <w:spacing w:after="0"/>
              <w:rPr>
                <w:sz w:val="20"/>
                <w:szCs w:val="20"/>
                <w:color w:val="auto"/>
              </w:rPr>
            </w:pPr>
            <w:r>
              <w:rPr>
                <w:rFonts w:ascii="Courier New" w:cs="Courier New" w:eastAsia="Courier New" w:hAnsi="Courier New"/>
                <w:sz w:val="14"/>
                <w:szCs w:val="14"/>
                <w:color w:val="auto"/>
              </w:rPr>
              <w:t>Region</w:t>
            </w:r>
          </w:p>
        </w:tc>
        <w:tc>
          <w:tcPr>
            <w:tcW w:w="21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Footage</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09/30/95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3,494,268</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2,143,751</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1,971,191</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1,161,212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1,133,622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683,376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1,219,540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Total Square</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940" w:type="dxa"/>
            <w:vAlign w:val="bottom"/>
          </w:tcPr>
          <w:p>
            <w:pPr>
              <w:ind w:left="1040"/>
              <w:spacing w:after="0"/>
              <w:rPr>
                <w:sz w:val="20"/>
                <w:szCs w:val="20"/>
                <w:color w:val="auto"/>
              </w:rPr>
            </w:pPr>
            <w:r>
              <w:rPr>
                <w:rFonts w:ascii="Courier New" w:cs="Courier New" w:eastAsia="Courier New" w:hAnsi="Courier New"/>
                <w:sz w:val="14"/>
                <w:szCs w:val="14"/>
                <w:color w:val="auto"/>
              </w:rPr>
              <w:t>Region</w:t>
            </w:r>
          </w:p>
        </w:tc>
        <w:tc>
          <w:tcPr>
            <w:tcW w:w="21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Footage</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09/30/95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1,851,081</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1,643,187</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1,289,176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854,575</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1,452,676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518,515</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551,944</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609,268</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705,155</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428,467</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408,236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275,140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623,864</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595,676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w:t>
            </w:r>
          </w:p>
        </w:tc>
      </w:tr>
    </w:tbl>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Shopping Center 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Weighted</w:t>
            </w:r>
          </w:p>
        </w:tc>
        <w:tc>
          <w:tcPr>
            <w:tcW w:w="15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Average Prior</w:t>
            </w:r>
          </w:p>
        </w:tc>
      </w:tr>
      <w:tr>
        <w:trPr>
          <w:trHeight w:val="166"/>
        </w:trPr>
        <w:tc>
          <w:tcPr>
            <w:tcW w:w="22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w:t>
            </w:r>
          </w:p>
        </w:tc>
        <w:tc>
          <w:tcPr>
            <w:tcW w:w="16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Square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Average Lease</w:t>
            </w:r>
          </w:p>
        </w:tc>
        <w:tc>
          <w:tcPr>
            <w:tcW w:w="1540" w:type="dxa"/>
            <w:vAlign w:val="bottom"/>
          </w:tcPr>
          <w:p>
            <w:pPr>
              <w:ind w:left="340"/>
              <w:spacing w:after="0"/>
              <w:rPr>
                <w:sz w:val="20"/>
                <w:szCs w:val="20"/>
                <w:color w:val="auto"/>
              </w:rPr>
            </w:pPr>
            <w:r>
              <w:rPr>
                <w:rFonts w:ascii="Courier New" w:cs="Courier New" w:eastAsia="Courier New" w:hAnsi="Courier New"/>
                <w:sz w:val="14"/>
                <w:szCs w:val="14"/>
                <w:color w:val="auto"/>
              </w:rPr>
              <w:t>Rent Per</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Rolling 12 Months</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Leases Signed</w:t>
            </w:r>
          </w:p>
        </w:tc>
        <w:tc>
          <w:tcPr>
            <w:tcW w:w="16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Feet</w:t>
            </w:r>
          </w:p>
        </w:tc>
        <w:tc>
          <w:tcPr>
            <w:tcW w:w="15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Term (Years)</w:t>
            </w:r>
          </w:p>
        </w:tc>
        <w:tc>
          <w:tcPr>
            <w:tcW w:w="1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Square Foot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3rd Quarter 1995</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69</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226,759</w:t>
            </w:r>
          </w:p>
        </w:tc>
        <w:tc>
          <w:tcPr>
            <w:tcW w:w="1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5.8</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$14.05</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2nd Quarter 1995</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96</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313,386</w:t>
            </w:r>
          </w:p>
        </w:tc>
        <w:tc>
          <w:tcPr>
            <w:tcW w:w="1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8.6</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13.61</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1st Quarter 1995</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68</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230,171</w:t>
            </w:r>
          </w:p>
        </w:tc>
        <w:tc>
          <w:tcPr>
            <w:tcW w:w="1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6.9</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12.95</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4th Quarter 1994</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93</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455,584</w:t>
            </w:r>
          </w:p>
        </w:tc>
        <w:tc>
          <w:tcPr>
            <w:tcW w:w="1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9.2</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10.16</w:t>
            </w:r>
          </w:p>
        </w:tc>
      </w:tr>
      <w:tr>
        <w:trPr>
          <w:trHeight w:val="166"/>
        </w:trPr>
        <w:tc>
          <w:tcPr>
            <w:tcW w:w="224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326</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1,225,900</w:t>
            </w:r>
          </w:p>
        </w:tc>
        <w:tc>
          <w:tcPr>
            <w:tcW w:w="1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8.0</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$12.29</w:t>
            </w:r>
          </w:p>
        </w:tc>
      </w:tr>
      <w:tr>
        <w:trPr>
          <w:trHeight w:val="331"/>
        </w:trPr>
        <w:tc>
          <w:tcPr>
            <w:tcW w:w="2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224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 Current</w:t>
            </w:r>
          </w:p>
        </w:tc>
        <w:tc>
          <w:tcPr>
            <w:tcW w:w="1600" w:type="dxa"/>
            <w:vAlign w:val="bottom"/>
          </w:tcPr>
          <w:p>
            <w:pPr>
              <w:spacing w:after="0"/>
              <w:rPr>
                <w:sz w:val="14"/>
                <w:szCs w:val="14"/>
                <w:color w:val="auto"/>
              </w:rPr>
            </w:pPr>
          </w:p>
        </w:tc>
        <w:tc>
          <w:tcPr>
            <w:tcW w:w="15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Percentage</w:t>
            </w:r>
          </w:p>
        </w:tc>
        <w:tc>
          <w:tcPr>
            <w:tcW w:w="1540" w:type="dxa"/>
            <w:vAlign w:val="bottom"/>
          </w:tcPr>
          <w:p>
            <w:pPr>
              <w:ind w:left="340"/>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24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Rent Per</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Annualized</w:t>
            </w:r>
          </w:p>
        </w:tc>
        <w:tc>
          <w:tcPr>
            <w:tcW w:w="15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Increase</w:t>
            </w:r>
          </w:p>
        </w:tc>
        <w:tc>
          <w:tcPr>
            <w:tcW w:w="1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Rolling 12 Months</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Square Foot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Rent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over Prior Rent</w:t>
            </w:r>
          </w:p>
        </w:tc>
        <w:tc>
          <w:tcPr>
            <w:tcW w:w="15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Costs</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3rd Quarter 1995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$14.24</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$41,961</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$865,000</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2nd Quarter 1995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17.56</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1,239,862</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29%</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3,892,000</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1st Quarter 1995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14.60</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379,854</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1,290,000</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4th Quarter 1994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14.04</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1,766,764</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38%</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4,055,000</w:t>
            </w:r>
          </w:p>
        </w:tc>
      </w:tr>
      <w:tr>
        <w:trPr>
          <w:trHeight w:val="166"/>
        </w:trPr>
        <w:tc>
          <w:tcPr>
            <w:tcW w:w="224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$15.08</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$3,428,442</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$10,102,000</w:t>
            </w:r>
          </w:p>
        </w:tc>
      </w:tr>
      <w:tr>
        <w:trPr>
          <w:trHeight w:val="497"/>
        </w:trPr>
        <w:tc>
          <w:tcPr>
            <w:tcW w:w="224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Weighted</w:t>
            </w:r>
          </w:p>
        </w:tc>
        <w:tc>
          <w:tcPr>
            <w:tcW w:w="15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w:t>
            </w:r>
          </w:p>
        </w:tc>
        <w:tc>
          <w:tcPr>
            <w:tcW w:w="16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Square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Average Lease</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 Rent</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Rolling 12 Months</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Leases Signed</w:t>
            </w:r>
          </w:p>
        </w:tc>
        <w:tc>
          <w:tcPr>
            <w:tcW w:w="16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Feet</w:t>
            </w:r>
          </w:p>
        </w:tc>
        <w:tc>
          <w:tcPr>
            <w:tcW w:w="15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Term (Years)</w:t>
            </w:r>
          </w:p>
        </w:tc>
        <w:tc>
          <w:tcPr>
            <w:tcW w:w="15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Per Square Foot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3rd Quarter 1995</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26,089</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$13.76</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2nd Quarter 1995</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60,731</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7.3</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$23.26</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1st Quarter 1995</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14,516</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6.9</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15.22</w:t>
            </w: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4th Quarter 1994</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124,234</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8.1</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10.63</w:t>
            </w:r>
          </w:p>
        </w:tc>
      </w:tr>
      <w:tr>
        <w:trPr>
          <w:trHeight w:val="166"/>
        </w:trPr>
        <w:tc>
          <w:tcPr>
            <w:tcW w:w="224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225,570</w:t>
            </w:r>
          </w:p>
        </w:tc>
        <w:tc>
          <w:tcPr>
            <w:tcW w:w="1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8.7</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$14.69</w:t>
            </w:r>
          </w:p>
        </w:tc>
      </w:tr>
      <w:tr>
        <w:trPr>
          <w:trHeight w:val="331"/>
        </w:trPr>
        <w:tc>
          <w:tcPr>
            <w:tcW w:w="2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Estimated</w:t>
            </w: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24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Annualized</w:t>
            </w:r>
          </w:p>
        </w:tc>
        <w:tc>
          <w:tcPr>
            <w:tcW w:w="16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Tenant</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Current</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Improvement</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Rolling 12 Months</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Rent</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Costs</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3rd Quarter 1995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$358,961</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2nd Quarter 1995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1,412,465</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1,433,000</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1st Quarter 1995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220,998</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12,000</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4th Quarter 1994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1,320,747</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1,758,000</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4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$3,313,171</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$3,203,000</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9" w:name="page10"/>
    <w:bookmarkEnd w:id="9"/>
    <w:p>
      <w:pPr>
        <w:ind w:left="4060"/>
        <w:spacing w:after="0"/>
        <w:rPr>
          <w:sz w:val="20"/>
          <w:szCs w:val="20"/>
          <w:color w:val="auto"/>
        </w:rPr>
      </w:pPr>
      <w:r>
        <w:rPr>
          <w:rFonts w:ascii="Courier New" w:cs="Courier New" w:eastAsia="Courier New" w:hAnsi="Courier New"/>
          <w:sz w:val="14"/>
          <w:szCs w:val="14"/>
          <w:color w:val="auto"/>
        </w:rPr>
        <w:t>Mary Jane Morrow</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Finance &amp; Treasurer</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(301) 961-9321</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THIRD QUARTER OPERATING RESULTS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Bethesda, Maryland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13, 1995</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third quarter of 1995 rose 10% to $14.4 million from $13.1 million in the third quarter of 1994. On a per share basis, funds from operations increased 10% to $.45 in the third quarter of 1995 from $.41 for the comparable quarter of 1994. Funds from operations also improved for the first nine months of 1995 increasing 19% to $43.0 million or $1.35 per share from $36.1 million or $1.19 per share in the first nine months of 1994. These increases resulted principally from property acquisitions and from significant contributions from recently redeveloped and remerchandised properties.</w:t>
      </w:r>
    </w:p>
    <w:p>
      <w:pPr>
        <w:spacing w:after="0" w:line="329"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 comparison of property operations for the third quarter of 1995 versus the third quarter of 1994 shows the following:</w:t>
      </w:r>
    </w:p>
    <w:p>
      <w:pPr>
        <w:spacing w:after="0" w:line="326" w:lineRule="exact"/>
        <w:rPr>
          <w:sz w:val="20"/>
          <w:szCs w:val="20"/>
          <w:color w:val="auto"/>
        </w:rPr>
      </w:pPr>
    </w:p>
    <w:p>
      <w:pPr>
        <w:ind w:left="360" w:right="3519" w:hanging="179"/>
        <w:spacing w:after="0" w:line="252" w:lineRule="auto"/>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11% to $35.9 million in the third quarter of 1995 compared to $32.2 million in 1994. If adjusted to exclude properties acquired during 1994 and 1995, rental income increased 4% to $32.3 million in 1995 from $31.2 million in 1994.</w:t>
      </w:r>
    </w:p>
    <w:p>
      <w:pPr>
        <w:spacing w:after="0" w:line="200" w:lineRule="exact"/>
        <w:rPr>
          <w:sz w:val="20"/>
          <w:szCs w:val="20"/>
          <w:color w:val="auto"/>
        </w:rPr>
      </w:pPr>
    </w:p>
    <w:p>
      <w:pPr>
        <w:spacing w:after="0" w:line="29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616" w:right="1440" w:bottom="1440" w:gutter="0" w:footer="0" w:header="0"/>
        </w:sectPr>
      </w:pPr>
    </w:p>
    <w:bookmarkStart w:id="10" w:name="page11"/>
    <w:bookmarkEnd w:id="10"/>
    <w:p>
      <w:pPr>
        <w:ind w:left="360" w:right="3519" w:hanging="179"/>
        <w:spacing w:after="0" w:line="251"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1995, the Trust signed leases for a total 253,000 square feet of shopping center space. On a same space basis, the Trust re-leased 227,000 square feet at an average increase in rent per square foot of 1%. The weighted average rent on these leases was $14.24 per square foot compared to the previous average rent of $14.05 per square foot.</w:t>
      </w:r>
    </w:p>
    <w:p>
      <w:pPr>
        <w:spacing w:after="0" w:line="330" w:lineRule="exact"/>
        <w:rPr>
          <w:sz w:val="20"/>
          <w:szCs w:val="20"/>
          <w:color w:val="auto"/>
        </w:rPr>
      </w:pPr>
    </w:p>
    <w:p>
      <w:pPr>
        <w:ind w:left="360" w:right="3519" w:hanging="179"/>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September 30, 1995 the Trust's shopping center portfolio was 95% leased compared to 93% a year ago. Shopping centers operating in both periods (excluding properties acquired or under redevelopment) were 95% leased at September 30, 1995 versus 94% a year ago.</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Commenting on the quarter, Steven J. Guttman, President and Chief Executive Officer stated, "We are very pleased with the continued growth of our portfolio. In addition to the positive contributions from our recent acquisitions, we continue to benefit from the improved performance of our core portfolio. Our recent redevelopment and remerchandising programs combined with continued strong demand for our retail space has produced steady rental income growth which has added positively to our operating results."</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development and redevelopment of prime retail properties. The Trust's real estate portfolio is comprised principally of 54 shopping centers containing approximately 11.8 million square feet and 14 main street retail buildings. The Trust's properties are located principally along the east coast region between Boston, Massachusetts and Richmond, Virginia.</w:t>
      </w:r>
    </w:p>
    <w:p>
      <w:pPr>
        <w:spacing w:after="0" w:line="33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each of the last 28 consecutive years. Shares of the Trust are traded on the New York Stock Exchange under the symbol: FRT.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1" w:name="page12"/>
    <w:bookmarkEnd w:id="11"/>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(in thousands, except per share data)</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3240" w:type="dxa"/>
            <w:vAlign w:val="bottom"/>
          </w:tcPr>
          <w:p>
            <w:pPr>
              <w:spacing w:after="0"/>
              <w:rPr>
                <w:sz w:val="24"/>
                <w:szCs w:val="24"/>
                <w:color w:val="auto"/>
              </w:rPr>
            </w:pP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3240" w:type="dxa"/>
            <w:vAlign w:val="bottom"/>
          </w:tcPr>
          <w:p>
            <w:pPr>
              <w:spacing w:after="0"/>
              <w:rPr>
                <w:sz w:val="14"/>
                <w:szCs w:val="14"/>
                <w:color w:val="auto"/>
              </w:rPr>
            </w:pP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September 30, 1995</w:t>
            </w: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September 30, 1995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$35,910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$32,238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$104,557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$94,168</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1,156</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3,046</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Other income</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1,907</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5,283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4,068</w:t>
            </w:r>
          </w:p>
        </w:tc>
      </w:tr>
      <w:tr>
        <w:trPr>
          <w:trHeight w:val="166"/>
        </w:trPr>
        <w:tc>
          <w:tcPr>
            <w:tcW w:w="32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38,973</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34,796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112,889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101,282</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8,840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9,247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25,059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27,183</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3,719</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8,874</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10,098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7,718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28,814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23,533</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1,666</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4,448</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Other Charges</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758</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8,827</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7,570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25,815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21,736</w:t>
            </w:r>
          </w:p>
        </w:tc>
      </w:tr>
      <w:tr>
        <w:trPr>
          <w:trHeight w:val="166"/>
        </w:trPr>
        <w:tc>
          <w:tcPr>
            <w:tcW w:w="32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33,150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29,811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94,875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86,532</w:t>
            </w:r>
          </w:p>
        </w:tc>
      </w:tr>
      <w:tr>
        <w:trPr>
          <w:trHeight w:val="166"/>
        </w:trPr>
        <w:tc>
          <w:tcPr>
            <w:tcW w:w="32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Operating income before investors'</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share of operations and loss on</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sale of real estate</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5,823</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4,985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18,014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14,750</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w:t>
            </w:r>
          </w:p>
        </w:tc>
      </w:tr>
      <w:tr>
        <w:trPr>
          <w:trHeight w:val="166"/>
        </w:trPr>
        <w:tc>
          <w:tcPr>
            <w:tcW w:w="32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Income before loss on sale</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of real estate</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5,928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4,966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18,289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14,255</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Loss on sale of real estate</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$5,918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$4,966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$17,744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$14,255</w:t>
            </w:r>
          </w:p>
        </w:tc>
      </w:tr>
      <w:tr>
        <w:trPr>
          <w:trHeight w:val="166"/>
        </w:trPr>
        <w:tc>
          <w:tcPr>
            <w:tcW w:w="32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$0.19</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$0.47</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$5,918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$4,966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$17,744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$14,255</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Add: depreciation and amortization</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620"/>
              <w:spacing w:after="0"/>
              <w:rPr>
                <w:sz w:val="20"/>
                <w:szCs w:val="20"/>
                <w:color w:val="auto"/>
              </w:rPr>
            </w:pPr>
            <w:r>
              <w:rPr>
                <w:rFonts w:ascii="Courier New" w:cs="Courier New" w:eastAsia="Courier New" w:hAnsi="Courier New"/>
                <w:sz w:val="14"/>
                <w:szCs w:val="14"/>
                <w:color w:val="auto"/>
              </w:rPr>
              <w:t>of real estate assets</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7,826</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6,713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22,853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19,335</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Add: amortization of initial direct</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620"/>
              <w:spacing w:after="0"/>
              <w:rPr>
                <w:sz w:val="20"/>
                <w:szCs w:val="20"/>
                <w:color w:val="auto"/>
              </w:rPr>
            </w:pPr>
            <w:r>
              <w:rPr>
                <w:rFonts w:ascii="Courier New" w:cs="Courier New" w:eastAsia="Courier New" w:hAnsi="Courier New"/>
                <w:sz w:val="14"/>
                <w:szCs w:val="14"/>
                <w:color w:val="auto"/>
              </w:rPr>
              <w:t>costs of leases</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614</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1,798</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Add: loss on sale and nonrecurring</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620"/>
              <w:spacing w:after="0"/>
              <w:rPr>
                <w:sz w:val="20"/>
                <w:szCs w:val="20"/>
                <w:color w:val="auto"/>
              </w:rPr>
            </w:pPr>
            <w:r>
              <w:rPr>
                <w:rFonts w:ascii="Courier New" w:cs="Courier New" w:eastAsia="Courier New" w:hAnsi="Courier New"/>
                <w:sz w:val="14"/>
                <w:szCs w:val="14"/>
                <w:color w:val="auto"/>
              </w:rPr>
              <w:t>items</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758</w:t>
            </w:r>
          </w:p>
        </w:tc>
      </w:tr>
      <w:tr>
        <w:trPr>
          <w:trHeight w:val="166"/>
        </w:trPr>
        <w:tc>
          <w:tcPr>
            <w:tcW w:w="32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Funds from operations</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$14,368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$13,050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$42,974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$36,146</w:t>
            </w:r>
          </w:p>
        </w:tc>
      </w:tr>
      <w:tr>
        <w:trPr>
          <w:trHeight w:val="166"/>
        </w:trPr>
        <w:tc>
          <w:tcPr>
            <w:tcW w:w="32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Funds from operations per share</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$0.45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31,850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31,563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31,744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30,368</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Sept. 30,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$962,473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$852,722</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13,181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13,178</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Cash and investments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7,175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7,583</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$842,707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$751,804</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$132,114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$132,924</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Mortgages payable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90,797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102,781</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45,799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61,883</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Senior Notes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125,000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Convertible subordinated debentures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75,289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334,235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343,222</w:t>
            </w:r>
          </w:p>
        </w:tc>
      </w:tr>
    </w:tbl>
    <w:p>
      <w:pPr>
        <w:sectPr>
          <w:pgSz w:w="11900" w:h="16838" w:orient="portrait"/>
          <w:cols w:equalWidth="0" w:num="1">
            <w:col w:w="10239"/>
          </w:cols>
          <w:pgMar w:left="220" w:top="616" w:right="1440" w:bottom="1440" w:gutter="0" w:footer="0" w:header="0"/>
        </w:sectPr>
      </w:pPr>
    </w:p>
    <w:bookmarkStart w:id="12" w:name="page13"/>
    <w:bookmarkEnd w:id="12"/>
    <w:p>
      <w:pPr>
        <w:ind w:left="2680"/>
        <w:spacing w:after="0"/>
        <w:rPr>
          <w:sz w:val="20"/>
          <w:szCs w:val="20"/>
          <w:color w:val="auto"/>
        </w:rPr>
      </w:pPr>
      <w:r>
        <w:rPr>
          <w:rFonts w:ascii="Courier New" w:cs="Courier New" w:eastAsia="Courier New" w:hAnsi="Courier New"/>
          <w:sz w:val="14"/>
          <w:szCs w:val="14"/>
          <w:color w:val="auto"/>
        </w:rPr>
        <w:t>Glossary of Terms</w:t>
      </w:r>
    </w:p>
    <w:p>
      <w:pPr>
        <w:spacing w:after="0" w:line="200" w:lineRule="exact"/>
        <w:rPr>
          <w:sz w:val="20"/>
          <w:szCs w:val="20"/>
          <w:color w:val="auto"/>
        </w:rPr>
      </w:pPr>
    </w:p>
    <w:p>
      <w:pPr>
        <w:spacing w:after="0" w:line="30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Economic occupancy: The current physical occupancy of a property (that portion of the property that is occupied and on which we are receiving rent) expressed as a percentage of its total rentable square feet.</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non-rentable.</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escalators or new entrances) which are required to make the space leasable.</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1."/>
      <w:numFmt w:val="decimal"/>
      <w:start w:val="3"/>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2019-12-13T00:56:27Z</dcterms:created>
  <dcterms:modified xsi:type="dcterms:W3CDTF">2019-12-13T00:56:27Z</dcterms:modified>
</cp:coreProperties>
</file>