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ind w:left="2720"/>
        <w:spacing w:after="0"/>
        <w:rPr>
          <w:sz w:val="20"/>
          <w:szCs w:val="20"/>
          <w:color w:val="auto"/>
        </w:rPr>
      </w:pPr>
      <w:r>
        <w:rPr>
          <w:rFonts w:ascii="Arial" w:cs="Arial" w:eastAsia="Arial" w:hAnsi="Arial"/>
          <w:sz w:val="21"/>
          <w:szCs w:val="21"/>
          <w:b w:val="1"/>
          <w:bCs w:val="1"/>
          <w:color w:val="auto"/>
        </w:rPr>
        <w:t>Date of Report (Date of earliest event reported) February 7,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198755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Federal Realty Investment Trust</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52-0782497</w:t>
      </w:r>
    </w:p>
    <w:p>
      <w:pPr>
        <w:spacing w:after="0" w:line="46" w:lineRule="exact"/>
        <w:rPr>
          <w:sz w:val="24"/>
          <w:szCs w:val="24"/>
          <w:color w:val="auto"/>
        </w:rPr>
      </w:pPr>
    </w:p>
    <w:p>
      <w:pPr>
        <w:sectPr>
          <w:pgSz w:w="11900" w:h="16838" w:orient="portrait"/>
          <w:cols w:equalWidth="0" w:num="3">
            <w:col w:w="4820" w:space="720"/>
            <w:col w:w="2920" w:space="720"/>
            <w:col w:w="1840"/>
          </w:cols>
          <w:pgMar w:left="240" w:top="314" w:right="63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740" w:space="720"/>
            <w:col w:w="2880" w:space="720"/>
            <w:col w:w="1960"/>
          </w:cols>
          <w:pgMar w:left="240" w:top="314" w:right="639" w:bottom="1440" w:gutter="0" w:footer="0" w:header="0"/>
          <w:type w:val="continuous"/>
        </w:sectPr>
      </w:pPr>
    </w:p>
    <w:p>
      <w:pPr>
        <w:ind w:left="1100"/>
        <w:spacing w:after="0"/>
        <w:rPr>
          <w:sz w:val="20"/>
          <w:szCs w:val="20"/>
          <w:color w:val="auto"/>
        </w:rPr>
      </w:pPr>
      <w:r>
        <w:rPr>
          <w:rFonts w:ascii="Arial" w:cs="Arial" w:eastAsia="Arial" w:hAnsi="Arial"/>
          <w:sz w:val="15"/>
          <w:szCs w:val="15"/>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20852-4041</w:t>
      </w:r>
    </w:p>
    <w:p>
      <w:pPr>
        <w:spacing w:after="0" w:line="44" w:lineRule="exact"/>
        <w:rPr>
          <w:sz w:val="24"/>
          <w:szCs w:val="24"/>
          <w:color w:val="auto"/>
        </w:rPr>
      </w:pPr>
    </w:p>
    <w:p>
      <w:pPr>
        <w:sectPr>
          <w:pgSz w:w="11900" w:h="16838" w:orient="portrait"/>
          <w:cols w:equalWidth="0" w:num="2">
            <w:col w:w="7500" w:space="720"/>
            <w:col w:w="2800"/>
          </w:cols>
          <w:pgMar w:left="240" w:top="314" w:right="639" w:bottom="1440" w:gutter="0" w:footer="0" w:header="0"/>
          <w:type w:val="continuous"/>
        </w:sectPr>
      </w:pPr>
    </w:p>
    <w:p>
      <w:pPr>
        <w:ind w:left="178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20" w:space="720"/>
            <w:col w:w="2680"/>
          </w:cols>
          <w:pgMar w:left="240" w:top="314" w:right="639" w:bottom="1440" w:gutter="0" w:footer="0" w:header="0"/>
          <w:type w:val="continuous"/>
        </w:sectPr>
      </w:pPr>
    </w:p>
    <w:p>
      <w:pPr>
        <w:ind w:left="326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ind w:right="8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4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February 7, 2013, the Compensation Committee (“Committee”) of the Board of Trustees of Federal Realty Investment Trust (“Trust”) approved the following compensation arrangements for the Trust’s named executive officers: (a) no changes to annual base salaries for any of Mr. Donald C. Wood, the Trust’s President and Chief Executive Officer, Ms. Dawn M. Becker, the Trust’s Executive Vice President-Chief Operating Officer, General Counsel and Secretary, or</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Mr. James M. Taylor, Jr., the Trust’s Executive Vice President-Chief Financial Officer and Treasurer; (b) a bonus payment to each of Mr. Wood, Ms. Becker and Mr. Taylor in the amount of $1,466,250, $366,563 and $345,000, respectively, determined in accordance with the Trust’s annual incentive bonus plan; and (c) an equity award to each of Mr. Wood, Ms. Becker and Mr. Taylor in the amount of $6,000,000, $900,000 and $900,000, respectively, determined in accordance with the Trust’s long-term incentive award program (“LTIAP”). The amounts of the LTIAP awards were determined on the basis of the Trust’s relative total return to shareholders, absolute total return to shareholders and return on invested capital during the period from January 2010 through December 2012. These awards vest equally over the next three years.</w:t>
      </w:r>
    </w:p>
    <w:p>
      <w:pPr>
        <w:sectPr>
          <w:pgSz w:w="11900" w:h="16838" w:orient="portrait"/>
          <w:cols w:equalWidth="0" w:num="1">
            <w:col w:w="11360"/>
          </w:cols>
          <w:pgMar w:left="240" w:top="274" w:right="29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February 12, 2013</w:t>
      </w:r>
      <w:r>
        <w:rPr>
          <w:sz w:val="20"/>
          <w:szCs w:val="20"/>
          <w:color w:val="auto"/>
        </w:rPr>
        <w:tab/>
      </w:r>
      <w:r>
        <w:rPr>
          <w:rFonts w:ascii="Arial" w:cs="Arial" w:eastAsia="Arial" w:hAnsi="Arial"/>
          <w:sz w:val="16"/>
          <w:szCs w:val="16"/>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Executive Vice President-General Counsel and Secretary</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2019-12-05T10:01:54Z</dcterms:created>
  <dcterms:modified xsi:type="dcterms:W3CDTF">2019-12-05T10:01:54Z</dcterms:modified>
</cp:coreProperties>
</file>