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No. 333-63619</w:t>
      </w: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7" w:lineRule="auto"/>
        <w:rPr>
          <w:sz w:val="20"/>
          <w:szCs w:val="20"/>
          <w:color w:val="auto"/>
        </w:rPr>
      </w:pPr>
      <w:r>
        <w:rPr>
          <w:rFonts w:ascii="Courier New" w:cs="Courier New" w:eastAsia="Courier New" w:hAnsi="Courier New"/>
          <w:sz w:val="18"/>
          <w:szCs w:val="18"/>
          <w:color w:val="auto"/>
        </w:rPr>
        <w:t>(To Prospectus dated September 30, 1998)</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1,900,000 Shares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[LOGO] FEDERAL REALTY</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Federal Realty Investment Trust is offering 1,900,000 of its common shares of beneficial interest. Our common shares are listed on the New York Stock Exchange under the symbol "FRT." The last reported sale price of our common shares on the New York Stock Exchange on June 6, 2002 was $27.35 per share.</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Investing in our common shares involves risks. You should read carefully the risk factors described in our Annual Report on Form 10-K filed with the Securities and Exchange Commission on March 22, 2002, which is incorporated by reference in this Prospectus Supplement.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 Share</w:t>
            </w:r>
          </w:p>
        </w:tc>
        <w:tc>
          <w:tcPr>
            <w:tcW w:w="16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gridSpan w:val="2"/>
          </w:tcPr>
          <w:p>
            <w:pPr>
              <w:spacing w:after="0"/>
              <w:rPr>
                <w:sz w:val="20"/>
                <w:szCs w:val="20"/>
                <w:color w:val="auto"/>
              </w:rPr>
            </w:pPr>
            <w:r>
              <w:rPr>
                <w:rFonts w:ascii="Courier New" w:cs="Courier New" w:eastAsia="Courier New" w:hAnsi="Courier New"/>
                <w:sz w:val="18"/>
                <w:szCs w:val="18"/>
                <w:color w:val="auto"/>
                <w:w w:val="98"/>
              </w:rPr>
              <w:t>Public offering price.......................</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26.5000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50,350,000</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Underwriting discounts and</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983,250</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before expenses,</w:t>
            </w:r>
          </w:p>
        </w:tc>
        <w:tc>
          <w:tcPr>
            <w:tcW w:w="2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to Federal Realty $</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25.9825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49,366,750</w:t>
            </w:r>
          </w:p>
        </w:tc>
      </w:tr>
    </w:tbl>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Delivery of the common shares will be made on or about June 12, 2002.</w:t>
      </w:r>
    </w:p>
    <w:p>
      <w:pPr>
        <w:spacing w:after="0" w:line="207" w:lineRule="exact"/>
        <w:rPr>
          <w:sz w:val="24"/>
          <w:szCs w:val="24"/>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Supplement or the Prospectus to which it relates are truthful or complete. Any representation to the contrary is a criminal offense.</w:t>
      </w:r>
    </w:p>
    <w:p>
      <w:pPr>
        <w:spacing w:after="0" w:line="182" w:lineRule="exact"/>
        <w:rPr>
          <w:sz w:val="24"/>
          <w:szCs w:val="24"/>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We have granted the underwriter a 30-day option to purchase up to an additional 285,000 common shares to cover over-allotments.</w:t>
      </w:r>
    </w:p>
    <w:p>
      <w:pPr>
        <w:spacing w:after="0" w:line="208" w:lineRule="exact"/>
        <w:rPr>
          <w:sz w:val="24"/>
          <w:szCs w:val="24"/>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underwriter, First Union Securities, Inc., is acting under the trade name Wachovia Securities.</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Wachovia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June 6, 2002.</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Prospectus Supplement Summary</w:t>
      </w:r>
      <w:r>
        <w:rPr>
          <w:sz w:val="20"/>
          <w:szCs w:val="20"/>
          <w:color w:val="auto"/>
        </w:rPr>
        <w:tab/>
      </w:r>
      <w:r>
        <w:rPr>
          <w:rFonts w:ascii="Courier New" w:cs="Courier New" w:eastAsia="Courier New" w:hAnsi="Courier New"/>
          <w:sz w:val="16"/>
          <w:szCs w:val="16"/>
          <w:color w:val="auto"/>
        </w:rPr>
        <w:t>S-2</w:t>
      </w:r>
    </w:p>
    <w:p>
      <w:pPr>
        <w:ind w:left="1900"/>
        <w:spacing w:after="0"/>
        <w:tabs>
          <w:tab w:leader="dot" w:pos="652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6"/>
          <w:szCs w:val="16"/>
          <w:color w:val="auto"/>
        </w:rPr>
        <w:t>S-2</w:t>
      </w:r>
    </w:p>
    <w:p>
      <w:pPr>
        <w:ind w:left="1900"/>
        <w:spacing w:after="0"/>
        <w:tabs>
          <w:tab w:leader="dot" w:pos="6520" w:val="left"/>
        </w:tabs>
        <w:rPr>
          <w:sz w:val="20"/>
          <w:szCs w:val="20"/>
          <w:color w:val="auto"/>
        </w:rPr>
      </w:pPr>
      <w:r>
        <w:rPr>
          <w:rFonts w:ascii="Courier New" w:cs="Courier New" w:eastAsia="Courier New" w:hAnsi="Courier New"/>
          <w:sz w:val="18"/>
          <w:szCs w:val="18"/>
          <w:color w:val="auto"/>
        </w:rPr>
        <w:t>Recent Developments</w:t>
      </w:r>
      <w:r>
        <w:rPr>
          <w:sz w:val="20"/>
          <w:szCs w:val="20"/>
          <w:color w:val="auto"/>
        </w:rPr>
        <w:tab/>
      </w:r>
      <w:r>
        <w:rPr>
          <w:rFonts w:ascii="Courier New" w:cs="Courier New" w:eastAsia="Courier New" w:hAnsi="Courier New"/>
          <w:sz w:val="16"/>
          <w:szCs w:val="16"/>
          <w:color w:val="auto"/>
        </w:rPr>
        <w:t>S-2</w:t>
      </w:r>
    </w:p>
    <w:p>
      <w:pPr>
        <w:ind w:left="1900"/>
        <w:spacing w:after="0"/>
        <w:tabs>
          <w:tab w:leader="dot" w:pos="6520" w:val="left"/>
        </w:tabs>
        <w:rPr>
          <w:sz w:val="20"/>
          <w:szCs w:val="20"/>
          <w:color w:val="auto"/>
        </w:rPr>
      </w:pPr>
      <w:r>
        <w:rPr>
          <w:rFonts w:ascii="Courier New" w:cs="Courier New" w:eastAsia="Courier New" w:hAnsi="Courier New"/>
          <w:sz w:val="18"/>
          <w:szCs w:val="18"/>
          <w:color w:val="auto"/>
        </w:rPr>
        <w:t>The Offering</w:t>
      </w:r>
      <w:r>
        <w:rPr>
          <w:sz w:val="20"/>
          <w:szCs w:val="20"/>
          <w:color w:val="auto"/>
        </w:rPr>
        <w:tab/>
      </w:r>
      <w:r>
        <w:rPr>
          <w:rFonts w:ascii="Courier New" w:cs="Courier New" w:eastAsia="Courier New" w:hAnsi="Courier New"/>
          <w:sz w:val="16"/>
          <w:szCs w:val="16"/>
          <w:color w:val="auto"/>
        </w:rPr>
        <w:t>S-3</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About This Prospectus Supplement</w:t>
      </w:r>
      <w:r>
        <w:rPr>
          <w:sz w:val="20"/>
          <w:szCs w:val="20"/>
          <w:color w:val="auto"/>
        </w:rPr>
        <w:tab/>
      </w:r>
      <w:r>
        <w:rPr>
          <w:rFonts w:ascii="Courier New" w:cs="Courier New" w:eastAsia="Courier New" w:hAnsi="Courier New"/>
          <w:sz w:val="16"/>
          <w:szCs w:val="16"/>
          <w:color w:val="auto"/>
        </w:rPr>
        <w:t>S-4</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6"/>
          <w:szCs w:val="16"/>
          <w:color w:val="auto"/>
        </w:rPr>
        <w:t>S-4</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A Warning About Forward-Looking Statements</w:t>
      </w:r>
      <w:r>
        <w:rPr>
          <w:sz w:val="20"/>
          <w:szCs w:val="20"/>
          <w:color w:val="auto"/>
        </w:rPr>
        <w:tab/>
      </w:r>
      <w:r>
        <w:rPr>
          <w:rFonts w:ascii="Courier New" w:cs="Courier New" w:eastAsia="Courier New" w:hAnsi="Courier New"/>
          <w:sz w:val="16"/>
          <w:szCs w:val="16"/>
          <w:color w:val="auto"/>
        </w:rPr>
        <w:t>S-5</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S-6</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6"/>
          <w:szCs w:val="16"/>
          <w:color w:val="auto"/>
        </w:rPr>
        <w:t>S-7</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S-9</w:t>
      </w:r>
    </w:p>
    <w:p>
      <w:pPr>
        <w:ind w:left="1480"/>
        <w:spacing w:after="0"/>
        <w:tabs>
          <w:tab w:leader="dot" w:pos="652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S-9</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Prospectus</w:t>
      </w:r>
    </w:p>
    <w:p>
      <w:pPr>
        <w:ind w:left="1480"/>
        <w:spacing w:after="0" w:line="238" w:lineRule="auto"/>
        <w:tabs>
          <w:tab w:leader="dot" w:pos="67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8"/>
          <w:szCs w:val="18"/>
          <w:color w:val="auto"/>
        </w:rPr>
        <w:t>2</w:t>
      </w:r>
    </w:p>
    <w:p>
      <w:pPr>
        <w:ind w:left="1480"/>
        <w:spacing w:after="0"/>
        <w:tabs>
          <w:tab w:leader="none" w:pos="6720" w:val="left"/>
        </w:tabs>
        <w:rPr>
          <w:sz w:val="20"/>
          <w:szCs w:val="20"/>
          <w:color w:val="auto"/>
        </w:rPr>
      </w:pPr>
      <w:r>
        <w:rPr>
          <w:rFonts w:ascii="Courier New" w:cs="Courier New" w:eastAsia="Courier New" w:hAnsi="Courier New"/>
          <w:sz w:val="18"/>
          <w:szCs w:val="18"/>
          <w:color w:val="auto"/>
        </w:rPr>
        <w:t>Incorporation of Certain Documents By Reference</w:t>
        <w:tab/>
        <w:t>2</w:t>
      </w:r>
    </w:p>
    <w:p>
      <w:pPr>
        <w:ind w:left="1480"/>
        <w:spacing w:after="0" w:line="237" w:lineRule="auto"/>
        <w:tabs>
          <w:tab w:leader="dot" w:pos="672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8"/>
          <w:szCs w:val="18"/>
          <w:color w:val="auto"/>
        </w:rPr>
        <w:t>3</w:t>
      </w:r>
    </w:p>
    <w:p>
      <w:pPr>
        <w:ind w:left="1480"/>
        <w:spacing w:after="0" w:line="238" w:lineRule="auto"/>
        <w:tabs>
          <w:tab w:leader="dot" w:pos="67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4</w:t>
      </w:r>
    </w:p>
    <w:p>
      <w:pPr>
        <w:ind w:left="1480"/>
        <w:spacing w:after="0"/>
        <w:tabs>
          <w:tab w:leader="dot" w:pos="672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8"/>
          <w:szCs w:val="18"/>
          <w:color w:val="auto"/>
        </w:rPr>
        <w:t>4</w:t>
      </w:r>
    </w:p>
    <w:p>
      <w:pPr>
        <w:ind w:left="1480"/>
        <w:spacing w:after="0" w:line="237" w:lineRule="auto"/>
        <w:tabs>
          <w:tab w:leader="dot" w:pos="672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8"/>
          <w:szCs w:val="18"/>
          <w:color w:val="auto"/>
        </w:rPr>
        <w:t>4</w:t>
      </w:r>
    </w:p>
    <w:p>
      <w:pPr>
        <w:ind w:left="1480"/>
        <w:spacing w:after="0"/>
        <w:tabs>
          <w:tab w:leader="dot" w:pos="6620" w:val="left"/>
        </w:tabs>
        <w:rPr>
          <w:sz w:val="20"/>
          <w:szCs w:val="20"/>
          <w:color w:val="auto"/>
        </w:rPr>
      </w:pPr>
      <w:r>
        <w:rPr>
          <w:rFonts w:ascii="Courier New" w:cs="Courier New" w:eastAsia="Courier New" w:hAnsi="Courier New"/>
          <w:sz w:val="18"/>
          <w:szCs w:val="18"/>
          <w:color w:val="auto"/>
        </w:rPr>
        <w:t>Description of Preferred Shares</w:t>
      </w:r>
      <w:r>
        <w:rPr>
          <w:sz w:val="20"/>
          <w:szCs w:val="20"/>
          <w:color w:val="auto"/>
        </w:rPr>
        <w:tab/>
      </w:r>
      <w:r>
        <w:rPr>
          <w:rFonts w:ascii="Courier New" w:cs="Courier New" w:eastAsia="Courier New" w:hAnsi="Courier New"/>
          <w:sz w:val="18"/>
          <w:szCs w:val="18"/>
          <w:color w:val="auto"/>
        </w:rPr>
        <w:t>15</w:t>
      </w:r>
    </w:p>
    <w:p>
      <w:pPr>
        <w:ind w:left="1480"/>
        <w:spacing w:after="0" w:line="237" w:lineRule="auto"/>
        <w:tabs>
          <w:tab w:leader="dot" w:pos="6620" w:val="left"/>
        </w:tabs>
        <w:rPr>
          <w:sz w:val="20"/>
          <w:szCs w:val="20"/>
          <w:color w:val="auto"/>
        </w:rPr>
      </w:pPr>
      <w:r>
        <w:rPr>
          <w:rFonts w:ascii="Courier New" w:cs="Courier New" w:eastAsia="Courier New" w:hAnsi="Courier New"/>
          <w:sz w:val="18"/>
          <w:szCs w:val="18"/>
          <w:color w:val="auto"/>
        </w:rPr>
        <w:t>Description of Common Shares</w:t>
      </w:r>
      <w:r>
        <w:rPr>
          <w:sz w:val="20"/>
          <w:szCs w:val="20"/>
          <w:color w:val="auto"/>
        </w:rPr>
        <w:tab/>
      </w:r>
      <w:r>
        <w:rPr>
          <w:rFonts w:ascii="Courier New" w:cs="Courier New" w:eastAsia="Courier New" w:hAnsi="Courier New"/>
          <w:sz w:val="18"/>
          <w:szCs w:val="18"/>
          <w:color w:val="auto"/>
        </w:rPr>
        <w:t>21</w:t>
      </w:r>
    </w:p>
    <w:p>
      <w:pPr>
        <w:ind w:left="1480"/>
        <w:spacing w:after="0"/>
        <w:tabs>
          <w:tab w:leader="dot" w:pos="6620" w:val="left"/>
        </w:tabs>
        <w:rPr>
          <w:sz w:val="20"/>
          <w:szCs w:val="20"/>
          <w:color w:val="auto"/>
        </w:rPr>
      </w:pPr>
      <w:r>
        <w:rPr>
          <w:rFonts w:ascii="Courier New" w:cs="Courier New" w:eastAsia="Courier New" w:hAnsi="Courier New"/>
          <w:sz w:val="18"/>
          <w:szCs w:val="18"/>
          <w:color w:val="auto"/>
        </w:rPr>
        <w:t>Federal Income Tax Considerations</w:t>
      </w:r>
      <w:r>
        <w:rPr>
          <w:sz w:val="20"/>
          <w:szCs w:val="20"/>
          <w:color w:val="auto"/>
        </w:rPr>
        <w:tab/>
      </w:r>
      <w:r>
        <w:rPr>
          <w:rFonts w:ascii="Courier New" w:cs="Courier New" w:eastAsia="Courier New" w:hAnsi="Courier New"/>
          <w:sz w:val="18"/>
          <w:szCs w:val="18"/>
          <w:color w:val="auto"/>
        </w:rPr>
        <w:t>22</w:t>
      </w:r>
    </w:p>
    <w:p>
      <w:pPr>
        <w:ind w:left="1480"/>
        <w:spacing w:after="0" w:line="237" w:lineRule="auto"/>
        <w:tabs>
          <w:tab w:leader="dot" w:pos="66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23</w:t>
      </w:r>
    </w:p>
    <w:p>
      <w:pPr>
        <w:ind w:left="1480"/>
        <w:spacing w:after="0" w:line="238" w:lineRule="auto"/>
        <w:tabs>
          <w:tab w:leader="dot" w:pos="662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8"/>
          <w:szCs w:val="18"/>
          <w:color w:val="auto"/>
        </w:rPr>
        <w:t>24</w:t>
      </w:r>
    </w:p>
    <w:p>
      <w:pPr>
        <w:ind w:left="1480"/>
        <w:spacing w:after="0"/>
        <w:tabs>
          <w:tab w:leader="dot" w:pos="66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We have not, and the underwriter has not, authorized any other person to provide you with different or additional information. If anyone provides you with different or additional information, you should not rely on it. We are not, and the underwriter is not, making an offer to sell these securities in any jurisdiction where the offer or sale of these securities is not permitted. You should not assume that the information appearing in this Prospectus Supplement, the accompanying Prospectus and the documents incorporated by reference is accurate as of any date other than their respective dates. Our business, financial condition, results of operations and prospects may have changed since those dates.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PROSPECTUS SUPPLEMENT SUMMARY</w:t>
      </w:r>
    </w:p>
    <w:p>
      <w:pPr>
        <w:spacing w:after="0" w:line="207"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Federal Realty Investment Trust is an equity real estate investment trust specializing in the ownership, management, development and re-development of high quality retail and mixed-use properties. Federal Realty owns or has an interest in 58 community and neighborhood shopping centers comprising over 12 million square feet, primarily located in densely populated and affluent communities throughout the Northeast and Mid-Atlantic United States. In addition, Federal Realty owns 56 urban retail and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 Federal Realty operates in a manner intended to qualify as a real estate investment trust pursuant to provisions of the Internal Revenue Code. Our offices are located at 1626 East Jefferson Street, Rockville, Maryland 20852. Our telephone number is (301) 998-8100 or (800) 658-8980.</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On June 6, 2002, as part of our previously announced plan to sell slower growing assets and reinvest the proceeds in assets with greater growth potential consistent with our business plan, we completed the sale of Uptown Shopping Center, a property containing approximately 72,000 square feet of retail space and 47 residential apartment units located in Portland, Oregon, for approximately $20.8 million in cash. The capitalization rate for this property is approximately 8.4% based on the property's estimated forward</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12-month net operating income. As a result of the sale, we will record a gain of approximately $5.0 million in the second quarter of 2002. Proceeds from the sale will be used for a tax-deferred exchange, to pay down debt and/or to fund redevelopment activities within our core portfolio.</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On June 4, 2002, our board of trustees, upon the recommendation of our audit committee, appointed Grant Thornton LLP as our independent auditor for 2002, replacing Arthur Andersen LLP. The audit committee recommended the selection of Grant Thornton, which previously had served as our independent auditor for over 20 years between 1977 and 1998, following a thorough evaluation of five major accounting firms as possible successors to Arthur Andersen.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17"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 offered by Federal Realty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1,900,000 shares (1)</w:t>
      </w:r>
    </w:p>
    <w:p>
      <w:pPr>
        <w:spacing w:after="0" w:line="200" w:lineRule="exact"/>
        <w:rPr>
          <w:sz w:val="20"/>
          <w:szCs w:val="20"/>
          <w:color w:val="auto"/>
        </w:rPr>
      </w:pPr>
    </w:p>
    <w:p>
      <w:pPr>
        <w:sectPr>
          <w:pgSz w:w="11900" w:h="16838" w:orient="portrait"/>
          <w:cols w:equalWidth="0" w:num="2">
            <w:col w:w="4120" w:space="200"/>
            <w:col w:w="5899"/>
          </w:cols>
          <w:pgMar w:left="240" w:top="723" w:right="1440" w:bottom="1440" w:gutter="0" w:footer="0" w:header="0"/>
          <w:type w:val="continuous"/>
        </w:sectPr>
      </w:pPr>
    </w:p>
    <w:p>
      <w:pPr>
        <w:spacing w:after="0" w:line="24"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Common shares to be outstanding after the offering........................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42,770,820 shares (1)(2)</w:t>
      </w:r>
    </w:p>
    <w:p>
      <w:pPr>
        <w:spacing w:after="0" w:line="224"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Public offering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$26.50</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intend to use the net proceeds of the offering for the redevelopment of existing properties within our portfolio, for the acquisition of retail properties consistent with our business strategy, and for other general corporate purposes, which may include the retirement of debt.</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FRT</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For a description of the material federal income tax consequences of an investment in our common shares, please review the disclosure contained in our Current Report on Form 8-K, filed with the SEC on March 28, 2002, which is incorporated by reference in this Prospectus Supplement. You may obtain a copy of this Current Report as described below under "Where You Can Find More Information."</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Investing in our common shares involves risks. You should read carefully the risk factors described in our Annual Report on Form 10-K filed with the SEC on March 22, 2002, which is incorporated by reference in this Prospectus Supplement. You may obtain a copy of this Annual Report as described below under "Where You Can Find More Information."</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335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no exercise by the underwriter of its 285,000 share over-allotment option.</w:t>
      </w:r>
    </w:p>
    <w:p>
      <w:pPr>
        <w:spacing w:after="0" w:line="5"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common shares outstanding as of June 5, 2002. Excludes shares that may be issued by Federal Realty upon exercise of outstanding share options and shares that may be issued by Federal Realty upon exercise of conversion and put rights by current or former joint venture and other business partners.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23" w:right="1440" w:bottom="1440" w:gutter="0" w:footer="0" w:header="0"/>
          <w:type w:val="continuous"/>
        </w:sectPr>
      </w:pPr>
    </w:p>
    <w:bookmarkStart w:id="4" w:name="page5"/>
    <w:bookmarkEnd w:id="4"/>
    <w:p>
      <w:pPr>
        <w:ind w:left="2440"/>
        <w:spacing w:after="0"/>
        <w:rPr>
          <w:sz w:val="20"/>
          <w:szCs w:val="20"/>
          <w:color w:val="auto"/>
        </w:rPr>
      </w:pPr>
      <w:r>
        <w:rPr>
          <w:rFonts w:ascii="Courier New" w:cs="Courier New" w:eastAsia="Courier New" w:hAnsi="Courier New"/>
          <w:sz w:val="18"/>
          <w:szCs w:val="18"/>
          <w:color w:val="auto"/>
        </w:rPr>
        <w:t>ABOUT THIS PROSPECTUS SUPPLEMENT</w:t>
      </w:r>
    </w:p>
    <w:p>
      <w:pPr>
        <w:spacing w:after="0" w:line="207"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This Prospectus Supplement is part of a registration statement on Form S-3 that we filed with the SEC under the Securities Act of 1933. This Prospectus Supplement does not contain all of the information included in the registration statement. For further information, we refer you to the registration statement, including its exhibits. Statements contained or incorporated by reference in this Prospectus Supplement or the accompanying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In particular, the summary of some of the provisions of our declaration of trust and bylaws, including the articles supplementary establishing the terms of one series of our outstanding preferred shares, are subject to, and are qualified in their entirety by reference to, the copy of our declaration of trust that has been filed as an exhibit to the registration statement and the copy of our bylaws that has been filed as an exhibit to our registration statement on Form 8-A/A, filed with the SEC on June 6, 2002.</w:t>
      </w:r>
    </w:p>
    <w:p>
      <w:pPr>
        <w:spacing w:after="0" w:line="396"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You should read this Prospectus Supplement together with the additional information described under the heading "Where You Can Find More Information" below.</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We file annual, quarterly and current reports and other information with the SEC. You may read and copy materials that we have filed with the SEC, including the registration statement, at the following location:</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Public Reference Room</w:t>
      </w:r>
    </w:p>
    <w:p>
      <w:pPr>
        <w:ind w:left="2960"/>
        <w:spacing w:after="0" w:line="238" w:lineRule="auto"/>
        <w:rPr>
          <w:sz w:val="20"/>
          <w:szCs w:val="20"/>
          <w:color w:val="auto"/>
        </w:rPr>
      </w:pPr>
      <w:r>
        <w:rPr>
          <w:rFonts w:ascii="Courier New" w:cs="Courier New" w:eastAsia="Courier New" w:hAnsi="Courier New"/>
          <w:sz w:val="18"/>
          <w:szCs w:val="18"/>
          <w:color w:val="auto"/>
        </w:rPr>
        <w:t>450 Fifth Street, N.W.</w:t>
      </w:r>
    </w:p>
    <w:p>
      <w:pPr>
        <w:ind w:left="3700"/>
        <w:spacing w:after="0"/>
        <w:rPr>
          <w:sz w:val="20"/>
          <w:szCs w:val="20"/>
          <w:color w:val="auto"/>
        </w:rPr>
      </w:pPr>
      <w:r>
        <w:rPr>
          <w:rFonts w:ascii="Courier New" w:cs="Courier New" w:eastAsia="Courier New" w:hAnsi="Courier New"/>
          <w:sz w:val="18"/>
          <w:szCs w:val="18"/>
          <w:color w:val="auto"/>
        </w:rPr>
        <w:t>Room 1024</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You may obtain information on the operation of the SEC's Public Reference Room by calling the SEC at (800) SEC-0330.</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SEC also maintains an Internet web site that contains reports, proxy statements and other information regarding issuers, including us, who file electronically with the SEC. The address of that site is www.sec.gov. Reports, proxy statements and other information concerning Federal Realty Investment Trust may also be inspected at the offices of the New York Stock Exchange, which are located at 20 Broad Street, New York, NY 10005.</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important information to you by referring you to another document filed separately with the SEC. The information incorporated by reference is considered to be part of this Prospectus Supplement and the accompanying Prospectus, and information we file later with the SEC will automatically update and supersede the information in this Prospectus Supplement, the accompanying Prospectus and any document we previously filed with the SEC. In particular,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17"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information appearing in the accompanying Prospectus under "Description of Common Shares" has been superseded in its entirety, and the information appearing in the accompanying Prospectus under the caption "Federal Income Tax Considerations" has been superseded in part, by information appearing in the filings listed below. We incorporate by reference the filings listed below, which we have previously filed with the SEC, and any future filings made with the SEC prior to the termination of this offering under Sections 13(a), 13(c), 14 or 15(d) of the Securities Exchange Act of 1934. All of these filings, which contain important information about us, are considered a part of this Prospectus Supplement and the accompanying Prospectus.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file number for each of the listed documents is 1-07533.</w:t>
      </w:r>
    </w:p>
    <w:p>
      <w:pPr>
        <w:spacing w:after="0" w:line="207" w:lineRule="exact"/>
        <w:rPr>
          <w:sz w:val="20"/>
          <w:szCs w:val="20"/>
          <w:color w:val="auto"/>
        </w:rPr>
      </w:pPr>
    </w:p>
    <w:p>
      <w:pPr>
        <w:ind w:left="1280" w:right="209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2001.</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2002.</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the following dates:</w:t>
      </w:r>
    </w:p>
    <w:p>
      <w:pPr>
        <w:spacing w:after="0" w:line="201" w:lineRule="exact"/>
        <w:rPr>
          <w:sz w:val="20"/>
          <w:szCs w:val="20"/>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12, 2002;</w:t>
      </w:r>
    </w:p>
    <w:p>
      <w:pPr>
        <w:ind w:left="1280" w:hanging="429"/>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12, 2002;</w:t>
      </w:r>
    </w:p>
    <w:p>
      <w:pPr>
        <w:ind w:left="1280" w:hanging="429"/>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28, 2002;</w:t>
      </w:r>
    </w:p>
    <w:p>
      <w:pPr>
        <w:ind w:left="1280" w:hanging="429"/>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April 30, 2002; and</w:t>
      </w:r>
    </w:p>
    <w:p>
      <w:pPr>
        <w:ind w:left="1280" w:hanging="429"/>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June 5, 2002</w:t>
      </w:r>
    </w:p>
    <w:p>
      <w:pPr>
        <w:spacing w:after="0" w:line="207" w:lineRule="exact"/>
        <w:rPr>
          <w:sz w:val="20"/>
          <w:szCs w:val="20"/>
          <w:color w:val="auto"/>
        </w:rPr>
      </w:pPr>
    </w:p>
    <w:p>
      <w:pPr>
        <w:ind w:left="1280" w:right="251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our Registration Statement on Form 8-A/A filed on June 6, 2002.</w:t>
      </w:r>
    </w:p>
    <w:p>
      <w:pPr>
        <w:spacing w:after="0" w:line="208" w:lineRule="exact"/>
        <w:rPr>
          <w:rFonts w:ascii="Courier New" w:cs="Courier New" w:eastAsia="Courier New" w:hAnsi="Courier New"/>
          <w:sz w:val="18"/>
          <w:szCs w:val="18"/>
          <w:color w:val="auto"/>
        </w:rPr>
      </w:pPr>
    </w:p>
    <w:p>
      <w:pPr>
        <w:ind w:left="1280" w:right="2319" w:hanging="640"/>
        <w:spacing w:after="0" w:line="290"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our Registration Statement on Form 8-A/A filed on March 11, 1999.</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You may obtain copies of documents incorporated by reference in this document, without charge, by writing us at the following address or calling us at the telephone number listed below:</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Andrew P. Blocher</w:t>
      </w:r>
    </w:p>
    <w:p>
      <w:pPr>
        <w:ind w:left="1280"/>
        <w:spacing w:after="0" w:line="238" w:lineRule="auto"/>
        <w:rPr>
          <w:sz w:val="20"/>
          <w:szCs w:val="20"/>
          <w:color w:val="auto"/>
        </w:rPr>
      </w:pPr>
      <w:r>
        <w:rPr>
          <w:rFonts w:ascii="Courier New" w:cs="Courier New" w:eastAsia="Courier New" w:hAnsi="Courier New"/>
          <w:sz w:val="18"/>
          <w:szCs w:val="18"/>
          <w:color w:val="auto"/>
        </w:rPr>
        <w:t>Vice President, Investor Relations and Capital Markets</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860"/>
        <w:spacing w:after="0" w:line="237" w:lineRule="auto"/>
        <w:rPr>
          <w:sz w:val="20"/>
          <w:szCs w:val="20"/>
          <w:color w:val="auto"/>
        </w:rPr>
      </w:pPr>
      <w:r>
        <w:rPr>
          <w:rFonts w:ascii="Courier New" w:cs="Courier New" w:eastAsia="Courier New" w:hAnsi="Courier New"/>
          <w:sz w:val="18"/>
          <w:szCs w:val="18"/>
          <w:color w:val="auto"/>
        </w:rPr>
        <w:t>1626 E.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2440"/>
        <w:spacing w:after="0"/>
        <w:rPr>
          <w:sz w:val="20"/>
          <w:szCs w:val="20"/>
          <w:color w:val="auto"/>
        </w:rPr>
      </w:pPr>
      <w:r>
        <w:rPr>
          <w:rFonts w:ascii="Courier New" w:cs="Courier New" w:eastAsia="Courier New" w:hAnsi="Courier New"/>
          <w:sz w:val="18"/>
          <w:szCs w:val="18"/>
          <w:color w:val="auto"/>
        </w:rPr>
        <w:t>(301) 998-8100 or (800) 658-8980</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WARNING ABOUT FORWARD-LOOKING STATEMENTS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make forward-looking statements in this Prospectus Supplement and the accompanying Prospectus, and in documents that are incorporated by reference in the Prospectus Supplement and the accompanying Prospectus, that are subject to risks and uncertainties. Forward-looking statements include information concerning our possible or assumed future results of operations. Also, statements including words such as "believes," "expects," "anticipates," "intends," "plans," "estimates," or similar expressions are forward-looking statements. Many factors, some of which are discussed elsewhere in this Prospectus Supplement and the accompanying Prospectus and in the documents incorporated by</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23"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reference in the Prospectus Supplement and the accompanying Prospectus, could affect our future financial results and could cause actual results to differ materially from those expressed in forward-looking statements contained or incorporated by reference in this Prospectus Supplement and the accompanying Prospectus. Important factors that could cause actual results to differ materially from current expectations reflected in the forward-looking statements included and incorporated by reference in this Prospectus Supplement and the accompanying Prospectus include, among others, the risk factors discussed in the filings made by us with the SEC that are identified above and incorporated by reference in this Prospectus Supplement and the accompanying Prospectus.</w:t>
      </w:r>
    </w:p>
    <w:p>
      <w:pPr>
        <w:spacing w:after="0" w:line="216"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Forward-looking statements are not guarantees of performance. They involve risks, uncertainties and assumptions. Our future results and shareholder values may differ materially from those expressed in these forward-looking statements. Many of the factors that will determine these results and values are beyond our ability to control or predict. For those statements, we claim the protection of the safe harbor for forward-looking statements contained in the Private Securities Litigation Reform Act of 1995.</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net proceeds from the sale of common shares offered hereby are estimated to be approximately $49.2 million (up to approximately $56.6 million if the underwriter's over-allotment option is exercised in full). "Net proceeds" are what we expect to receive after deducting underwriting discounts and commissions and paying certain expenses of the offering, which expenses we estimate to be approximately $150,000.</w:t>
      </w:r>
    </w:p>
    <w:p>
      <w:pPr>
        <w:spacing w:after="0" w:line="210"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We intend to use the net proceeds of the offering for the redevelopment of existing properties within our portfolio, for the acquisition of retail properties consistent with our business strategy, and for other general corporate purposes, which may include the retirement of debt. Pending such uses of the net proceeds, we plan to temporarily repay outstanding indebtedness under our revolving credit facility and/or invest proceeds in investment grade commercial paper. Amounts that we repay under our credit facility may be reborrowed, subject to compliance with financial covenants and other customary conditions to borrowing. Our credit facility bears interest at a spread over LIBOR determined by our credit rating and matures in December 2003. The weighted average interest rate on borrowings under our credit facility for the three months ended March 31, 2002 was 2.6%.</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Subject to the terms and conditions stated in the underwriting agreement and the related pricing agreement, each dated the date of this Prospectus Supplement, First Union Securities, Inc. (acting under the trade name Wachovia Securities) has agreed to purchase, and we have agreed to sell to the underwriter, all of the 1,900,000 common shares offered by this Prospectus Supplement.</w:t>
      </w:r>
    </w:p>
    <w:p>
      <w:pPr>
        <w:spacing w:after="0" w:line="210"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 of the underwriter to purchase the shares included in this offering is subject to approval of certain legal matters by counsel and to other conditions. The underwriter is obligated to purchase all of the shares (other than those covered by the over-allotment option described below) if it purchases any of the shares.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underwriter proposes to offer some of the shares directly to the</w:t>
      </w:r>
    </w:p>
    <w:p>
      <w:pPr>
        <w:spacing w:after="0" w:line="238" w:lineRule="auto"/>
        <w:rPr>
          <w:sz w:val="20"/>
          <w:szCs w:val="20"/>
          <w:color w:val="auto"/>
        </w:rPr>
      </w:pPr>
      <w:r>
        <w:rPr>
          <w:rFonts w:ascii="Courier New" w:cs="Courier New" w:eastAsia="Courier New" w:hAnsi="Courier New"/>
          <w:sz w:val="18"/>
          <w:szCs w:val="18"/>
          <w:color w:val="auto"/>
        </w:rPr>
        <w:t>public at the public offering price set forth on the cover page of this</w:t>
      </w:r>
    </w:p>
    <w:p>
      <w:pPr>
        <w:spacing w:after="0"/>
        <w:rPr>
          <w:sz w:val="20"/>
          <w:szCs w:val="20"/>
          <w:color w:val="auto"/>
        </w:rPr>
      </w:pPr>
      <w:r>
        <w:rPr>
          <w:rFonts w:ascii="Courier New" w:cs="Courier New" w:eastAsia="Courier New" w:hAnsi="Courier New"/>
          <w:sz w:val="18"/>
          <w:szCs w:val="18"/>
          <w:color w:val="auto"/>
        </w:rPr>
        <w:t>Prospectus Supplement and some of the shares to certain dealers at the public</w:t>
      </w:r>
    </w:p>
    <w:p>
      <w:pPr>
        <w:spacing w:after="0" w:line="237" w:lineRule="auto"/>
        <w:rPr>
          <w:sz w:val="20"/>
          <w:szCs w:val="20"/>
          <w:color w:val="auto"/>
        </w:rPr>
      </w:pPr>
      <w:r>
        <w:rPr>
          <w:rFonts w:ascii="Courier New" w:cs="Courier New" w:eastAsia="Courier New" w:hAnsi="Courier New"/>
          <w:sz w:val="18"/>
          <w:szCs w:val="18"/>
          <w:color w:val="auto"/>
        </w:rPr>
        <w:t>offering price, less a concession not to exceed $0.35 per share. The</w:t>
      </w:r>
    </w:p>
    <w:p>
      <w:pPr>
        <w:spacing w:after="0" w:line="238" w:lineRule="auto"/>
        <w:rPr>
          <w:sz w:val="20"/>
          <w:szCs w:val="20"/>
          <w:color w:val="auto"/>
        </w:rPr>
      </w:pPr>
      <w:r>
        <w:rPr>
          <w:rFonts w:ascii="Courier New" w:cs="Courier New" w:eastAsia="Courier New" w:hAnsi="Courier New"/>
          <w:sz w:val="18"/>
          <w:szCs w:val="18"/>
          <w:color w:val="auto"/>
        </w:rPr>
        <w:t>underwriter may allow, and dealers may reallow, a concession not to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$0.10 per share on sales to other dealers. If all of the shares are not sold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initial offering price, the underwriter may change the public offering</w:t>
      </w:r>
    </w:p>
    <w:p>
      <w:pPr>
        <w:spacing w:after="0" w:line="238" w:lineRule="auto"/>
        <w:rPr>
          <w:sz w:val="20"/>
          <w:szCs w:val="20"/>
          <w:color w:val="auto"/>
        </w:rPr>
      </w:pPr>
      <w:r>
        <w:rPr>
          <w:rFonts w:ascii="Courier New" w:cs="Courier New" w:eastAsia="Courier New" w:hAnsi="Courier New"/>
          <w:sz w:val="18"/>
          <w:szCs w:val="18"/>
          <w:color w:val="auto"/>
        </w:rPr>
        <w:t>price and the other selling terms.</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We have granted to the underwriter an option, exercisable for 30 days from the date of this Prospectus Supplement, to purchase up to 285,000 additional common shares at the public offering price less the underwriting discounts and commissions and less an amount per share equal to any dividends or distributions paid or payable on the 1,900,000 common shares referred to above but not payable on the common shares to be purchased upon exercise of that option. The underwriter may exercise the option solely for the purpose of covering over-allotments, if any, in connection with this offering.</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and three of our senior officers, including our chairman of the board and chief executive officer, have agreed that, for a period of 60 days from the date of this Prospectus Supplement, we and they will not, without the prior written consent of First Union Securities, Inc., dispose of or hedge any common shares or any securities convertible into or exercisable or exchangeable for our common shares, except that our chairman and chief executive officer will be permitted, commencing on the 31/st/ day after the date of this Prospectus Supplement, to sell up to 200,000 common shares acquired upon the exercise of options. While in effect, our lock-up agreement will not prevent us from issuing common shares pursuant to:</w:t>
      </w:r>
    </w:p>
    <w:p>
      <w:pPr>
        <w:spacing w:after="0" w:line="209"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Dividend Reinvestment and Share Purchase Plan;</w:t>
      </w:r>
    </w:p>
    <w:p>
      <w:pPr>
        <w:spacing w:after="0" w:line="4" w:lineRule="exact"/>
        <w:rPr>
          <w:sz w:val="20"/>
          <w:szCs w:val="20"/>
          <w:color w:val="auto"/>
        </w:rPr>
      </w:pPr>
    </w:p>
    <w:p>
      <w:pPr>
        <w:ind w:left="960" w:right="2619" w:hanging="425"/>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employee or trustee benefit plans, including as a result of exercises of options granted under these plans; or</w:t>
      </w:r>
    </w:p>
    <w:p>
      <w:pPr>
        <w:spacing w:after="0" w:line="6" w:lineRule="exact"/>
        <w:rPr>
          <w:sz w:val="20"/>
          <w:szCs w:val="20"/>
          <w:color w:val="auto"/>
        </w:rPr>
      </w:pPr>
    </w:p>
    <w:p>
      <w:pPr>
        <w:ind w:left="960" w:right="1879" w:hanging="425"/>
        <w:spacing w:after="0" w:line="23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exercise of contractual rights that may require us to issue common shares to current or former joint venture and other business partners with which we own properties.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lock-up agreements do not prohibit the senior officers from exercising options or purchasing shares under employee or trustee benefit plans or from making gifts of common shares or securities convertible into or exercisable or exchangeable for common shares for the benefit of their immediate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144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families or for charitable purposes as long as the donee enters into a similar lock-up agreement. First Union Securities, Inc. may, in its sole discretion, release any of the securities subject to these lock-up agreements at any time without notice.</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following table shows the underwriting discounts and commissions that we are to pay to the underwriter in connection with this offering. These amounts are shown assuming both no exercise and full exercise of the underwriter's option to purchase additional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 Exercise Full Exercise</w:t>
      </w:r>
    </w:p>
    <w:p>
      <w:pPr>
        <w:ind w:left="4020"/>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.5175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.5175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983,250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1,130,738</w:t>
            </w:r>
          </w:p>
        </w:tc>
      </w:tr>
      <w:tr>
        <w:trPr>
          <w:trHeight w:val="203"/>
        </w:trPr>
        <w:tc>
          <w:tcPr>
            <w:tcW w:w="22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In connection with the offering, First Union Securities, Inc. may purchase and sell common shares in the open market. These transactions may include short sales, covering transactions and stabilizing transactions. Short sales involve sales of common shares in excess of the number of shares to be purchased by the underwriter in this offering, which creates a short position. "Covered" short sales are sales of shares made in an amount up to the number of shares represented by the underwriter's over-allotment option. In determining the source of shares to close out the covered short position, the underwriter will consider, among other things, the price of shares available for purchase in the open market as compared to the price at which it may purchase common shares through the over-allotment option. Transactions to close out the covered short position involve either purchases in the open market after the distribution has been completed or the exercise of the over-allotment option. The underwriter may also make "naked" short sales of shares in excess of the over-allotment option. The underwriter must close out any naked short position by purchasing common shares in the open market. A naked short position is more likely to be created if the underwriter is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Any of these activities may have the effect of preventing or retarding a decline in the market price of our common shares. They may also cause the price of our common shares to be higher than the price that would otherwise exist in the open market in the absence of these transactions. The underwriter may conduct these transactions on the New York Stock Exchange or in the over-the-counter market, or otherwise. If the underwriter commences any of these transactions, it may discontinue them at any time.</w:t>
      </w:r>
    </w:p>
    <w:p>
      <w:pPr>
        <w:spacing w:after="0" w:line="211"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We estimate that the total expenses we will incur in this offering, other than underwriting discounts and commissions, will be approximately $150,000.</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First Union Securities, Inc. has performed certain investment banking and financial advisory services for us from time to time for which it has received customary fees and expenses. First Union Securities, Inc. may, from time to time, engage in transactions with and perform services for us in the ordinary course of its business.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1440" w:gutter="0" w:footer="0" w:header="0"/>
        </w:sectPr>
      </w:pPr>
    </w:p>
    <w:bookmarkStart w:id="9" w:name="page10"/>
    <w:bookmarkEnd w:id="9"/>
    <w:p>
      <w:pPr>
        <w:ind w:right="1879" w:firstLine="632"/>
        <w:spacing w:after="0" w:line="237" w:lineRule="auto"/>
        <w:rPr>
          <w:sz w:val="20"/>
          <w:szCs w:val="20"/>
          <w:color w:val="auto"/>
        </w:rPr>
      </w:pPr>
      <w:r>
        <w:rPr>
          <w:rFonts w:ascii="Courier New" w:cs="Courier New" w:eastAsia="Courier New" w:hAnsi="Courier New"/>
          <w:sz w:val="18"/>
          <w:szCs w:val="18"/>
          <w:color w:val="auto"/>
        </w:rPr>
        <w:t>In addition, Wachovia Bank, N.A., an affiliate of First Union Securities, Inc., is a participating lender and administrative agent on our credit facility and will receive its proportionate share of any amounts repaid under that facility with the net proceeds of this offering.</w:t>
      </w:r>
    </w:p>
    <w:p>
      <w:pPr>
        <w:spacing w:after="0" w:line="207" w:lineRule="exact"/>
        <w:rPr>
          <w:sz w:val="20"/>
          <w:szCs w:val="20"/>
          <w:color w:val="auto"/>
        </w:rPr>
      </w:pPr>
    </w:p>
    <w:p>
      <w:pPr>
        <w:ind w:right="2099" w:firstLine="632"/>
        <w:spacing w:after="0" w:line="270" w:lineRule="auto"/>
        <w:rPr>
          <w:sz w:val="20"/>
          <w:szCs w:val="20"/>
          <w:color w:val="auto"/>
        </w:rPr>
      </w:pPr>
      <w:r>
        <w:rPr>
          <w:rFonts w:ascii="Courier New" w:cs="Courier New" w:eastAsia="Courier New" w:hAnsi="Courier New"/>
          <w:sz w:val="16"/>
          <w:szCs w:val="16"/>
          <w:color w:val="auto"/>
        </w:rPr>
        <w:t>First Union Securities, Inc. is an indirect, wholly owned subsidiary of Wachovia Corporation. Wachovia Corporation conducts its investment banking, institutional, and capital markets businesses through its various bank, broker-dealer and non-bank subsidiaries (including First Union Securities, Inc.) under the trade name of Wachovia Securities. Any references to Wachovia Securities in this Prospectus Supplement, however, do not include Wachovia Securities, Inc., member NASD/SIPC, a separate broker-dealer subsidiary of Wachovia Corporation and an affiliate of First Union Securities, Inc., which may or may not be participating as a selling group member in the distribution of the common shares offered by this Prospectus Supplement.</w:t>
      </w:r>
    </w:p>
    <w:p>
      <w:pPr>
        <w:spacing w:after="0" w:line="18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We have agreed to indemnify the underwriter against certain liabilities, including liabilities under the Securities Act of 1933, or to contribute to payments the underwriter may be required to make because of any of those liabilities.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appearing in our Annual Report on Form 10-K for the periods indicated in their reports, incorporated by reference into this Prospectus Supplement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Hogan &amp; Hartson L.L.P. will pass upon the validity of the issuance of the common shares offered by this Prospectus Supplement and certain federal income tax matters. Sidley Austin Brown &amp; Wood LLP, San Francisco, California, will act as counsel to the underwriter. Sidley Austin Brown &amp; Wood LLP will rely on Hogan &amp; Hartson L.L.P. as to all matters of Maryland law.</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[LOGO] FEDERAL REALTY</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$500,000,000</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right="1879" w:firstLine="8"/>
        <w:spacing w:after="0" w:line="271"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211"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date of this Prospectus is September 30, 1998.</w:t>
      </w:r>
    </w:p>
    <w:p>
      <w:pPr>
        <w:sectPr>
          <w:pgSz w:w="11900" w:h="16838" w:orient="portrait"/>
          <w:cols w:equalWidth="0" w:num="1">
            <w:col w:w="10219"/>
          </w:cols>
          <w:pgMar w:left="240" w:top="717" w:right="1440" w:bottom="97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3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The following documents filed by the Trust with the Commission are</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incorporated in this Prospectus by reference and are made a part hereof:</w:t>
      </w:r>
    </w:p>
    <w:p>
      <w:pPr>
        <w:spacing w:after="0" w:line="224" w:lineRule="exact"/>
        <w:rPr>
          <w:sz w:val="20"/>
          <w:szCs w:val="20"/>
          <w:color w:val="auto"/>
        </w:rPr>
      </w:pPr>
    </w:p>
    <w:p>
      <w:pPr>
        <w:ind w:left="320" w:right="2519" w:firstLine="320"/>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1997.</w:t>
      </w:r>
    </w:p>
    <w:p>
      <w:pPr>
        <w:spacing w:after="0" w:line="208" w:lineRule="exact"/>
        <w:rPr>
          <w:rFonts w:ascii="Courier New" w:cs="Courier New" w:eastAsia="Courier New" w:hAnsi="Courier New"/>
          <w:sz w:val="18"/>
          <w:szCs w:val="18"/>
          <w:color w:val="auto"/>
        </w:rPr>
      </w:pPr>
    </w:p>
    <w:p>
      <w:pPr>
        <w:ind w:left="320" w:right="2419" w:firstLine="320"/>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1998 and June 30, 1998.</w:t>
      </w:r>
    </w:p>
    <w:p>
      <w:pPr>
        <w:spacing w:after="0" w:line="208" w:lineRule="exact"/>
        <w:rPr>
          <w:rFonts w:ascii="Courier New" w:cs="Courier New" w:eastAsia="Courier New" w:hAnsi="Courier New"/>
          <w:sz w:val="18"/>
          <w:szCs w:val="18"/>
          <w:color w:val="auto"/>
        </w:rPr>
      </w:pPr>
    </w:p>
    <w:p>
      <w:pPr>
        <w:jc w:val="both"/>
        <w:ind w:left="320" w:right="2099" w:firstLine="320"/>
        <w:spacing w:after="0" w:line="236"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Reports on Form 8-K filed with the Commission on February 24, 1998, March 10, 1998, March 11, 1998, May 11, 1998 and August 7, 1998.</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632"/>
        <w:spacing w:after="0" w:line="272"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86"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39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8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Trust maintains its offices at 1626 East Jefferson Street, Rockville, Maryland 20852-4041 (telephone 301/998-8100).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Six Months</w:t>
            </w:r>
          </w:p>
        </w:tc>
      </w:tr>
      <w:tr>
        <w:trPr>
          <w:trHeight w:val="203"/>
        </w:trPr>
        <w:tc>
          <w:tcPr>
            <w:tcW w:w="1160" w:type="dxa"/>
            <w:vAlign w:val="bottom"/>
          </w:tcPr>
          <w:p>
            <w:pPr>
              <w:spacing w:after="0"/>
              <w:rPr>
                <w:sz w:val="17"/>
                <w:szCs w:val="17"/>
                <w:color w:val="auto"/>
              </w:rPr>
            </w:pPr>
          </w:p>
        </w:tc>
        <w:tc>
          <w:tcPr>
            <w:tcW w:w="33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160" w:type="dxa"/>
            <w:vAlign w:val="bottom"/>
          </w:tcPr>
          <w:p>
            <w:pPr>
              <w:spacing w:after="0"/>
              <w:rPr>
                <w:sz w:val="17"/>
                <w:szCs w:val="17"/>
                <w:color w:val="auto"/>
              </w:rPr>
            </w:pP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1.50x</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1.61x</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1.55x</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1.59x</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1.70x</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1.74x</w:t>
            </w:r>
          </w:p>
        </w:tc>
      </w:tr>
    </w:tbl>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320" w:right="2099" w:firstLine="425"/>
        <w:spacing w:after="0" w:line="235"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320" w:right="1879" w:firstLine="425"/>
        <w:spacing w:after="0" w:line="235"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320" w:right="1879" w:firstLine="425"/>
        <w:spacing w:after="0" w:line="272" w:lineRule="auto"/>
        <w:tabs>
          <w:tab w:leader="none" w:pos="11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185" w:lineRule="exact"/>
        <w:rPr>
          <w:rFonts w:ascii="Courier New" w:cs="Courier New" w:eastAsia="Courier New" w:hAnsi="Courier New"/>
          <w:sz w:val="16"/>
          <w:szCs w:val="16"/>
          <w:color w:val="auto"/>
        </w:rPr>
      </w:pPr>
    </w:p>
    <w:p>
      <w:pPr>
        <w:ind w:left="320" w:right="2099" w:firstLine="425"/>
        <w:spacing w:after="0" w:line="237"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320" w:right="1879" w:firstLine="425"/>
        <w:spacing w:after="0" w:line="235"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ind w:left="320" w:right="1879" w:firstLine="425"/>
        <w:spacing w:after="0" w:line="236"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320" w:right="1879" w:firstLine="425"/>
        <w:spacing w:after="0" w:line="237"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320" w:right="1879" w:firstLine="425"/>
        <w:spacing w:after="0" w:line="273" w:lineRule="auto"/>
        <w:tabs>
          <w:tab w:leader="none" w:pos="11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320" w:right="1879" w:firstLine="425"/>
        <w:spacing w:after="0" w:line="237"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7" w:lineRule="exact"/>
        <w:rPr>
          <w:rFonts w:ascii="Courier New" w:cs="Courier New" w:eastAsia="Courier New" w:hAnsi="Courier New"/>
          <w:sz w:val="18"/>
          <w:szCs w:val="18"/>
          <w:color w:val="auto"/>
        </w:rPr>
      </w:pPr>
    </w:p>
    <w:p>
      <w:pPr>
        <w:ind w:left="320" w:right="1879" w:firstLine="320"/>
        <w:spacing w:after="0" w:line="237" w:lineRule="auto"/>
        <w:tabs>
          <w:tab w:leader="none" w:pos="11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564" w:gutter="0" w:footer="0" w:header="0"/>
        </w:sectPr>
      </w:pPr>
    </w:p>
    <w:bookmarkStart w:id="15" w:name="page16"/>
    <w:bookmarkEnd w:id="15"/>
    <w:p>
      <w:pPr>
        <w:jc w:val="both"/>
        <w:ind w:left="320" w:right="1879" w:firstLine="320"/>
        <w:spacing w:after="0" w:line="237" w:lineRule="auto"/>
        <w:tabs>
          <w:tab w:leader="none" w:pos="11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320" w:right="1879" w:firstLine="320"/>
        <w:spacing w:after="0" w:line="237" w:lineRule="auto"/>
        <w:tabs>
          <w:tab w:leader="none" w:pos="11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320" w:right="1999" w:firstLine="320"/>
        <w:spacing w:after="0" w:line="236" w:lineRule="auto"/>
        <w:tabs>
          <w:tab w:leader="none" w:pos="116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3"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w:t>
      </w:r>
    </w:p>
    <w:p>
      <w:pPr>
        <w:ind w:left="320"/>
        <w:spacing w:after="0" w:line="238" w:lineRule="auto"/>
        <w:rPr>
          <w:sz w:val="20"/>
          <w:szCs w:val="20"/>
          <w:color w:val="auto"/>
        </w:rPr>
      </w:pPr>
      <w:r>
        <w:rPr>
          <w:rFonts w:ascii="Courier New" w:cs="Courier New" w:eastAsia="Courier New" w:hAnsi="Courier New"/>
          <w:sz w:val="18"/>
          <w:szCs w:val="18"/>
          <w:color w:val="auto"/>
        </w:rPr>
        <w:t>book-entry form;</w:t>
      </w:r>
    </w:p>
    <w:p>
      <w:pPr>
        <w:spacing w:after="0" w:line="207" w:lineRule="exact"/>
        <w:rPr>
          <w:sz w:val="20"/>
          <w:szCs w:val="20"/>
          <w:color w:val="auto"/>
        </w:rPr>
      </w:pPr>
    </w:p>
    <w:p>
      <w:pPr>
        <w:ind w:left="320" w:right="1999" w:firstLine="320"/>
        <w:spacing w:after="0" w:line="237" w:lineRule="auto"/>
        <w:tabs>
          <w:tab w:leader="none" w:pos="11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320" w:right="1879" w:firstLine="320"/>
        <w:spacing w:after="0" w:line="235" w:lineRule="auto"/>
        <w:tabs>
          <w:tab w:leader="none" w:pos="11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8" w:lineRule="exact"/>
        <w:rPr>
          <w:rFonts w:ascii="Courier New" w:cs="Courier New" w:eastAsia="Courier New" w:hAnsi="Courier New"/>
          <w:sz w:val="18"/>
          <w:szCs w:val="18"/>
          <w:color w:val="auto"/>
        </w:rPr>
      </w:pPr>
    </w:p>
    <w:p>
      <w:pPr>
        <w:ind w:left="320" w:right="1879" w:firstLine="320"/>
        <w:spacing w:after="0" w:line="237" w:lineRule="auto"/>
        <w:tabs>
          <w:tab w:leader="none" w:pos="11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 convertible into Common Shares or Preferred Shares of the Trust and the terms and conditions upon which such conversion will be effected, including, without limitation, the initial conversion price or rate and the conversion period;</w:t>
      </w:r>
    </w:p>
    <w:p>
      <w:pPr>
        <w:spacing w:after="0" w:line="208" w:lineRule="exact"/>
        <w:rPr>
          <w:rFonts w:ascii="Courier New" w:cs="Courier New" w:eastAsia="Courier New" w:hAnsi="Courier New"/>
          <w:sz w:val="18"/>
          <w:szCs w:val="18"/>
          <w:color w:val="auto"/>
        </w:rPr>
      </w:pPr>
    </w:p>
    <w:p>
      <w:pPr>
        <w:ind w:left="320" w:right="1879" w:firstLine="320"/>
        <w:spacing w:after="0" w:line="237" w:lineRule="auto"/>
        <w:tabs>
          <w:tab w:leader="none" w:pos="11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320" w:right="2199" w:firstLine="320"/>
        <w:spacing w:after="0" w:line="290" w:lineRule="auto"/>
        <w:tabs>
          <w:tab w:leader="none" w:pos="11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59"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10" w:lineRule="exact"/>
        <w:rPr>
          <w:sz w:val="20"/>
          <w:szCs w:val="20"/>
          <w:color w:val="auto"/>
        </w:rPr>
      </w:pPr>
    </w:p>
    <w:p>
      <w:pPr>
        <w:ind w:right="2099" w:firstLine="316"/>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393"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564"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970"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11"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w:t>
      </w:r>
    </w:p>
    <w:p>
      <w:pPr>
        <w:spacing w:after="0" w:line="389" w:lineRule="exact"/>
        <w:rPr>
          <w:sz w:val="20"/>
          <w:szCs w:val="20"/>
          <w:color w:val="auto"/>
        </w:rPr>
      </w:pPr>
    </w:p>
    <w:p>
      <w:pPr>
        <w:ind w:right="199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9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 (ii) to add to the covenants of the Trust for the benefit of the Holders of all or any series of Debt Securities or to surrender 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right="1999"/>
        <w:spacing w:after="0" w:line="269" w:lineRule="auto"/>
        <w:rPr>
          <w:sz w:val="20"/>
          <w:szCs w:val="20"/>
          <w:color w:val="auto"/>
        </w:rPr>
      </w:pPr>
      <w:r>
        <w:rPr>
          <w:rFonts w:ascii="Courier New" w:cs="Courier New" w:eastAsia="Courier New" w:hAnsi="Courier New"/>
          <w:sz w:val="16"/>
          <w:szCs w:val="16"/>
          <w:color w:val="auto"/>
        </w:rPr>
        <w:t>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 (x) 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0" w:lineRule="exact"/>
        <w:rPr>
          <w:sz w:val="20"/>
          <w:szCs w:val="20"/>
          <w:color w:val="auto"/>
        </w:rPr>
      </w:pPr>
    </w:p>
    <w:p>
      <w:pPr>
        <w:spacing w:after="0" w:line="39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39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1" w:name="page22"/>
    <w:bookmarkEnd w:id="21"/>
    <w:p>
      <w:pPr>
        <w:ind w:right="1999" w:firstLine="316"/>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sz w:val="20"/>
          <w:szCs w:val="20"/>
          <w:color w:val="auto"/>
        </w:rPr>
      </w:pPr>
    </w:p>
    <w:p>
      <w:pPr>
        <w:ind w:right="1999" w:firstLine="8"/>
        <w:spacing w:after="0" w:line="268"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187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22" w:name="page23"/>
    <w:bookmarkEnd w:id="22"/>
    <w:p>
      <w:pPr>
        <w:ind w:right="1779"/>
        <w:spacing w:after="0" w:line="271" w:lineRule="auto"/>
        <w:rPr>
          <w:sz w:val="20"/>
          <w:szCs w:val="20"/>
          <w:color w:val="auto"/>
        </w:rPr>
      </w:pPr>
      <w:r>
        <w:rPr>
          <w:rFonts w:ascii="Courier New" w:cs="Courier New" w:eastAsia="Courier New" w:hAnsi="Courier New"/>
          <w:sz w:val="16"/>
          <w:szCs w:val="16"/>
          <w:color w:val="auto"/>
        </w:rPr>
        <w:t>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1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59" w:gutter="0" w:footer="0" w:header="0"/>
        </w:sectPr>
      </w:pPr>
    </w:p>
    <w:bookmarkStart w:id="23" w:name="page24"/>
    <w:bookmarkEnd w:id="23"/>
    <w:p>
      <w:pPr>
        <w:ind w:right="1999"/>
        <w:spacing w:after="0" w:line="269" w:lineRule="auto"/>
        <w:rPr>
          <w:sz w:val="20"/>
          <w:szCs w:val="20"/>
          <w:color w:val="auto"/>
        </w:rPr>
      </w:pPr>
      <w:r>
        <w:rPr>
          <w:rFonts w:ascii="Courier New" w:cs="Courier New" w:eastAsia="Courier New" w:hAnsi="Courier New"/>
          <w:sz w:val="16"/>
          <w:szCs w:val="16"/>
          <w:color w:val="auto"/>
        </w:rPr>
        <w:t>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200" w:lineRule="exact"/>
        <w:rPr>
          <w:sz w:val="20"/>
          <w:szCs w:val="20"/>
          <w:color w:val="auto"/>
        </w:rPr>
      </w:pPr>
    </w:p>
    <w:p>
      <w:pPr>
        <w:spacing w:after="0" w:line="39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 (g) 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4" w:name="page25"/>
    <w:bookmarkEnd w:id="24"/>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18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1060" w:hanging="420"/>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320" w:right="2619" w:firstLine="320"/>
        <w:spacing w:after="0" w:line="290" w:lineRule="auto"/>
        <w:tabs>
          <w:tab w:leader="none" w:pos="105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320" w:right="2099" w:firstLine="320"/>
        <w:spacing w:after="0" w:line="235" w:lineRule="auto"/>
        <w:tabs>
          <w:tab w:leader="none" w:pos="10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320" w:right="2839" w:firstLine="320"/>
        <w:spacing w:after="0" w:line="235" w:lineRule="auto"/>
        <w:tabs>
          <w:tab w:leader="none" w:pos="10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320" w:right="2419" w:firstLine="320"/>
        <w:spacing w:after="0" w:line="235" w:lineRule="auto"/>
        <w:tabs>
          <w:tab w:leader="none" w:pos="10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redemption, if applicable, of such Preferred Shares;</w:t>
      </w:r>
    </w:p>
    <w:p>
      <w:pPr>
        <w:spacing w:after="0" w:line="218"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jc w:val="both"/>
        <w:ind w:left="320" w:right="2199" w:firstLine="320"/>
        <w:spacing w:after="0" w:line="236" w:lineRule="auto"/>
        <w:tabs>
          <w:tab w:leader="none" w:pos="10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8" w:lineRule="exact"/>
        <w:rPr>
          <w:rFonts w:ascii="Courier New" w:cs="Courier New" w:eastAsia="Courier New" w:hAnsi="Courier New"/>
          <w:sz w:val="18"/>
          <w:szCs w:val="18"/>
          <w:color w:val="auto"/>
        </w:rPr>
      </w:pPr>
    </w:p>
    <w:p>
      <w:pPr>
        <w:ind w:left="320" w:right="2619" w:firstLine="320"/>
        <w:spacing w:after="0" w:line="235" w:lineRule="auto"/>
        <w:tabs>
          <w:tab w:leader="none" w:pos="116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320" w:right="1879" w:firstLine="320"/>
        <w:spacing w:after="0" w:line="235" w:lineRule="auto"/>
        <w:tabs>
          <w:tab w:leader="none" w:pos="116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320" w:right="1999" w:firstLine="320"/>
        <w:spacing w:after="0" w:line="236" w:lineRule="auto"/>
        <w:tabs>
          <w:tab w:leader="none" w:pos="116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sz w:val="20"/>
          <w:szCs w:val="20"/>
          <w:color w:val="auto"/>
        </w:rPr>
      </w:pPr>
    </w:p>
    <w:p>
      <w:pPr>
        <w:ind w:left="320" w:right="1999"/>
        <w:spacing w:after="0" w:line="236" w:lineRule="auto"/>
        <w:rPr>
          <w:sz w:val="20"/>
          <w:szCs w:val="20"/>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25" w:name="page26"/>
    <w:bookmarkEnd w:id="25"/>
    <w:p>
      <w:pPr>
        <w:ind w:left="320" w:right="2099" w:firstLine="320"/>
        <w:spacing w:after="0" w:line="236" w:lineRule="auto"/>
        <w:tabs>
          <w:tab w:leader="none" w:pos="116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w:t>
      </w:r>
    </w:p>
    <w:p>
      <w:pPr>
        <w:spacing w:after="0" w:line="1" w:lineRule="exact"/>
        <w:rPr>
          <w:sz w:val="20"/>
          <w:szCs w:val="20"/>
          <w:color w:val="auto"/>
        </w:rPr>
      </w:pPr>
    </w:p>
    <w:p>
      <w:pPr>
        <w:ind w:right="2099" w:firstLine="8"/>
        <w:spacing w:after="0" w:line="237"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all equity securities issued by the Trust the terms of which specifically provide that such equity securities rank senior to the Preferred Shares. The term "equity securities" does not include convertible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w:t>
      </w:r>
    </w:p>
    <w:p>
      <w:pPr>
        <w:spacing w:after="0" w:line="1" w:lineRule="exact"/>
        <w:rPr>
          <w:sz w:val="20"/>
          <w:szCs w:val="20"/>
          <w:color w:val="auto"/>
        </w:rPr>
      </w:pPr>
    </w:p>
    <w:p>
      <w:pPr>
        <w:ind w:right="1879" w:firstLine="8"/>
        <w:spacing w:after="0" w:line="238"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0"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767" w:gutter="0" w:footer="0" w:header="0"/>
        </w:sectPr>
      </w:pPr>
    </w:p>
    <w:bookmarkStart w:id="26" w:name="page27"/>
    <w:bookmarkEnd w:id="26"/>
    <w:p>
      <w:pPr>
        <w:ind w:right="1879"/>
        <w:spacing w:after="0" w:line="269" w:lineRule="auto"/>
        <w:rPr>
          <w:sz w:val="20"/>
          <w:szCs w:val="20"/>
          <w:color w:val="auto"/>
        </w:rPr>
      </w:pPr>
      <w:r>
        <w:rPr>
          <w:rFonts w:ascii="Courier New" w:cs="Courier New" w:eastAsia="Courier New" w:hAnsi="Courier New"/>
          <w:sz w:val="16"/>
          <w:szCs w:val="16"/>
          <w:color w:val="auto"/>
        </w:rPr>
        <w:t>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395"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w:t>
      </w:r>
    </w:p>
    <w:p>
      <w:pPr>
        <w:spacing w:after="0" w:line="1" w:lineRule="exact"/>
        <w:rPr>
          <w:sz w:val="20"/>
          <w:szCs w:val="20"/>
          <w:color w:val="auto"/>
        </w:rPr>
      </w:pPr>
    </w:p>
    <w:p>
      <w:pPr>
        <w:ind w:right="1879" w:firstLine="8"/>
        <w:spacing w:after="0" w:line="269" w:lineRule="auto"/>
        <w:tabs>
          <w:tab w:leader="none" w:pos="5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12"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 (v) that dividends on the shares to be redeemed will cease to accrue on such redemption date; and</w:t>
      </w:r>
    </w:p>
    <w:p>
      <w:pPr>
        <w:spacing w:after="0" w:line="1" w:lineRule="exact"/>
        <w:rPr>
          <w:sz w:val="20"/>
          <w:szCs w:val="20"/>
          <w:color w:val="auto"/>
        </w:rPr>
      </w:pPr>
    </w:p>
    <w:p>
      <w:pPr>
        <w:ind w:right="1879" w:firstLine="8"/>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0" w:lineRule="exact"/>
        <w:rPr>
          <w:sz w:val="20"/>
          <w:szCs w:val="20"/>
          <w:color w:val="auto"/>
        </w:rPr>
      </w:pPr>
    </w:p>
    <w:p>
      <w:pPr>
        <w:spacing w:after="0" w:line="39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564"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 (x) 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92"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97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0" w:name="page31"/>
    <w:bookmarkEnd w:id="30"/>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970" w:gutter="0" w:footer="0" w:header="0"/>
        </w:sectPr>
      </w:pPr>
    </w:p>
    <w:bookmarkStart w:id="31" w:name="page32"/>
    <w:bookmarkEnd w:id="31"/>
    <w:p>
      <w:pPr>
        <w:ind w:right="1999"/>
        <w:spacing w:after="0" w:line="270" w:lineRule="auto"/>
        <w:rPr>
          <w:sz w:val="20"/>
          <w:szCs w:val="20"/>
          <w:color w:val="auto"/>
        </w:rPr>
      </w:pPr>
      <w:r>
        <w:rPr>
          <w:rFonts w:ascii="Courier New" w:cs="Courier New" w:eastAsia="Courier New" w:hAnsi="Courier New"/>
          <w:sz w:val="16"/>
          <w:szCs w:val="16"/>
          <w:color w:val="auto"/>
        </w:rPr>
        <w:t>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 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32" w:name="page33"/>
    <w:bookmarkEnd w:id="32"/>
    <w:p>
      <w:pPr>
        <w:ind w:right="2099"/>
        <w:spacing w:after="0" w:line="237" w:lineRule="auto"/>
        <w:rPr>
          <w:sz w:val="20"/>
          <w:szCs w:val="20"/>
          <w:color w:val="auto"/>
        </w:rPr>
      </w:pPr>
      <w:r>
        <w:rPr>
          <w:rFonts w:ascii="Courier New" w:cs="Courier New" w:eastAsia="Courier New" w:hAnsi="Courier New"/>
          <w:sz w:val="18"/>
          <w:szCs w:val="18"/>
          <w:color w:val="auto"/>
        </w:rPr>
        <w:t>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jc w:val="both"/>
        <w:ind w:right="1879" w:firstLine="316"/>
        <w:spacing w:after="0" w:line="290"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Trust in the ordinary course of business.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970" w:gutter="0" w:footer="0" w:header="0"/>
        </w:sectPr>
      </w:pPr>
    </w:p>
    <w:bookmarkStart w:id="33" w:name="page34"/>
    <w:bookmarkEnd w:id="33"/>
    <w:p>
      <w:pPr>
        <w:ind w:right="1879" w:firstLine="316"/>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4" w:name="page35"/>
    <w:bookmarkEnd w:id="34"/>
    <w:p>
      <w:pPr>
        <w:ind w:left="1020"/>
        <w:spacing w:after="0"/>
        <w:rPr>
          <w:sz w:val="20"/>
          <w:szCs w:val="20"/>
          <w:color w:val="auto"/>
        </w:rPr>
      </w:pPr>
      <w:r>
        <w:rPr>
          <w:rFonts w:ascii="Courier New" w:cs="Courier New" w:eastAsia="Courier New" w:hAnsi="Courier New"/>
          <w:sz w:val="18"/>
          <w:szCs w:val="18"/>
          <w:color w:val="auto"/>
        </w:rPr>
        <w:t>[LOGO] Federal Realty Investment Trust</w:t>
      </w: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1,900,000 Common Shares of Beneficial Interest</w:t>
      </w:r>
    </w:p>
    <w:p>
      <w:pPr>
        <w:spacing w:after="0" w:line="200" w:lineRule="exact"/>
        <w:rPr>
          <w:sz w:val="20"/>
          <w:szCs w:val="20"/>
          <w:color w:val="auto"/>
        </w:rPr>
      </w:pPr>
    </w:p>
    <w:p>
      <w:pPr>
        <w:spacing w:after="0" w:line="22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June 6, 2002</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Wachovia Securities</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Roman"/>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5"/>
    </w:lvl>
  </w:abstractNum>
  <w:abstractNum w:abstractNumId="12">
    <w:nsid w:val="25E45D32"/>
    <w:multiLevelType w:val="hybridMultilevel"/>
    <w:lvl w:ilvl="0">
      <w:lvlJc w:val="left"/>
      <w:lvlText w:val="(%1)"/>
      <w:numFmt w:val="lowerRoman"/>
      <w:start w:val="10"/>
    </w:lvl>
  </w:abstractNum>
  <w:abstractNum w:abstractNumId="13">
    <w:nsid w:val="519B500D"/>
    <w:multiLevelType w:val="hybridMultilevel"/>
    <w:lvl w:ilvl="0">
      <w:lvlJc w:val="left"/>
      <w:lvlText w:val="(%1)"/>
      <w:numFmt w:val="lowerLetter"/>
      <w:start w:val="4"/>
    </w:lvl>
  </w:abstractNum>
  <w:abstractNum w:abstractNumId="14">
    <w:nsid w:val="431BD7B7"/>
    <w:multiLevelType w:val="hybridMultilevel"/>
    <w:lvl w:ilvl="0">
      <w:lvlJc w:val="left"/>
      <w:lvlText w:val="(%1)"/>
      <w:numFmt w:val="lowerLetter"/>
      <w:start w:val="6"/>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4"/>
    </w:lvl>
  </w:abstractNum>
  <w:abstractNum w:abstractNumId="17">
    <w:nsid w:val="257130A3"/>
    <w:multiLevelType w:val="hybridMultilevel"/>
    <w:lvl w:ilvl="0">
      <w:lvlJc w:val="left"/>
      <w:lvlText w:val="(%1)"/>
      <w:numFmt w:val="lowerRoman"/>
      <w:start w:val="3"/>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2019-12-13T00:59:59Z</dcterms:created>
  <dcterms:modified xsi:type="dcterms:W3CDTF">2019-12-13T00:59:59Z</dcterms:modified>
</cp:coreProperties>
</file>