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2018</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2, 2018, Federal Realty Investment Trust issued supplemental data pertaining to its operations, as well as a press release, to report its financial results for the quarter ended March 31, 2018.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2018 (including press release dated May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2, 2018</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u w:val="single" w:color="auto"/>
          <w:color w:val="0000FF"/>
        </w:rPr>
        <w:t>99.1</w:t>
      </w:r>
      <w:r>
        <w:rPr>
          <w:sz w:val="20"/>
          <w:szCs w:val="20"/>
          <w:color w:val="auto"/>
        </w:rPr>
        <w:tab/>
      </w:r>
      <w:r>
        <w:rPr>
          <w:rFonts w:ascii="Arial" w:cs="Arial" w:eastAsia="Arial" w:hAnsi="Arial"/>
          <w:sz w:val="19"/>
          <w:szCs w:val="19"/>
          <w:color w:val="auto"/>
        </w:rPr>
        <w:t>Supplemental Information at March 31, 2018</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2018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6"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22</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6306185</wp:posOffset>
            </wp:positionH>
            <wp:positionV relativeFrom="page">
              <wp:posOffset>88900</wp:posOffset>
            </wp:positionV>
            <wp:extent cx="10979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97915" cy="325755"/>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568960</wp:posOffset>
            </wp:positionV>
            <wp:extent cx="219519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2611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380" w:type="dxa"/>
            <w:vAlign w:val="bottom"/>
          </w:tcPr>
          <w:p>
            <w:pPr>
              <w:spacing w:after="0"/>
              <w:rPr>
                <w:sz w:val="24"/>
                <w:szCs w:val="24"/>
                <w:color w:val="auto"/>
              </w:rPr>
            </w:pPr>
          </w:p>
        </w:tc>
      </w:tr>
      <w:tr>
        <w:trPr>
          <w:trHeight w:val="486"/>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3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Investor Relations Associate</w:t>
            </w:r>
          </w:p>
        </w:tc>
        <w:tc>
          <w:tcPr>
            <w:tcW w:w="53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3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First Quarter 2018 Operating Results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Reports 3.8% comparable property POI growth and 22% comparable lease rollover -</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ROCKVILLE, Md. (May 2, 2018) - </w:t>
      </w:r>
      <w:r>
        <w:rPr>
          <w:rFonts w:ascii="Arial" w:cs="Arial" w:eastAsia="Arial" w:hAnsi="Arial"/>
          <w:sz w:val="18"/>
          <w:szCs w:val="18"/>
          <w:u w:val="single" w:color="auto"/>
          <w:color w:val="0563C1"/>
        </w:rPr>
        <w:t>Federal Realty Investment Trust</w:t>
      </w:r>
      <w:r>
        <w:rPr>
          <w:rFonts w:ascii="Arial" w:cs="Arial" w:eastAsia="Arial" w:hAnsi="Arial"/>
          <w:sz w:val="18"/>
          <w:szCs w:val="18"/>
          <w:color w:val="auto"/>
        </w:rPr>
        <w:t xml:space="preserve"> (NYSE:FRT) today reported operating results for its first quarter 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31, 2018. Highlights of the quarter and recent activity include:</w:t>
      </w:r>
    </w:p>
    <w:p>
      <w:pPr>
        <w:spacing w:after="0" w:line="23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$0.81 for the quarter compared to $0.78 in first quarter 2017.</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$1.52 for the quarter compared to $1.45 in first quarter 2017.</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property operating income (POI) growth of 3.8% for the first quarter.</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403,250 sf of comparable space in the first quarter at an average rent of $31.51 psf and achieved cash basis rollover growth on those comparable spaces of 22%.</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Maintained our 2018 FFO per diluted share guidance range to $6.08 - $6.24.</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“We’re very pleased with our first quarter results,” said Donald C. Wood, President and Chief Executive Officer. “The combination of new retail tenant openings on both coasts, strong residential occupancy at our mixed use destinations and disciplined spending have come together for an impressive and powerful financial result in the quarter.”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$59.2 million and earnings per diluted share was $0.81 for first quarter 2018 versus $56.1 million and $0.78, respectively, for first quarter 2017</w:t>
      </w:r>
    </w:p>
    <w:p>
      <w:pPr>
        <w:spacing w:after="0" w:line="11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the first quarter 2018, Federal Realty generated FFO of $112.4 million, or $1.52 per diluted share. This compares to FFO of $105.8 million, or $1.45 per diluted share, in first quarter 2017.</w:t>
      </w:r>
    </w:p>
    <w:p>
      <w:pPr>
        <w:spacing w:after="0" w:line="11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6306185</wp:posOffset>
            </wp:positionH>
            <wp:positionV relativeFrom="page">
              <wp:posOffset>88900</wp:posOffset>
            </wp:positionV>
            <wp:extent cx="109791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97915" cy="325755"/>
                    </a:xfrm>
                    <a:prstGeom prst="rect">
                      <a:avLst/>
                    </a:prstGeom>
                    <a:noFill/>
                  </pic:spPr>
                </pic:pic>
              </a:graphicData>
            </a:graphic>
          </wp:anchor>
        </w:drawing>
        <w:t>Portfolio Results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first quarter 2018, comparable property POI increased 3.8%.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23"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94.8% leased as of March 31, 2018 compared to 94.6% on March 31, 2017. Federal Realty’s comparable property portfolio was 95.3% leased on March 31, 2018 compared to 95.1% on March 31, 2017.</w:t>
      </w:r>
    </w:p>
    <w:p>
      <w:pPr>
        <w:spacing w:after="0" w:line="11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During the first quarter 2018, on a comparable space basis (i.e., spaces for which there was a former tenant), Federal Realty signed 78 leases for 403,250 square feet at an average cash basis contractual rent increase (i.e., excluding the impact of straight-line rents) of 22%. The average contractual rent on this comparable space for the first year of the new leases is $31.51 per square foot compared to the average contractual rent of $25.91 per square foot for the last year of the prior leases. The previous average contractual rent was calculated by including both the minimum rent and any percentage rent actually paid during the last year of the lease term for the re-leased space. On a straight-line basis, rent increases for comparable retail space averaged 31% for first quarter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$1.00 per common share, resulting in an indicated annual rate of $4.00 per common share. The regular common dividend will be payable on July 16, 2018 to common shareholders of record as of June 22, 2018.</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Federal Realty maintained its 2018 guidance for FFO per diluted share of $6.08 to $6.24 and updated 2018 earnings per diluted share guidance to $3.05 to $3.21.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2018 earnings conference call, which is scheduled for Thursday, May 3, 2018 at 11:00AM ET. To participate, please call 877.445.3230 five to ten minutes prior to the call start time and use the passcode 9071259 (required). A replay of the webcast will be available on Federal Realty’s website at www.federalrealty.com. A telephonic replay of the conference call will also be available through May 10, 2018 by dialing 855.859.2056; Passcode: 9071259.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6306185</wp:posOffset>
            </wp:positionH>
            <wp:positionV relativeFrom="page">
              <wp:posOffset>88900</wp:posOffset>
            </wp:positionV>
            <wp:extent cx="109791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97915" cy="325755"/>
                    </a:xfrm>
                    <a:prstGeom prst="rect">
                      <a:avLst/>
                    </a:prstGeom>
                    <a:noFill/>
                  </pic:spPr>
                </pic:pic>
              </a:graphicData>
            </a:graphic>
          </wp:anchor>
        </w:drawing>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approximately 24 million square feet, and over 2,500 residential units.</w:t>
      </w:r>
    </w:p>
    <w:p>
      <w:pPr>
        <w:spacing w:after="0" w:line="124"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50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27"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3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204,447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225,405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207,389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44,773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51,379</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139,260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125,845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81,544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from real estate partnerships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net</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58,070</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56,190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59,237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56,055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3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30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72,905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71,862</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30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72,005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60" w:type="dxa"/>
            <w:vAlign w:val="bottom"/>
            <w:vMerge w:val="restart"/>
          </w:tcPr>
          <w:p>
            <w:pPr>
              <w:jc w:val="right"/>
              <w:ind w:right="249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$1,656,951 and $1,639,486 of consolidated variable interest entities, 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7,051,962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$39,171 and $43,393 of consolidated variable interest entities,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633,090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7,721,957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$257,604 and $247,410 of consolidated variable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(1,922,110)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5,799,847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232,281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$448,641 and $460,372 of consolidated variable interest entities,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479,333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382,396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181,361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169,460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3,778,974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141,541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73,216,520 and 73,090,877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2,859,717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6,293,625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12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124"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20" w:type="dxa"/>
            <w:vAlign w:val="bottom"/>
            <w:shd w:val="clear" w:color="auto" w:fill="CCEEFF"/>
          </w:tcPr>
          <w:p>
            <w:pPr>
              <w:spacing w:after="0"/>
              <w:rPr>
                <w:sz w:val="22"/>
                <w:szCs w:val="22"/>
                <w:color w:val="auto"/>
              </w:rPr>
            </w:pPr>
          </w:p>
        </w:tc>
        <w:tc>
          <w:tcPr>
            <w:tcW w:w="8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ind w:right="93"/>
              <w:spacing w:after="0"/>
              <w:rPr>
                <w:sz w:val="20"/>
                <w:szCs w:val="20"/>
                <w:color w:val="auto"/>
              </w:rPr>
            </w:pPr>
            <w:r>
              <w:rPr>
                <w:rFonts w:ascii="Arial" w:cs="Arial" w:eastAsia="Arial" w:hAnsi="Arial"/>
                <w:sz w:val="18"/>
                <w:szCs w:val="18"/>
                <w:color w:val="auto"/>
              </w:rPr>
              <w:t>62,931</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58,070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(1,880)</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Gain on sale of real estate, net (2)</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51,351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44,682</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4,684</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113,882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105,486</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Dividends on preferred shares (3)</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784</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(340)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112,394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105,795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8400" w:type="dxa"/>
            <w:vAlign w:val="bottom"/>
            <w:tcBorders>
              <w:bottom w:val="single" w:sz="8" w:color="CCEEFF"/>
            </w:tcBorders>
            <w:gridSpan w:val="6"/>
          </w:tcPr>
          <w:p>
            <w:pPr>
              <w:ind w:left="20"/>
              <w:spacing w:after="0"/>
              <w:rPr>
                <w:sz w:val="20"/>
                <w:szCs w:val="20"/>
                <w:color w:val="auto"/>
              </w:rPr>
            </w:pPr>
            <w:r>
              <w:rPr>
                <w:rFonts w:ascii="Arial" w:cs="Arial" w:eastAsia="Arial" w:hAnsi="Arial"/>
                <w:sz w:val="18"/>
                <w:szCs w:val="18"/>
                <w:color w:val="auto"/>
              </w:rPr>
              <w:t>Weighted average number of common shares, diluted (3)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73,838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72,805</w:t>
            </w:r>
          </w:p>
        </w:tc>
      </w:tr>
      <w:tr>
        <w:trPr>
          <w:trHeight w:val="251"/>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592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Non-maintenance capital expenditures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66,726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105,826</w:t>
            </w:r>
          </w:p>
        </w:tc>
      </w:tr>
      <w:tr>
        <w:trPr>
          <w:trHeight w:val="243"/>
        </w:trPr>
        <w:tc>
          <w:tcPr>
            <w:tcW w:w="20" w:type="dxa"/>
            <w:vAlign w:val="bottom"/>
          </w:tcPr>
          <w:p>
            <w:pPr>
              <w:spacing w:after="0"/>
              <w:rPr>
                <w:sz w:val="21"/>
                <w:szCs w:val="21"/>
                <w:color w:val="auto"/>
              </w:rPr>
            </w:pPr>
          </w:p>
        </w:tc>
        <w:tc>
          <w:tcPr>
            <w:tcW w:w="8380" w:type="dxa"/>
            <w:vAlign w:val="bottom"/>
            <w:gridSpan w:val="5"/>
          </w:tcPr>
          <w:p>
            <w:pPr>
              <w:ind w:left="360"/>
              <w:spacing w:after="0"/>
              <w:rPr>
                <w:sz w:val="20"/>
                <w:szCs w:val="20"/>
                <w:color w:val="auto"/>
              </w:rPr>
            </w:pPr>
            <w:r>
              <w:rPr>
                <w:rFonts w:ascii="Arial" w:cs="Arial" w:eastAsia="Arial" w:hAnsi="Arial"/>
                <w:sz w:val="18"/>
                <w:szCs w:val="18"/>
                <w:color w:val="auto"/>
              </w:rPr>
              <w:t>Tenant improvements and incentives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9,150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78,500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114,976</w:t>
            </w:r>
          </w:p>
        </w:tc>
      </w:tr>
      <w:tr>
        <w:trPr>
          <w:trHeight w:val="243"/>
        </w:trPr>
        <w:tc>
          <w:tcPr>
            <w:tcW w:w="20" w:type="dxa"/>
            <w:vAlign w:val="bottom"/>
          </w:tcPr>
          <w:p>
            <w:pPr>
              <w:spacing w:after="0"/>
              <w:rPr>
                <w:sz w:val="21"/>
                <w:szCs w:val="21"/>
                <w:color w:val="auto"/>
              </w:rPr>
            </w:pPr>
          </w:p>
        </w:tc>
        <w:tc>
          <w:tcPr>
            <w:tcW w:w="8380" w:type="dxa"/>
            <w:vAlign w:val="bottom"/>
            <w:gridSpan w:val="5"/>
          </w:tcPr>
          <w:p>
            <w:pPr>
              <w:ind w:left="360"/>
              <w:spacing w:after="0"/>
              <w:rPr>
                <w:sz w:val="20"/>
                <w:szCs w:val="20"/>
                <w:color w:val="auto"/>
              </w:rPr>
            </w:pPr>
            <w:r>
              <w:rPr>
                <w:rFonts w:ascii="Arial" w:cs="Arial" w:eastAsia="Arial" w:hAnsi="Arial"/>
                <w:sz w:val="18"/>
                <w:szCs w:val="18"/>
                <w:color w:val="auto"/>
              </w:rPr>
              <w:t>Maintenance capital expenditures</w:t>
            </w:r>
          </w:p>
        </w:tc>
        <w:tc>
          <w:tcPr>
            <w:tcW w:w="2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3,427</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81,837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118,403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6280" w:type="dxa"/>
            <w:vAlign w:val="bottom"/>
            <w:tcBorders>
              <w:bottom w:val="single" w:sz="8" w:color="CCEEFF"/>
            </w:tcBorders>
            <w:gridSpan w:val="4"/>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Regular common dividends declared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73,153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70,696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2"/>
              </w:rPr>
              <w:t>Noncontrolling Interests Supplemental Information (4)</w:t>
            </w:r>
          </w:p>
        </w:tc>
        <w:tc>
          <w:tcPr>
            <w:tcW w:w="44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Property operating income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3,231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(1,389)</w:t>
            </w:r>
          </w:p>
        </w:tc>
      </w:tr>
      <w:tr>
        <w:trPr>
          <w:trHeight w:val="243"/>
        </w:trPr>
        <w:tc>
          <w:tcPr>
            <w:tcW w:w="8400" w:type="dxa"/>
            <w:vAlign w:val="bottom"/>
            <w:gridSpan w:val="6"/>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(746)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1,096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jc w:val="both"/>
        <w:ind w:left="660" w:right="12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Gain on sale of real estate for the three months ended March 31, 2018 is related to condominium units sold at Assembly Row and Pike &amp; Rose. Effective January 1, 2018, we adopted a new accounting standard related to revenue recognition, which results in a change in our revenue recognition policy for condominium sales. See Note 2 of our March 31, 2018 Form 10-Q for additional information regarding the adoption.</w:t>
      </w:r>
    </w:p>
    <w:p>
      <w:pPr>
        <w:spacing w:after="0" w:line="1"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March 31, 2018, dividends on our Series 1 preferred shares are not deducted in the calculation of FFO available to common shareholders, as the related shares are dilutive and included in "weighted average common shares, diluted."</w:t>
      </w: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73,979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73,037</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133.50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8,589,702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9,750,440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8,749,702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9,760,440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3,335,414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3,013,369</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12,085,116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12,773,809</w:t>
            </w:r>
          </w:p>
        </w:tc>
      </w:tr>
      <w:tr>
        <w:trPr>
          <w:trHeight w:val="271"/>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Fixed rate debt ratio:</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 rate debt and capital lease obligations (4)</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200" w:type="dxa"/>
            <w:vAlign w:val="bottom"/>
          </w:tcPr>
          <w:p>
            <w:pPr>
              <w:ind w:left="500"/>
              <w:spacing w:after="0"/>
              <w:rPr>
                <w:sz w:val="20"/>
                <w:szCs w:val="20"/>
                <w:color w:val="auto"/>
              </w:rPr>
            </w:pPr>
            <w:r>
              <w:rPr>
                <w:rFonts w:ascii="Arial" w:cs="Arial" w:eastAsia="Arial" w:hAnsi="Arial"/>
                <w:sz w:val="18"/>
                <w:szCs w:val="18"/>
                <w:color w:val="auto"/>
              </w:rPr>
              <w:t>Variable rate debt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include 762,487 and 799,962 operating partnership units outstanding at March 31, 2018 and 2017,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5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premiums/discounts and debt issuance costs from our consolidated balance sheet</w:t>
      </w:r>
      <w:r>
        <w:rPr>
          <w:rFonts w:ascii="Arial" w:cs="Arial" w:eastAsia="Arial" w:hAnsi="Arial"/>
          <w:sz w:val="14"/>
          <w:szCs w:val="14"/>
          <w:color w:val="auto"/>
        </w:rPr>
        <w:t>.</w:t>
      </w:r>
    </w:p>
    <w:p>
      <w:pPr>
        <w:spacing w:after="0" w:line="24"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152,150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142,143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45,204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41,518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4,460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220,581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204,447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00" w:hanging="652"/>
        <w:spacing w:after="0" w:line="26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$1.9 million and $3.6 million for the three months ended March 31, 2018 and 2017, respectively, to recognize minimum rents on a straight-line basis. In addition, minimum rents include $0.8 million and $1.1 million for the three months ended March 31, 2018 and 2017,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334" w:lineRule="exact"/>
        <w:rPr>
          <w:sz w:val="20"/>
          <w:szCs w:val="20"/>
          <w:color w:val="auto"/>
        </w:rPr>
      </w:pPr>
    </w:p>
    <w:p>
      <w:pPr>
        <w:ind w:left="40" w:right="220"/>
        <w:spacing w:after="0" w:line="272"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 Phase 2, CocoWalk, Pike &amp; Rose, The Point at Plaza El Segundo, The Shops at Sunset Place, Towson Residential, 700 Santana Row, and all properties acquired or disposed of from Q1 2017 to Q1 2018. Comparable Property property operating income (“Comparable Property POI”) is a non-GAAP measure used by management in evaluating the operating performance of our properties period over period.</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81,544</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58,110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51,379</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8,267</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152,184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141,190</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(1,470)</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(10,741)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(8,782)</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135,865</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130,938</w:t>
            </w:r>
          </w:p>
        </w:tc>
        <w:tc>
          <w:tcPr>
            <w:tcW w:w="1100" w:type="dxa"/>
            <w:vAlign w:val="bottom"/>
          </w:tcPr>
          <w:p>
            <w:pPr>
              <w:spacing w:after="0"/>
              <w:rPr>
                <w:sz w:val="20"/>
                <w:szCs w:val="20"/>
                <w:color w:val="auto"/>
              </w:rPr>
            </w:pPr>
          </w:p>
        </w:tc>
      </w:tr>
      <w:tr>
        <w:trPr>
          <w:trHeight w:val="500"/>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192,387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187,052</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2,252</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196,123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189,304</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(36,422)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(35,813)</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(23,836)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(22,553)</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(60,258)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(58,366)</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135,865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130,938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73"/>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9" w:lineRule="exact"/>
        <w:rPr>
          <w:sz w:val="20"/>
          <w:szCs w:val="20"/>
          <w:color w:val="auto"/>
        </w:rPr>
      </w:pP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shd w:val="clear" w:color="auto" w:fill="CCEEFF"/>
        </w:rPr>
        <w:t>GLA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Leased %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Occupancy % - comparable retail properties</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right="1960"/>
        <w:spacing w:after="0" w:line="340" w:lineRule="auto"/>
        <w:rPr>
          <w:sz w:val="20"/>
          <w:szCs w:val="20"/>
          <w:color w:val="auto"/>
        </w:rPr>
      </w:pPr>
      <w:r>
        <w:rPr>
          <w:rFonts w:ascii="Arial" w:cs="Arial" w:eastAsia="Arial" w:hAnsi="Arial"/>
          <w:sz w:val="18"/>
          <w:szCs w:val="18"/>
          <w:color w:val="auto"/>
          <w:shd w:val="clear" w:color="auto" w:fill="CCEEFF"/>
        </w:rPr>
        <w:t xml:space="preserve">Redevelopment and tenant improvements and incentives </w:t>
      </w: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20" w:hanging="585"/>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page 25 for entire portfolio occupancy statistics.</w:t>
      </w:r>
    </w:p>
    <w:p>
      <w:pPr>
        <w:spacing w:after="0" w:line="72" w:lineRule="exact"/>
        <w:rPr>
          <w:rFonts w:ascii="Arial" w:cs="Arial" w:eastAsia="Arial" w:hAnsi="Arial"/>
          <w:sz w:val="16"/>
          <w:szCs w:val="16"/>
          <w:color w:val="auto"/>
        </w:rPr>
      </w:pPr>
    </w:p>
    <w:p>
      <w:pPr>
        <w:ind w:left="620" w:hanging="585"/>
        <w:spacing w:after="0"/>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page 9 for "Summary of Capital Expenditures" for our entire portfolio.</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4"/>
          <w:szCs w:val="14"/>
          <w:b w:val="1"/>
          <w:bCs w:val="1"/>
          <w:color w:val="auto"/>
        </w:rPr>
        <w:t>At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3"/>
        </w:trPr>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21,289,000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21,308,000</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785"/>
        </w:trPr>
        <w:tc>
          <w:tcPr>
            <w:tcW w:w="320" w:type="dxa"/>
            <w:vAlign w:val="bottom"/>
          </w:tcPr>
          <w:p>
            <w:pPr>
              <w:spacing w:after="0"/>
              <w:rPr>
                <w:sz w:val="24"/>
                <w:szCs w:val="24"/>
                <w:color w:val="auto"/>
              </w:rPr>
            </w:pPr>
          </w:p>
        </w:tc>
        <w:tc>
          <w:tcPr>
            <w:tcW w:w="194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320" w:type="dxa"/>
            <w:vAlign w:val="bottom"/>
          </w:tcPr>
          <w:p>
            <w:pPr>
              <w:spacing w:after="0"/>
              <w:rPr>
                <w:sz w:val="21"/>
                <w:szCs w:val="21"/>
                <w:color w:val="auto"/>
              </w:rPr>
            </w:pPr>
          </w:p>
        </w:tc>
        <w:tc>
          <w:tcPr>
            <w:tcW w:w="19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23,988</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27,748</w:t>
            </w:r>
          </w:p>
        </w:tc>
      </w:tr>
      <w:tr>
        <w:trPr>
          <w:trHeight w:val="270"/>
        </w:trPr>
        <w:tc>
          <w:tcPr>
            <w:tcW w:w="320" w:type="dxa"/>
            <w:vAlign w:val="bottom"/>
          </w:tcPr>
          <w:p>
            <w:pPr>
              <w:spacing w:after="0"/>
              <w:rPr>
                <w:sz w:val="23"/>
                <w:szCs w:val="23"/>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2,629</w:t>
            </w:r>
          </w:p>
        </w:tc>
      </w:tr>
      <w:tr>
        <w:trPr>
          <w:trHeight w:val="27"/>
        </w:trPr>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27,209</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30,377</w:t>
            </w:r>
          </w:p>
        </w:tc>
      </w:tr>
    </w:tbl>
    <w:p>
      <w:pPr>
        <w:sectPr>
          <w:pgSz w:w="11900" w:h="16838" w:orient="portrait"/>
          <w:cols w:equalWidth="0" w:num="2">
            <w:col w:w="6420" w:space="720"/>
            <w:col w:w="4280"/>
          </w:cols>
          <w:pgMar w:left="240" w:top="742" w:right="23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368"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As of March 31, 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66,064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17,271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70,625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479,596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mortgages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479,333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Notes payable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Term loan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11/21/2018</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Revolving credit facility (3)</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382,815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notes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382,396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2.87%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Senior notes and debentures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(17,062)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2,402,138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71,547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3,335,414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3,232,414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3.84%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103,000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2.59%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3,335,414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3.80%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7" w:right="239" w:bottom="0" w:gutter="0" w:footer="0" w:header="0"/>
          <w:type w:val="continuous"/>
        </w:sectPr>
      </w:pPr>
    </w:p>
    <w:bookmarkStart w:id="16" w:name="page17"/>
    <w:bookmarkEnd w:id="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ind w:left="94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23495</wp:posOffset>
            </wp:positionV>
            <wp:extent cx="1226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r>
      <w:tr>
        <w:trPr>
          <w:trHeight w:val="203"/>
        </w:trPr>
        <w:tc>
          <w:tcPr>
            <w:tcW w:w="9480" w:type="dxa"/>
            <w:vAlign w:val="bottom"/>
            <w:gridSpan w:val="3"/>
          </w:tcPr>
          <w:p>
            <w:pPr>
              <w:ind w:left="40"/>
              <w:spacing w:after="0"/>
              <w:rPr>
                <w:sz w:val="20"/>
                <w:szCs w:val="20"/>
                <w:color w:val="auto"/>
              </w:rPr>
            </w:pPr>
            <w:r>
              <w:rPr>
                <w:rFonts w:ascii="Arial" w:cs="Arial" w:eastAsia="Arial" w:hAnsi="Arial"/>
                <w:sz w:val="16"/>
                <w:szCs w:val="16"/>
                <w:color w:val="auto"/>
              </w:rPr>
              <w:t>Operational Statistics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8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9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EBITDAre to combined fixed charges and preferred share dividends (6)</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4.13x</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2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March 31, 2018, our share was approximately $32.6 million. At March 31, 2018, our noncontrolling interests share of mortgages payable was $46.0 million.</w:t>
      </w:r>
    </w:p>
    <w:p>
      <w:pPr>
        <w:spacing w:after="0" w:line="11" w:lineRule="exact"/>
        <w:rPr>
          <w:rFonts w:ascii="Arial" w:cs="Arial" w:eastAsia="Arial" w:hAnsi="Arial"/>
          <w:sz w:val="14"/>
          <w:szCs w:val="14"/>
          <w:color w:val="auto"/>
        </w:rPr>
      </w:pPr>
    </w:p>
    <w:p>
      <w:pPr>
        <w:jc w:val="both"/>
        <w:ind w:left="660" w:right="20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$275.0 million term loan is subject to a one year extension, at our option, which would extend the maturity date to November 21, 2019. We also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23" w:lineRule="exact"/>
        <w:rPr>
          <w:rFonts w:ascii="Arial" w:cs="Arial" w:eastAsia="Arial" w:hAnsi="Arial"/>
          <w:sz w:val="14"/>
          <w:szCs w:val="14"/>
          <w:color w:val="auto"/>
        </w:rPr>
      </w:pPr>
    </w:p>
    <w:p>
      <w:pPr>
        <w:ind w:left="660" w:right="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2018 was $133.0 million, and the weighted average interest rate on borrowings under our revolving credit facility, before amortization of debt fees, was 2.4%.</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5.</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$103.0 million outstanding on March 31, 2018.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4,797</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279,797</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6,265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26,425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5,616</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163,593</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169,209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3,740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281,286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22.5%</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367,845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43.4%</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301,333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40,904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53.6%</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683,600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684,173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75.2%</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830,052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45,540</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3,307,618</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3,353,158  </w:t>
            </w:r>
            <w:r>
              <w:rPr>
                <w:rFonts w:ascii="Arial" w:cs="Arial" w:eastAsia="Arial" w:hAnsi="Arial"/>
                <w:sz w:val="28"/>
                <w:szCs w:val="28"/>
                <w:color w:val="auto"/>
                <w:vertAlign w:val="sub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2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March 31, 2018, there was $103.0 million outstanding under this credit facility.</w:t>
      </w:r>
    </w:p>
    <w:p>
      <w:pPr>
        <w:spacing w:after="0" w:line="10"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March 31, 2018.</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2018</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4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5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4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Cocowalk</w:t>
            </w:r>
          </w:p>
        </w:tc>
        <w:tc>
          <w:tcPr>
            <w:tcW w:w="156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Coconut Grove, FL</w:t>
            </w:r>
          </w:p>
        </w:tc>
        <w:tc>
          <w:tcPr>
            <w:tcW w:w="49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5"/>
              </w:rPr>
              <w:t>Shopping center redevelopment to include demolition of three story east wing of</w:t>
            </w:r>
          </w:p>
        </w:tc>
        <w:tc>
          <w:tcPr>
            <w:tcW w:w="8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$73 - $77</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the property and construction of a 77,000 square foot 5-story office building with</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 additional 13,000 square feet of ground floor retail</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00" w:type="dxa"/>
            <w:vAlign w:val="bottom"/>
          </w:tcPr>
          <w:p>
            <w:pPr>
              <w:ind w:left="40"/>
              <w:spacing w:after="0"/>
              <w:rPr>
                <w:sz w:val="20"/>
                <w:szCs w:val="20"/>
                <w:color w:val="auto"/>
              </w:rPr>
            </w:pPr>
            <w:r>
              <w:rPr>
                <w:rFonts w:ascii="Arial" w:cs="Arial" w:eastAsia="Arial" w:hAnsi="Arial"/>
                <w:sz w:val="14"/>
                <w:szCs w:val="14"/>
                <w:color w:val="auto"/>
              </w:rPr>
              <w:t>Towson Residential</w:t>
            </w:r>
          </w:p>
        </w:tc>
        <w:tc>
          <w:tcPr>
            <w:tcW w:w="1560" w:type="dxa"/>
            <w:vAlign w:val="bottom"/>
          </w:tcPr>
          <w:p>
            <w:pPr>
              <w:ind w:left="240"/>
              <w:spacing w:after="0"/>
              <w:rPr>
                <w:sz w:val="20"/>
                <w:szCs w:val="20"/>
                <w:color w:val="auto"/>
              </w:rPr>
            </w:pPr>
            <w:r>
              <w:rPr>
                <w:rFonts w:ascii="Arial" w:cs="Arial" w:eastAsia="Arial" w:hAnsi="Arial"/>
                <w:sz w:val="14"/>
                <w:szCs w:val="14"/>
                <w:color w:val="auto"/>
              </w:rPr>
              <w:t>Towson, MD</w:t>
            </w:r>
          </w:p>
        </w:tc>
        <w:tc>
          <w:tcPr>
            <w:tcW w:w="4920" w:type="dxa"/>
            <w:vAlign w:val="bottom"/>
          </w:tcPr>
          <w:p>
            <w:pPr>
              <w:ind w:left="160"/>
              <w:spacing w:after="0"/>
              <w:rPr>
                <w:sz w:val="20"/>
                <w:szCs w:val="20"/>
                <w:color w:val="auto"/>
              </w:rPr>
            </w:pPr>
            <w:r>
              <w:rPr>
                <w:rFonts w:ascii="Arial" w:cs="Arial" w:eastAsia="Arial" w:hAnsi="Arial"/>
                <w:sz w:val="14"/>
                <w:szCs w:val="14"/>
                <w:color w:val="auto"/>
              </w:rPr>
              <w:t>New 105 unit 5-story apartment building with above grade parking</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 Mar Village</w:t>
            </w:r>
          </w:p>
        </w:tc>
        <w:tc>
          <w:tcPr>
            <w:tcW w:w="1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Boca Raton, FL</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Demolition of small shop spaces and relocation of tenants to accommodate new</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37,000 square foot fitness center tenant</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560" w:type="dxa"/>
            <w:vAlign w:val="bottom"/>
          </w:tcPr>
          <w:p>
            <w:pPr>
              <w:ind w:left="240"/>
              <w:spacing w:after="0" w:line="157" w:lineRule="exact"/>
              <w:rPr>
                <w:sz w:val="20"/>
                <w:szCs w:val="20"/>
                <w:color w:val="auto"/>
              </w:rPr>
            </w:pPr>
            <w:r>
              <w:rPr>
                <w:rFonts w:ascii="Arial" w:cs="Arial" w:eastAsia="Arial" w:hAnsi="Arial"/>
                <w:sz w:val="14"/>
                <w:szCs w:val="14"/>
                <w:color w:val="auto"/>
              </w:rPr>
              <w:t>Rockville, MD</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Demolition of 10,000 square foot restaurant building to construct an 18,000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multi-tenant pad building</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Richmond,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Demolition of small shop and mini anchor spaces to construct new 49,000 square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foot anchor space to accommodate new sporting goods retailer and new 17,000</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square foot building for relocation of existing tenant</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00" w:type="dxa"/>
            <w:vAlign w:val="bottom"/>
          </w:tcPr>
          <w:p>
            <w:pPr>
              <w:ind w:left="40"/>
              <w:spacing w:after="0"/>
              <w:rPr>
                <w:sz w:val="20"/>
                <w:szCs w:val="20"/>
                <w:color w:val="auto"/>
              </w:rPr>
            </w:pPr>
            <w:r>
              <w:rPr>
                <w:rFonts w:ascii="Arial" w:cs="Arial" w:eastAsia="Arial" w:hAnsi="Arial"/>
                <w:sz w:val="14"/>
                <w:szCs w:val="14"/>
                <w:color w:val="auto"/>
              </w:rPr>
              <w:t>Pike 7 Plaza</w:t>
            </w:r>
          </w:p>
        </w:tc>
        <w:tc>
          <w:tcPr>
            <w:tcW w:w="1560" w:type="dxa"/>
            <w:vAlign w:val="bottom"/>
          </w:tcPr>
          <w:p>
            <w:pPr>
              <w:ind w:left="240"/>
              <w:spacing w:after="0"/>
              <w:rPr>
                <w:sz w:val="20"/>
                <w:szCs w:val="20"/>
                <w:color w:val="auto"/>
              </w:rPr>
            </w:pPr>
            <w:r>
              <w:rPr>
                <w:rFonts w:ascii="Arial" w:cs="Arial" w:eastAsia="Arial" w:hAnsi="Arial"/>
                <w:sz w:val="14"/>
                <w:szCs w:val="14"/>
                <w:color w:val="auto"/>
              </w:rPr>
              <w:t>Vienna, VA</w:t>
            </w:r>
          </w:p>
        </w:tc>
        <w:tc>
          <w:tcPr>
            <w:tcW w:w="4920" w:type="dxa"/>
            <w:vAlign w:val="bottom"/>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63"/>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Lawrenceville, NJ</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Redevelopment of recently acquired office building pre-leased to a single 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00" w:type="dxa"/>
            <w:vAlign w:val="bottom"/>
          </w:tcPr>
          <w:p>
            <w:pPr>
              <w:ind w:left="40"/>
              <w:spacing w:after="0"/>
              <w:rPr>
                <w:sz w:val="20"/>
                <w:szCs w:val="20"/>
                <w:color w:val="auto"/>
              </w:rPr>
            </w:pPr>
            <w:r>
              <w:rPr>
                <w:rFonts w:ascii="Arial" w:cs="Arial" w:eastAsia="Arial" w:hAnsi="Arial"/>
                <w:sz w:val="14"/>
                <w:szCs w:val="14"/>
                <w:color w:val="auto"/>
              </w:rPr>
              <w:t>Wildwood</w:t>
            </w:r>
          </w:p>
        </w:tc>
        <w:tc>
          <w:tcPr>
            <w:tcW w:w="1560" w:type="dxa"/>
            <w:vAlign w:val="bottom"/>
          </w:tcPr>
          <w:p>
            <w:pPr>
              <w:ind w:left="240"/>
              <w:spacing w:after="0"/>
              <w:rPr>
                <w:sz w:val="20"/>
                <w:szCs w:val="20"/>
                <w:color w:val="auto"/>
              </w:rPr>
            </w:pPr>
            <w:r>
              <w:rPr>
                <w:rFonts w:ascii="Arial" w:cs="Arial" w:eastAsia="Arial" w:hAnsi="Arial"/>
                <w:sz w:val="14"/>
                <w:szCs w:val="14"/>
                <w:color w:val="auto"/>
              </w:rPr>
              <w:t>Bethesda, MD</w:t>
            </w:r>
          </w:p>
        </w:tc>
        <w:tc>
          <w:tcPr>
            <w:tcW w:w="4920" w:type="dxa"/>
            <w:vAlign w:val="bottom"/>
          </w:tcPr>
          <w:p>
            <w:pPr>
              <w:ind w:left="16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09"/>
        </w:trPr>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1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Dedham, MA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 4,000 square foot pad site for restaurant 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57"/>
        </w:trPr>
        <w:tc>
          <w:tcPr>
            <w:tcW w:w="140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560" w:type="dxa"/>
            <w:vAlign w:val="bottom"/>
          </w:tcPr>
          <w:p>
            <w:pPr>
              <w:ind w:left="24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w w:val="93"/>
              </w:rPr>
              <w:t>new 3,500 square foot fast casual restaurant tenant. Remainder of pad building to</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$153-$157</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400" w:type="dxa"/>
            <w:vAlign w:val="bottom"/>
            <w:tcBorders>
              <w:bottom w:val="single" w:sz="8" w:color="CCEEFF"/>
            </w:tcBorders>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49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2018</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Projected POI Delivered</w:t>
            </w:r>
          </w:p>
        </w:tc>
        <w:tc>
          <w:tcPr>
            <w:tcW w:w="2840" w:type="dxa"/>
            <w:vAlign w:val="bottom"/>
          </w:tcPr>
          <w:p>
            <w:pPr>
              <w:spacing w:after="0"/>
              <w:rPr>
                <w:sz w:val="15"/>
                <w:szCs w:val="15"/>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(as a % of Total)</w:t>
            </w:r>
          </w:p>
        </w:tc>
        <w:tc>
          <w:tcPr>
            <w:tcW w:w="2840" w:type="dxa"/>
            <w:vAlign w:val="bottom"/>
          </w:tcPr>
          <w:p>
            <w:pPr>
              <w:spacing w:after="0"/>
              <w:rPr>
                <w:sz w:val="23"/>
                <w:szCs w:val="23"/>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For Year Ended December 31,</w:t>
            </w:r>
          </w:p>
        </w:tc>
        <w:tc>
          <w:tcPr>
            <w:tcW w:w="2840" w:type="dxa"/>
            <w:vAlign w:val="bottom"/>
          </w:tcPr>
          <w:p>
            <w:pPr>
              <w:spacing w:after="0"/>
              <w:rPr>
                <w:sz w:val="21"/>
                <w:szCs w:val="21"/>
                <w:color w:val="auto"/>
              </w:rPr>
            </w:pPr>
          </w:p>
        </w:tc>
      </w:tr>
      <w:tr>
        <w:trPr>
          <w:trHeight w:val="182"/>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Pr>
          <w:p>
            <w:pPr>
              <w:jc w:val="center"/>
              <w:ind w:left="32"/>
              <w:spacing w:after="0"/>
              <w:rPr>
                <w:sz w:val="20"/>
                <w:szCs w:val="20"/>
                <w:color w:val="auto"/>
              </w:rPr>
            </w:pPr>
            <w:r>
              <w:rPr>
                <w:rFonts w:ascii="Arial" w:cs="Arial" w:eastAsia="Arial" w:hAnsi="Arial"/>
                <w:sz w:val="14"/>
                <w:szCs w:val="14"/>
                <w:b w:val="1"/>
                <w:bCs w:val="1"/>
                <w:color w:val="auto"/>
                <w:w w:val="84"/>
              </w:rPr>
              <w:t>Projected</w:t>
            </w:r>
          </w:p>
        </w:tc>
        <w:tc>
          <w:tcPr>
            <w:tcW w:w="2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Costs to</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50"/>
        </w:trPr>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Property (1)</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Opportunity</w:t>
            </w:r>
          </w:p>
        </w:tc>
        <w:tc>
          <w:tcPr>
            <w:tcW w:w="7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5"/>
              </w:rPr>
              <w:t>ROI (3)</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2018</w:t>
            </w:r>
          </w:p>
        </w:tc>
        <w:tc>
          <w:tcPr>
            <w:tcW w:w="110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21"/>
                <w:szCs w:val="21"/>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rPr>
              <w:t>(in</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(in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rPr>
              <w:t>millions)</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millions)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487"/>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Assembly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Somerville, MA</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- 161,000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$280 - 295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$269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50%</w:t>
            </w:r>
          </w:p>
        </w:tc>
        <w:tc>
          <w:tcPr>
            <w:tcW w:w="11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87"/>
                <w:shd w:val="clear" w:color="auto" w:fill="CCEEFF"/>
              </w:rPr>
              <w:t>- 64,000 square feet of retail has opened, remaining</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- 447 residential units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tenants projected to open through 2018.</w:t>
            </w:r>
          </w:p>
        </w:tc>
      </w:tr>
      <w:tr>
        <w:trPr>
          <w:trHeight w:val="192"/>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- 158 boutique hotel rooms</w:t>
            </w: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 Residential building opened in September 2017</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w:t>
            </w: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expected through 2Q 2018.</w:t>
            </w:r>
          </w:p>
        </w:tc>
      </w:tr>
      <w:tr>
        <w:trPr>
          <w:trHeight w:val="179"/>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- 741,500 SF Partners Healthcare office space</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(built by</w:t>
            </w: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 opened in 2016.</w:t>
            </w: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w w:val="90"/>
              </w:rPr>
              <w:t>- 122 for-sale condominium units</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$74 - 79</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$74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Future Phases</w:t>
            </w: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shd w:val="clear" w:color="auto" w:fill="CCEEFF"/>
              </w:rPr>
              <w:t>TBD</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283"/>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r>
      <w:tr>
        <w:trPr>
          <w:trHeight w:val="432"/>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Pike &amp; Rose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North Bethesda,</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MD</w:t>
            </w: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2"/>
        </w:trPr>
        <w:tc>
          <w:tcPr>
            <w:tcW w:w="10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shd w:val="clear" w:color="auto" w:fill="CCEEFF"/>
          </w:tcPr>
          <w:p>
            <w:pPr>
              <w:spacing w:after="0"/>
              <w:rPr>
                <w:sz w:val="14"/>
                <w:szCs w:val="14"/>
                <w:color w:val="auto"/>
              </w:rPr>
            </w:pPr>
          </w:p>
        </w:tc>
        <w:tc>
          <w:tcPr>
            <w:tcW w:w="1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- 216,000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1"/>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$200 - 207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$187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60%</w:t>
            </w:r>
          </w:p>
        </w:tc>
        <w:tc>
          <w:tcPr>
            <w:tcW w:w="11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- 154,000 square feet of retail has opened,</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- 272 residential units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remaining</w:t>
            </w: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- 177 boutique hotel rooms</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tenants projected to open through 2018.</w:t>
            </w:r>
          </w:p>
        </w:tc>
      </w:tr>
      <w:tr>
        <w:trPr>
          <w:trHeight w:val="219"/>
        </w:trPr>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 Residential building opened in August 2017 with</w:t>
            </w: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expected through 2Q 2018</w:t>
            </w: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w w:val="94"/>
              </w:rPr>
              <w:t>- 99 for-sale condominium units</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640" w:type="dxa"/>
            <w:vAlign w:val="bottom"/>
          </w:tcPr>
          <w:p>
            <w:pPr>
              <w:jc w:val="center"/>
              <w:spacing w:after="0"/>
              <w:rPr>
                <w:sz w:val="20"/>
                <w:szCs w:val="20"/>
                <w:color w:val="auto"/>
              </w:rPr>
            </w:pPr>
            <w:r>
              <w:rPr>
                <w:rFonts w:ascii="Arial" w:cs="Arial" w:eastAsia="Arial" w:hAnsi="Arial"/>
                <w:sz w:val="14"/>
                <w:szCs w:val="14"/>
                <w:color w:val="auto"/>
                <w:w w:val="87"/>
              </w:rPr>
              <w:t>$60-62</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$59</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89"/>
        </w:trPr>
        <w:tc>
          <w:tcPr>
            <w:tcW w:w="10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Future Phases</w:t>
            </w:r>
          </w:p>
        </w:tc>
        <w:tc>
          <w:tcPr>
            <w:tcW w:w="1260" w:type="dxa"/>
            <w:vAlign w:val="bottom"/>
            <w:shd w:val="clear" w:color="auto" w:fill="CCEEFF"/>
          </w:tcPr>
          <w:p>
            <w:pPr>
              <w:spacing w:after="0"/>
              <w:rPr>
                <w:sz w:val="16"/>
                <w:szCs w:val="16"/>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- 1M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rPr>
              <w:t>TBD</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TBD</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- 741 residential units</w:t>
            </w: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r>
      <w:tr>
        <w:trPr>
          <w:trHeight w:val="432"/>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Santana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San Jose, CA</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88"/>
        </w:trPr>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700 Santana Row</w:t>
            </w: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- 284,000 SF of office</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$205 - 215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$77</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TBD</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Commenced construction 4Q 2016</w:t>
            </w: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- 29,000 SF of retail &amp; 1,300</w:t>
            </w: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Opening projected 2019</w:t>
            </w: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parking spaces</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189"/>
        </w:trPr>
        <w:tc>
          <w:tcPr>
            <w:tcW w:w="1040" w:type="dxa"/>
            <w:vAlign w:val="bottom"/>
            <w:gridSpan w:val="5"/>
          </w:tcPr>
          <w:p>
            <w:pPr>
              <w:ind w:left="40"/>
              <w:spacing w:after="0"/>
              <w:rPr>
                <w:sz w:val="20"/>
                <w:szCs w:val="20"/>
                <w:color w:val="auto"/>
              </w:rPr>
            </w:pPr>
            <w:r>
              <w:rPr>
                <w:rFonts w:ascii="Arial" w:cs="Arial" w:eastAsia="Arial" w:hAnsi="Arial"/>
                <w:sz w:val="14"/>
                <w:szCs w:val="14"/>
                <w:color w:val="auto"/>
              </w:rPr>
              <w:t>Future Phases</w:t>
            </w:r>
          </w:p>
        </w:tc>
        <w:tc>
          <w:tcPr>
            <w:tcW w:w="1260" w:type="dxa"/>
            <w:vAlign w:val="bottom"/>
          </w:tcPr>
          <w:p>
            <w:pPr>
              <w:spacing w:after="0"/>
              <w:rPr>
                <w:sz w:val="16"/>
                <w:szCs w:val="16"/>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rPr>
              <w:t>- 321,000 SF of commercial</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2"/>
              </w:rPr>
              <w:t>TBD</w:t>
            </w:r>
          </w:p>
        </w:tc>
        <w:tc>
          <w:tcPr>
            <w:tcW w:w="2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r>
    </w:tbl>
    <w:p>
      <w:pPr>
        <w:spacing w:after="0" w:line="98"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- 395 residential units</w:t>
      </w:r>
    </w:p>
    <w:p>
      <w:pPr>
        <w:spacing w:after="0" w:line="109"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- 1M SF of commercial across</w:t>
      </w:r>
    </w:p>
    <w:p>
      <w:pPr>
        <w:ind w:left="2320"/>
        <w:spacing w:after="0"/>
        <w:rPr>
          <w:sz w:val="20"/>
          <w:szCs w:val="20"/>
          <w:color w:val="auto"/>
        </w:rPr>
      </w:pPr>
      <w:r>
        <w:rPr>
          <w:rFonts w:ascii="Arial" w:cs="Arial" w:eastAsia="Arial" w:hAnsi="Arial"/>
          <w:sz w:val="14"/>
          <w:szCs w:val="14"/>
          <w:color w:val="auto"/>
        </w:rPr>
        <w:t>from Santana Row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sold at cost.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2018</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Huntington, NY</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2200" w:type="dxa"/>
            <w:vAlign w:val="bottom"/>
          </w:tcPr>
          <w:p>
            <w:pPr>
              <w:ind w:left="540"/>
              <w:spacing w:after="0"/>
              <w:rPr>
                <w:sz w:val="20"/>
                <w:szCs w:val="20"/>
                <w:color w:val="auto"/>
              </w:rPr>
            </w:pPr>
            <w:r>
              <w:rPr>
                <w:rFonts w:ascii="Arial" w:cs="Arial" w:eastAsia="Arial" w:hAnsi="Arial"/>
                <w:sz w:val="16"/>
                <w:szCs w:val="16"/>
                <w:color w:val="auto"/>
              </w:rPr>
              <w:t>Rockville, MD</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3760" w:type="dxa"/>
            <w:vAlign w:val="bottom"/>
          </w:tcPr>
          <w:p>
            <w:pPr>
              <w:ind w:left="620"/>
              <w:spacing w:after="0"/>
              <w:rPr>
                <w:sz w:val="20"/>
                <w:szCs w:val="20"/>
                <w:color w:val="auto"/>
              </w:rPr>
            </w:pPr>
            <w:r>
              <w:rPr>
                <w:rFonts w:ascii="Arial" w:cs="Arial" w:eastAsia="Arial" w:hAnsi="Arial"/>
                <w:sz w:val="16"/>
                <w:szCs w:val="16"/>
                <w:color w:val="auto"/>
              </w:rPr>
              <w:t>Lawrenceville, NJ</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Pan Am</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Fairfax, VA</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3760" w:type="dxa"/>
            <w:vAlign w:val="bottom"/>
          </w:tcPr>
          <w:p>
            <w:pPr>
              <w:ind w:left="620"/>
              <w:spacing w:after="0"/>
              <w:rPr>
                <w:sz w:val="20"/>
                <w:szCs w:val="20"/>
                <w:color w:val="auto"/>
              </w:rPr>
            </w:pPr>
            <w:r>
              <w:rPr>
                <w:rFonts w:ascii="Arial" w:cs="Arial" w:eastAsia="Arial" w:hAnsi="Arial"/>
                <w:sz w:val="16"/>
                <w:szCs w:val="16"/>
                <w:color w:val="auto"/>
              </w:rPr>
              <w:t>Sylmar, CA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Fresh Meadows</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Queens, NY</w:t>
            </w:r>
          </w:p>
        </w:tc>
      </w:tr>
      <w:tr>
        <w:trPr>
          <w:trHeight w:val="237"/>
        </w:trPr>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Bethesda Row</w:t>
            </w:r>
          </w:p>
        </w:tc>
        <w:tc>
          <w:tcPr>
            <w:tcW w:w="2560" w:type="dxa"/>
            <w:vAlign w:val="bottom"/>
          </w:tcPr>
          <w:p>
            <w:pPr>
              <w:ind w:left="780"/>
              <w:spacing w:after="0"/>
              <w:rPr>
                <w:sz w:val="20"/>
                <w:szCs w:val="20"/>
                <w:color w:val="auto"/>
              </w:rPr>
            </w:pPr>
            <w:r>
              <w:rPr>
                <w:rFonts w:ascii="Arial" w:cs="Arial" w:eastAsia="Arial" w:hAnsi="Arial"/>
                <w:sz w:val="16"/>
                <w:szCs w:val="16"/>
                <w:color w:val="auto"/>
              </w:rPr>
              <w:t>Bethesda, MD</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3600" w:type="dxa"/>
            <w:vAlign w:val="bottom"/>
          </w:tcPr>
          <w:p>
            <w:pPr>
              <w:ind w:left="460"/>
              <w:spacing w:after="0"/>
              <w:rPr>
                <w:sz w:val="20"/>
                <w:szCs w:val="20"/>
                <w:color w:val="auto"/>
              </w:rPr>
            </w:pPr>
            <w:r>
              <w:rPr>
                <w:rFonts w:ascii="Arial" w:cs="Arial" w:eastAsia="Arial" w:hAnsi="Arial"/>
                <w:sz w:val="16"/>
                <w:szCs w:val="16"/>
                <w:color w:val="auto"/>
              </w:rPr>
              <w:t>Pasadena, CA</w:t>
            </w:r>
          </w:p>
        </w:tc>
      </w:tr>
      <w:tr>
        <w:trPr>
          <w:trHeight w:val="33"/>
        </w:trPr>
        <w:tc>
          <w:tcPr>
            <w:tcW w:w="2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Brick Plaza</w:t>
            </w:r>
          </w:p>
        </w:tc>
        <w:tc>
          <w:tcPr>
            <w:tcW w:w="2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Brick, NJ</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Philadelphia, PA</w:t>
            </w:r>
          </w:p>
        </w:tc>
      </w:tr>
      <w:tr>
        <w:trPr>
          <w:trHeight w:val="237"/>
        </w:trPr>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Crossroads</w:t>
            </w:r>
          </w:p>
        </w:tc>
        <w:tc>
          <w:tcPr>
            <w:tcW w:w="2560" w:type="dxa"/>
            <w:vAlign w:val="bottom"/>
          </w:tcPr>
          <w:p>
            <w:pPr>
              <w:ind w:left="780"/>
              <w:spacing w:after="0"/>
              <w:rPr>
                <w:sz w:val="20"/>
                <w:szCs w:val="20"/>
                <w:color w:val="auto"/>
              </w:rPr>
            </w:pPr>
            <w:r>
              <w:rPr>
                <w:rFonts w:ascii="Arial" w:cs="Arial" w:eastAsia="Arial" w:hAnsi="Arial"/>
                <w:sz w:val="16"/>
                <w:szCs w:val="16"/>
                <w:color w:val="auto"/>
              </w:rPr>
              <w:t>Highland Park, IL</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600" w:type="dxa"/>
            <w:vAlign w:val="bottom"/>
          </w:tcPr>
          <w:p>
            <w:pPr>
              <w:ind w:left="460"/>
              <w:spacing w:after="0"/>
              <w:rPr>
                <w:sz w:val="20"/>
                <w:szCs w:val="20"/>
                <w:color w:val="auto"/>
              </w:rPr>
            </w:pPr>
            <w:r>
              <w:rPr>
                <w:rFonts w:ascii="Arial" w:cs="Arial" w:eastAsia="Arial" w:hAnsi="Arial"/>
                <w:sz w:val="16"/>
                <w:szCs w:val="16"/>
                <w:color w:val="auto"/>
              </w:rPr>
              <w:t>Chicago, IL</w:t>
            </w:r>
          </w:p>
        </w:tc>
      </w:tr>
      <w:tr>
        <w:trPr>
          <w:trHeight w:val="33"/>
        </w:trPr>
        <w:tc>
          <w:tcPr>
            <w:tcW w:w="2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Darien</w:t>
            </w:r>
          </w:p>
        </w:tc>
        <w:tc>
          <w:tcPr>
            <w:tcW w:w="25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Darien, CT</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South Miami, FL</w:t>
            </w:r>
          </w:p>
        </w:tc>
      </w:tr>
      <w:tr>
        <w:trPr>
          <w:trHeight w:val="237"/>
        </w:trPr>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Dedham Plaza</w:t>
            </w:r>
          </w:p>
        </w:tc>
        <w:tc>
          <w:tcPr>
            <w:tcW w:w="2560" w:type="dxa"/>
            <w:vAlign w:val="bottom"/>
          </w:tcPr>
          <w:p>
            <w:pPr>
              <w:ind w:left="780"/>
              <w:spacing w:after="0"/>
              <w:rPr>
                <w:sz w:val="20"/>
                <w:szCs w:val="20"/>
                <w:color w:val="auto"/>
              </w:rPr>
            </w:pPr>
            <w:r>
              <w:rPr>
                <w:rFonts w:ascii="Arial" w:cs="Arial" w:eastAsia="Arial" w:hAnsi="Arial"/>
                <w:sz w:val="16"/>
                <w:szCs w:val="16"/>
                <w:color w:val="auto"/>
              </w:rPr>
              <w:t>Dedham, MA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600" w:type="dxa"/>
            <w:vAlign w:val="bottom"/>
          </w:tcPr>
          <w:p>
            <w:pPr>
              <w:ind w:left="460"/>
              <w:spacing w:after="0"/>
              <w:rPr>
                <w:sz w:val="20"/>
                <w:szCs w:val="20"/>
                <w:color w:val="auto"/>
              </w:rPr>
            </w:pPr>
            <w:r>
              <w:rPr>
                <w:rFonts w:ascii="Arial" w:cs="Arial" w:eastAsia="Arial" w:hAnsi="Arial"/>
                <w:sz w:val="16"/>
                <w:szCs w:val="16"/>
                <w:color w:val="auto"/>
              </w:rPr>
              <w:t>Santa Monica, CA</w:t>
            </w:r>
          </w:p>
        </w:tc>
      </w:tr>
      <w:tr>
        <w:trPr>
          <w:trHeight w:val="33"/>
        </w:trPr>
        <w:tc>
          <w:tcPr>
            <w:tcW w:w="2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246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Fourth Street</w:t>
            </w:r>
          </w:p>
        </w:tc>
        <w:tc>
          <w:tcPr>
            <w:tcW w:w="25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Berkeley, CA</w:t>
            </w:r>
          </w:p>
        </w:tc>
        <w:tc>
          <w:tcPr>
            <w:tcW w:w="28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3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Bethesda, MD</w:t>
            </w:r>
          </w:p>
        </w:tc>
      </w:tr>
      <w:tr>
        <w:trPr>
          <w:trHeight w:val="33"/>
        </w:trPr>
        <w:tc>
          <w:tcPr>
            <w:tcW w:w="24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24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300" w:type="dxa"/>
            <w:vAlign w:val="bottom"/>
          </w:tcPr>
          <w:p>
            <w:pPr>
              <w:ind w:left="16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08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240"/>
              <w:spacing w:after="0"/>
              <w:rPr>
                <w:sz w:val="20"/>
                <w:szCs w:val="20"/>
                <w:color w:val="auto"/>
              </w:rPr>
            </w:pPr>
            <w:r>
              <w:rPr>
                <w:rFonts w:ascii="Arial" w:cs="Arial" w:eastAsia="Arial" w:hAnsi="Arial"/>
                <w:sz w:val="16"/>
                <w:szCs w:val="16"/>
                <w:color w:val="auto"/>
              </w:rPr>
              <w:t>Somerville, MA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300" w:type="dxa"/>
            <w:vAlign w:val="bottom"/>
          </w:tcPr>
          <w:p>
            <w:pPr>
              <w:ind w:left="16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w w:val="97"/>
              </w:rPr>
              <w:t>Santana Row - Winchester Theater</w:t>
            </w:r>
          </w:p>
        </w:tc>
        <w:tc>
          <w:tcPr>
            <w:tcW w:w="33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Pike 7 Plaza</w:t>
            </w:r>
          </w:p>
        </w:tc>
        <w:tc>
          <w:tcPr>
            <w:tcW w:w="2080" w:type="dxa"/>
            <w:vAlign w:val="bottom"/>
          </w:tcPr>
          <w:p>
            <w:pPr>
              <w:ind w:left="240"/>
              <w:spacing w:after="0"/>
              <w:rPr>
                <w:sz w:val="20"/>
                <w:szCs w:val="20"/>
                <w:color w:val="auto"/>
              </w:rPr>
            </w:pPr>
            <w:r>
              <w:rPr>
                <w:rFonts w:ascii="Arial" w:cs="Arial" w:eastAsia="Arial" w:hAnsi="Arial"/>
                <w:sz w:val="16"/>
                <w:szCs w:val="16"/>
                <w:color w:val="auto"/>
              </w:rPr>
              <w:t>Vienna,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site (3)</w:t>
            </w:r>
          </w:p>
        </w:tc>
        <w:tc>
          <w:tcPr>
            <w:tcW w:w="3300" w:type="dxa"/>
            <w:vAlign w:val="bottom"/>
          </w:tcPr>
          <w:p>
            <w:pPr>
              <w:ind w:left="16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&amp; Rose (2)</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North Bethesda, MD</w:t>
            </w:r>
          </w:p>
        </w:tc>
        <w:tc>
          <w:tcPr>
            <w:tcW w:w="30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0"/>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24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Assembly Row</w:t>
            </w: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2 million square feet of commercial-use buildings and 826 residential units.</w:t>
            </w:r>
          </w:p>
        </w:tc>
      </w:tr>
      <w:tr>
        <w:trPr>
          <w:trHeight w:val="20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1 million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420" w:type="dxa"/>
            <w:vAlign w:val="bottom"/>
            <w:gridSpan w:val="3"/>
          </w:tcPr>
          <w:p>
            <w:pPr>
              <w:ind w:left="240"/>
              <w:spacing w:after="0" w:line="157" w:lineRule="exact"/>
              <w:rPr>
                <w:sz w:val="20"/>
                <w:szCs w:val="20"/>
                <w:color w:val="auto"/>
              </w:rPr>
            </w:pPr>
            <w:r>
              <w:rPr>
                <w:rFonts w:ascii="Arial" w:cs="Arial" w:eastAsia="Arial" w:hAnsi="Arial"/>
                <w:sz w:val="14"/>
                <w:szCs w:val="14"/>
                <w:color w:val="auto"/>
                <w:w w:val="94"/>
              </w:rPr>
              <w:t>Remaining entitlements include approximately 321,000 square feet of commercial space and 395 residential units, as well as approximately</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rPr>
              <w:t>1 million square feet of commercial space on land we control across from Santana Row.</w:t>
            </w: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17</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Barcroft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   46,309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Bethesda Row</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226,734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Apple / Equinox / Multiple Restaurants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102,577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1"/>
              </w:rPr>
              <w:t>Buy Buy Baby / Saks Fifth Avenue Off 5th</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Neiman Marcus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Courthouse Center</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3"/>
              </w:rPr>
              <w:t>Falls Plaza/Falls Plaza-</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14,016</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51,000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Federal Plaza</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70,040</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TJ Maxx / Micro Center / Ross Dress For</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Less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64,816</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TJ Maxx / Ross Dress For Less / Office</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Depot</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38,106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Marshalls / Nordstrom Rack / DSW /</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Maggiano's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27,458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88"/>
              </w:rPr>
              <w:t>Bed, Bath &amp; Beyond / Ross Dress For Less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 Ashley Furniture HomeStore</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35,409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16,915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30,000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57,434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Marshalls / L.A.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36,619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rPr>
                <w:sz w:val="20"/>
                <w:szCs w:val="20"/>
                <w:color w:val="auto"/>
              </w:rPr>
            </w:pPr>
            <w:r>
              <w:rPr>
                <w:rFonts w:ascii="Arial" w:cs="Arial" w:eastAsia="Arial" w:hAnsi="Arial"/>
                <w:sz w:val="13"/>
                <w:szCs w:val="13"/>
                <w:color w:val="auto"/>
              </w:rPr>
              <w:t>Petsmart / Gold's Gym / Office Depot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160,500</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70,625</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Marshalls / Old Navy / Barnes &amp; Noble /</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Bob's Discount Furniture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84,737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570,000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30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6"/>
              </w:rPr>
              <w:t>Valley/7770 Richmond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Beyond / Results Fitness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Walgreens / Planet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29,234</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65,000</w:t>
            </w:r>
          </w:p>
        </w:tc>
        <w:tc>
          <w:tcPr>
            <w:tcW w:w="900" w:type="dxa"/>
            <w:vAlign w:val="bottom"/>
          </w:tcPr>
          <w:p>
            <w:pPr>
              <w:ind w:left="80"/>
              <w:spacing w:after="0"/>
              <w:rPr>
                <w:sz w:val="20"/>
                <w:szCs w:val="20"/>
                <w:color w:val="auto"/>
              </w:rPr>
            </w:pPr>
            <w:r>
              <w:rPr>
                <w:rFonts w:ascii="Arial" w:cs="Arial" w:eastAsia="Arial" w:hAnsi="Arial"/>
                <w:sz w:val="13"/>
                <w:szCs w:val="13"/>
                <w:color w:val="auto"/>
              </w:rPr>
              <w:t>Safeway</w:t>
            </w:r>
          </w:p>
        </w:tc>
        <w:tc>
          <w:tcPr>
            <w:tcW w:w="2300" w:type="dxa"/>
            <w:vAlign w:val="bottom"/>
          </w:tcPr>
          <w:p>
            <w:pPr>
              <w:ind w:left="80"/>
              <w:spacing w:after="0"/>
              <w:rPr>
                <w:sz w:val="20"/>
                <w:szCs w:val="20"/>
                <w:color w:val="auto"/>
              </w:rPr>
            </w:pPr>
            <w:r>
              <w:rPr>
                <w:rFonts w:ascii="Arial" w:cs="Arial" w:eastAsia="Arial" w:hAnsi="Arial"/>
                <w:sz w:val="13"/>
                <w:szCs w:val="13"/>
                <w:color w:val="auto"/>
              </w:rPr>
              <w:t>Micro Center / CVS / Michaels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103,478</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TJ Maxx / Bed, Bath &amp; Beyond / DSW</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Pike &amp; Rose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572,233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740</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iPic Theater / Porsche / H &amp; M / REI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Pinstripes / Multiple Restaurants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46,094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TJ Maxx / DSW / Crunch Fitness / Staples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46,224</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18,000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CVS / L.A. Fitness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39,040</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HomeGoods / L.A. Fitness / Staples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4"/>
              </w:rPr>
              <w:t>Rockville Town Square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51,453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4,451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3"/>
              </w:rPr>
              <w:t>CVS / Gold's Gym / Multiple Restaurants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Market</w:t>
            </w: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10,827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20,697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13,416</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86%</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Tower Shopping</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21,940</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L.A. Mart</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Talbots / Total Wine &amp; More</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4,667</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11,000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64,833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6,660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AMC / Carlyle Grand Café</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20,685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20,000</w:t>
            </w:r>
          </w:p>
        </w:tc>
        <w:tc>
          <w:tcPr>
            <w:tcW w:w="900" w:type="dxa"/>
            <w:vAlign w:val="bottom"/>
          </w:tcPr>
          <w:p>
            <w:pPr>
              <w:ind w:left="80"/>
              <w:spacing w:after="0"/>
              <w:rPr>
                <w:sz w:val="20"/>
                <w:szCs w:val="20"/>
                <w:color w:val="auto"/>
              </w:rPr>
            </w:pPr>
            <w:r>
              <w:rPr>
                <w:rFonts w:ascii="Arial" w:cs="Arial" w:eastAsia="Arial" w:hAnsi="Arial"/>
                <w:sz w:val="13"/>
                <w:szCs w:val="13"/>
                <w:color w:val="auto"/>
              </w:rPr>
              <w:t>Balducci's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8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w w:val="98"/>
              </w:rPr>
              <w:t>Total Washington Metropolitan</w:t>
            </w:r>
          </w:p>
        </w:tc>
        <w:tc>
          <w:tcPr>
            <w:tcW w:w="7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96"/>
              </w:rPr>
              <w:t>2,019,066</w:t>
            </w: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9"/>
              </w:rPr>
              <w:t>6,199,000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Area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Azalea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107,347</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40,000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Marshalls / Ross Dress for Less / Ulta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Bell Gardens</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99,904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13,123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67,000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Marshalls / Ross Dress for Less / Petco</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19,517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Crow Canyon</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San Ramon,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90,839</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Orchard Supply Hardware / Rite Aid /</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Commons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Wine &amp; More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7"/>
              </w:rPr>
              <w:t>San Francisco-Oakland-Fremont,</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178,950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Home Depot / Target / Nordstrom Rack</w:t>
            </w: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20" w:top="747" w:right="29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Escondido Promenade</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Diego, CA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49,577</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TJ Maxx / Dick’s Sporting Goods / Ross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Dress For Less / Toys R Us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Fourth Street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23,890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3"/>
              </w:rPr>
              <w:t>Hastings Ranch Plaza</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22,651</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Marshalls / HomeGoods / CVS / Sears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Hermosa Avenue</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6,185</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&lt;1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46,330</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 / La La Land</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Kings Court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11,668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31,000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0"/>
              </w:rPr>
              <w:t>Lunardi's Super</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36,931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Anthropologie / Banana Republic / Gap</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Olivo at Mission Hills</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72,942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6"/>
              </w:rPr>
              <w:t>Target / 24 Hour Fitness / Fallas Stores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Plaza Del Sol</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17,934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8,538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Plaza Pacoima</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50,359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Costco / Best Buy</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87"/>
              </w:rPr>
              <w:t>Plaza El Segundo / The</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281,534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125,000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Anthropologie / HomeGoods / Dick's</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Point</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Sporting Goods / Multiple Restaurants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Santana Row</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880,996</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885,000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662</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5"/>
              </w:rPr>
              <w:t>Crate &amp; Barrel / H&amp;M / Container Store /</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Multiple Restaurants</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San Antonio Center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San Francisco-Oakland-San Jose,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73,733</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11,000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Walmart / Kohl's / 24 Hour Fitness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w w:val="95"/>
              </w:rPr>
              <w:t>Sylmar Towne Center</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43,527</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17,271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Food 4 Less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Third Street</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79,129</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Banana Republic / Old Navy / J. Crew</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Promenade</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Westgate Center</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154,474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4"/>
              </w:rPr>
              <w:t>Target / Nordstrom Rack / Nike Factory /</w:t>
            </w: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80"/>
              <w:spacing w:after="0" w:line="135" w:lineRule="exact"/>
              <w:rPr>
                <w:sz w:val="20"/>
                <w:szCs w:val="20"/>
                <w:color w:val="auto"/>
              </w:rPr>
            </w:pPr>
            <w:r>
              <w:rPr>
                <w:rFonts w:ascii="Arial" w:cs="Arial" w:eastAsia="Arial" w:hAnsi="Arial"/>
                <w:sz w:val="13"/>
                <w:szCs w:val="13"/>
                <w:color w:val="auto"/>
              </w:rPr>
              <w:t>Neighborhood</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Burlington</w:t>
            </w:r>
          </w:p>
        </w:tc>
      </w:tr>
      <w:tr>
        <w:trPr>
          <w:trHeight w:val="170"/>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Borders>
              <w:bottom w:val="single" w:sz="8" w:color="CCEEFF"/>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2,348,417</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5,437,000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r>
      <w:tr>
        <w:trPr>
          <w:trHeight w:val="136"/>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77"/>
              </w:rPr>
              <w:t>Jersey</w:t>
            </w: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9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Brick Plaza</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Monmouth-Ocean, 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77,752</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AMC / Barnes &amp; Noble / Ulta / DSW</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47,610</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89"/>
              </w:rPr>
              <w:t>Banana Republic / Gap / Coach / Williams-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Sonoma</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Darien</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7"/>
              </w:rPr>
              <w:t>New Haven-Bridgeport-Stamford-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50,277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Fresh Meadows</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90,425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Island of Gold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Kohl's / Michaels</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31,707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Farms</w:t>
            </w: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Greenwich Avenue</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New Haven-Bridgeport-Stamford-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14,127</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Saks Fifth Avenue</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Hauppauge</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29,081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9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tcPr>
          <w:p>
            <w:pPr>
              <w:ind w:left="6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47,380</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Nordstrom Rack / Bed, Bath &amp; Beyond /</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Michaels</w:t>
            </w: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Huntington Square</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12,191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89,483</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Uncle</w:t>
            </w: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Marshalls / Dick's Sporting Goods / Field</w:t>
            </w:r>
          </w:p>
        </w:tc>
      </w:tr>
      <w:tr>
        <w:trPr>
          <w:trHeight w:val="135"/>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Giuseppe's</w:t>
            </w:r>
          </w:p>
        </w:tc>
        <w:tc>
          <w:tcPr>
            <w:tcW w:w="22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&amp; Stream / Macy's Backstage</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Marketplace</w:t>
            </w: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(6)</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Trenton, 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128,265</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55,529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530,000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3"/>
              </w:rPr>
              <w:t>TJ Maxx / Nordstrom Rack / Bed, Bath &amp;</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Beyond / REI</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The Grove at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 (5)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York-Northern New Jersey-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125,002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43,600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Lululemon / Anthropologie / Pottery Barn /</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Shrewsbury</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Williams-Sonoma</w:t>
            </w: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Troy</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Newark, 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36,895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228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780,195</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2,830,000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3"/>
          <w:szCs w:val="13"/>
          <w:b w:val="1"/>
          <w:bCs w:val="1"/>
          <w:u w:val="single" w:color="auto"/>
          <w:color w:val="auto"/>
        </w:rPr>
        <w:t>Philadelphia Metropolitan Area</w:t>
      </w:r>
    </w:p>
    <w:p>
      <w:pPr>
        <w:sectPr>
          <w:pgSz w:w="11900" w:h="16838" w:orient="portrait"/>
          <w:cols w:equalWidth="0" w:num="1">
            <w:col w:w="11280"/>
          </w:cols>
          <w:pgMar w:left="320" w:top="747" w:right="299" w:bottom="1440" w:gutter="0" w:footer="0" w:header="0"/>
        </w:sect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20" w:top="747" w:right="29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95"/>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Andorra</w:t>
            </w:r>
          </w:p>
        </w:tc>
        <w:tc>
          <w:tcPr>
            <w:tcW w:w="50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25,907</w:t>
            </w:r>
          </w:p>
        </w:tc>
        <w:tc>
          <w:tcPr>
            <w:tcW w:w="66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6"/>
                <w:szCs w:val="16"/>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88%</w:t>
            </w:r>
          </w:p>
        </w:tc>
        <w:tc>
          <w:tcPr>
            <w:tcW w:w="680" w:type="dxa"/>
            <w:vAlign w:val="bottom"/>
          </w:tcPr>
          <w:p>
            <w:pPr>
              <w:spacing w:after="0"/>
              <w:rPr>
                <w:sz w:val="16"/>
                <w:szCs w:val="16"/>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tcPr>
          <w:p>
            <w:pPr>
              <w:ind w:left="80"/>
              <w:spacing w:after="0"/>
              <w:rPr>
                <w:sz w:val="20"/>
                <w:szCs w:val="20"/>
                <w:color w:val="auto"/>
              </w:rPr>
            </w:pPr>
            <w:r>
              <w:rPr>
                <w:rFonts w:ascii="Arial" w:cs="Arial" w:eastAsia="Arial" w:hAnsi="Arial"/>
                <w:sz w:val="13"/>
                <w:szCs w:val="13"/>
                <w:color w:val="auto"/>
              </w:rPr>
              <w:t>Kohl's / L.A. Fitness / Staples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41,715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Lord &amp; Taylor / Michaels / L.A.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Ellisburg</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34,555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47,000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ind w:left="8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16,982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22,133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2300" w:type="dxa"/>
            <w:vAlign w:val="bottom"/>
          </w:tcPr>
          <w:p>
            <w:pPr>
              <w:spacing w:after="0"/>
              <w:rPr>
                <w:sz w:val="14"/>
                <w:szCs w:val="14"/>
                <w:color w:val="auto"/>
              </w:rPr>
            </w:pPr>
          </w:p>
        </w:tc>
      </w:tr>
      <w:tr>
        <w:trPr>
          <w:trHeight w:val="181"/>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35,151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TJ Maxx / HomeGoods / Barnes &amp; Noble</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Northeast</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30,696</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Marshalls / Burlington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Town Center of New</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15,276</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Rite Aid / Dollar Tree</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Britain</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Willow Grove</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30,272</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1"/>
              </w:rPr>
              <w:t>Marshalls / HomeGoods / Barnes &amp; Noble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42,891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Bed, Bath &amp; Beyond / Old Navy / DSW</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ind w:left="40"/>
              <w:spacing w:after="0" w:line="129" w:lineRule="exact"/>
              <w:rPr>
                <w:sz w:val="20"/>
                <w:szCs w:val="20"/>
                <w:color w:val="auto"/>
              </w:rPr>
            </w:pPr>
            <w:r>
              <w:rPr>
                <w:rFonts w:ascii="Arial" w:cs="Arial" w:eastAsia="Arial" w:hAnsi="Arial"/>
                <w:sz w:val="13"/>
                <w:szCs w:val="13"/>
                <w:b w:val="1"/>
                <w:bCs w:val="1"/>
                <w:color w:val="auto"/>
                <w:w w:val="97"/>
              </w:rPr>
              <w:t>Total Philadelphia Metropolitan</w:t>
            </w:r>
          </w:p>
        </w:tc>
        <w:tc>
          <w:tcPr>
            <w:tcW w:w="7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295,578</w:t>
            </w:r>
          </w:p>
        </w:tc>
        <w:tc>
          <w:tcPr>
            <w:tcW w:w="660" w:type="dxa"/>
            <w:vAlign w:val="bottom"/>
          </w:tcPr>
          <w:p>
            <w:pPr>
              <w:spacing w:after="0"/>
              <w:rPr>
                <w:sz w:val="11"/>
                <w:szCs w:val="11"/>
                <w:color w:val="auto"/>
              </w:rPr>
            </w:pPr>
          </w:p>
        </w:tc>
        <w:tc>
          <w:tcPr>
            <w:tcW w:w="4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210</w:t>
            </w:r>
          </w:p>
        </w:tc>
        <w:tc>
          <w:tcPr>
            <w:tcW w:w="12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color w:val="auto"/>
                <w:w w:val="89"/>
              </w:rPr>
              <w:t>2,457,000</w:t>
            </w: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b w:val="1"/>
                <w:bCs w:val="1"/>
                <w:color w:val="auto"/>
              </w:rPr>
              <w:t>Area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Assembly Row /</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748,871</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825,000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258</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5"/>
              </w:rPr>
              <w:t>TJ Maxx / AMC / LEGOLAND Discovery</w:t>
            </w:r>
          </w:p>
        </w:tc>
      </w:tr>
      <w:tr>
        <w:trPr>
          <w:trHeight w:val="135"/>
        </w:trPr>
        <w:tc>
          <w:tcPr>
            <w:tcW w:w="1180" w:type="dxa"/>
            <w:vAlign w:val="bottom"/>
            <w:gridSpan w:val="5"/>
            <w:shd w:val="clear" w:color="auto" w:fill="CCEEFF"/>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5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7"/>
              </w:rPr>
              <w:t>Center / Multiple Restaurants &amp; Outlets</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Atlantic Plaza</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Boston-Worcester-Lawrence-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25,763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64,000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0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Campus Plaza</w:t>
            </w:r>
          </w:p>
        </w:tc>
        <w:tc>
          <w:tcPr>
            <w:tcW w:w="50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Boston-Worcester-Lawrence-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30,551</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Chelsea Commons</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42,930</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6,187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56</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Home Depot / Planet Fitness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40,839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Planet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Linden Square</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148,925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North Dartmouth</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Queen Anne Plaza</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18,295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Big Y Foods</w:t>
            </w:r>
          </w:p>
        </w:tc>
        <w:tc>
          <w:tcPr>
            <w:tcW w:w="2300" w:type="dxa"/>
            <w:vAlign w:val="bottom"/>
          </w:tcPr>
          <w:p>
            <w:pPr>
              <w:ind w:left="80"/>
              <w:spacing w:after="0"/>
              <w:rPr>
                <w:sz w:val="20"/>
                <w:szCs w:val="20"/>
                <w:color w:val="auto"/>
              </w:rPr>
            </w:pPr>
            <w:r>
              <w:rPr>
                <w:rFonts w:ascii="Arial" w:cs="Arial" w:eastAsia="Arial" w:hAnsi="Arial"/>
                <w:sz w:val="13"/>
                <w:szCs w:val="13"/>
                <w:color w:val="auto"/>
              </w:rPr>
              <w:t>TJ Maxx / HomeGoods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Saugus Plaza</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15,275</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Super Stop &amp;</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Kmart</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30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1,080,818</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2,115,000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South Florida</w:t>
            </w: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Cocowalk</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119,508</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Gap / Cinepolis Theaters / Youfit Health</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Club</w:t>
            </w: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Del Mar Village</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68,510</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196,000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44,000</w:t>
            </w:r>
          </w:p>
        </w:tc>
        <w:tc>
          <w:tcPr>
            <w:tcW w:w="9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The Shops at Sunset</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123,624</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66,064</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523,000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Place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Tower Shops</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97,591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67</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0"/>
              </w:rPr>
              <w:t>TJ Maxx / Ross Dress For Less / Best Buy</w:t>
            </w:r>
          </w:p>
        </w:tc>
      </w:tr>
      <w:tr>
        <w:trPr>
          <w:trHeight w:val="170"/>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 DSW</w:t>
            </w:r>
          </w:p>
        </w:tc>
      </w:tr>
      <w:tr>
        <w:trPr>
          <w:trHeight w:val="17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409,233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1,317,000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Governor Plaza</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27,293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16,500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Dick's Sporting Goods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Perring Plaza</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31,109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Home Depot / Micro Center / 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THE AVENUE at</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115,344</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6"/>
              </w:rPr>
              <w:t>AMC / Ulta / Old Navy / Barnes &amp; Noble</w:t>
            </w:r>
          </w:p>
        </w:tc>
      </w:tr>
      <w:tr>
        <w:trPr>
          <w:trHeight w:val="168"/>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White Marsh</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The Shoppes at</w:t>
            </w:r>
          </w:p>
        </w:tc>
        <w:tc>
          <w:tcPr>
            <w:tcW w:w="50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17,548</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Nottingham Square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20" w:top="747" w:right="29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9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26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23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70"/>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Towson Residential</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22,342</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(Flats @ 703)</w:t>
            </w: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25,596</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White Marsh Other</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33,938</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70,000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226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Baltimore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273,170</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1,139,000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3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26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Crossroads</w:t>
            </w:r>
          </w:p>
        </w:tc>
        <w:tc>
          <w:tcPr>
            <w:tcW w:w="2360" w:type="dxa"/>
            <w:vAlign w:val="bottom"/>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33,884</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L.A. Fitness / Binny's / Guitar Center</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Finley Square</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38,391</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 / Portillo's</w:t>
            </w:r>
          </w:p>
        </w:tc>
      </w:tr>
      <w:tr>
        <w:trPr>
          <w:trHeight w:val="148"/>
        </w:trPr>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Garden Market</w:t>
            </w:r>
          </w:p>
        </w:tc>
        <w:tc>
          <w:tcPr>
            <w:tcW w:w="2360" w:type="dxa"/>
            <w:vAlign w:val="bottom"/>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14,618</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w w:val="88"/>
              </w:rPr>
              <w:t>Mariano's Fresh</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Market</w:t>
            </w: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Riverpoint Center</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120,125</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207,018</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797,000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Barracks Road</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68,162</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8"/>
              </w:rPr>
              <w:t>Harris Teeter /</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Anthropologie / Nike / Bed, Bath &amp;</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Bristol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Hartford, CT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31,773</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940" w:type="dxa"/>
            <w:vAlign w:val="bottom"/>
          </w:tcPr>
          <w:p>
            <w:pPr>
              <w:ind w:left="100"/>
              <w:spacing w:after="0"/>
              <w:rPr>
                <w:sz w:val="20"/>
                <w:szCs w:val="20"/>
                <w:color w:val="auto"/>
              </w:rPr>
            </w:pPr>
            <w:r>
              <w:rPr>
                <w:rFonts w:ascii="Arial" w:cs="Arial" w:eastAsia="Arial" w:hAnsi="Arial"/>
                <w:sz w:val="13"/>
                <w:szCs w:val="13"/>
                <w:color w:val="auto"/>
              </w:rPr>
              <w:t>Stop &amp; Shop</w:t>
            </w:r>
          </w:p>
        </w:tc>
        <w:tc>
          <w:tcPr>
            <w:tcW w:w="226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Eastgate Crossing</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w w:val="99"/>
              </w:rPr>
              <w:t>Raleigh-Durham-Chapel Hill, NC</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34,643</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13,000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Trader Joe's</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 / Stein Mart / Petco</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Gratiot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Detroit, MI</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19,828</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69,000</w:t>
            </w:r>
          </w:p>
        </w:tc>
        <w:tc>
          <w:tcPr>
            <w:tcW w:w="940" w:type="dxa"/>
            <w:vAlign w:val="bottom"/>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tcPr>
          <w:p>
            <w:pPr>
              <w:ind w:left="40"/>
              <w:spacing w:after="0"/>
              <w:rPr>
                <w:sz w:val="20"/>
                <w:szCs w:val="20"/>
                <w:color w:val="auto"/>
              </w:rPr>
            </w:pPr>
            <w:r>
              <w:rPr>
                <w:rFonts w:ascii="Arial" w:cs="Arial" w:eastAsia="Arial" w:hAnsi="Arial"/>
                <w:sz w:val="13"/>
                <w:szCs w:val="13"/>
                <w:color w:val="auto"/>
                <w:w w:val="99"/>
              </w:rPr>
              <w:t>Bed, Bath &amp; Beyond / Best Buy / DSW</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Lancaster</w:t>
            </w:r>
          </w:p>
        </w:tc>
        <w:tc>
          <w:tcPr>
            <w:tcW w:w="2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(6)   Lancaster, 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14,139</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Michaels</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29th Place</w:t>
            </w:r>
          </w:p>
        </w:tc>
        <w:tc>
          <w:tcPr>
            <w:tcW w:w="2360" w:type="dxa"/>
            <w:vAlign w:val="bottom"/>
          </w:tcPr>
          <w:p>
            <w:pPr>
              <w:ind w:left="480"/>
              <w:spacing w:after="0"/>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41,092</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4,286</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2"/>
              </w:rPr>
              <w:t>HomeGoods / DSW / Stein Mart / Staples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Willow Lawn</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Richmond-Petersburg,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98,825</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463,000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66,000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Old Navy / Ross Dress For Less / Gold's</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Gym / DSW</w:t>
            </w: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308,462</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1,899,000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shd w:val="clear" w:color="auto" w:fill="CCEEFF"/>
          </w:tcPr>
          <w:p>
            <w:pPr>
              <w:spacing w:after="0"/>
              <w:rPr>
                <w:sz w:val="16"/>
                <w:szCs w:val="16"/>
                <w:color w:val="auto"/>
              </w:rPr>
            </w:pPr>
          </w:p>
        </w:tc>
      </w:tr>
      <w:tr>
        <w:trPr>
          <w:trHeight w:val="167"/>
        </w:trPr>
        <w:tc>
          <w:tcPr>
            <w:tcW w:w="1180" w:type="dxa"/>
            <w:vAlign w:val="bottom"/>
            <w:gridSpan w:val="4"/>
          </w:tcPr>
          <w:p>
            <w:pPr>
              <w:ind w:left="20"/>
              <w:spacing w:after="0"/>
              <w:rPr>
                <w:sz w:val="20"/>
                <w:szCs w:val="20"/>
                <w:color w:val="auto"/>
              </w:rPr>
            </w:pPr>
            <w:r>
              <w:rPr>
                <w:rFonts w:ascii="Arial" w:cs="Arial" w:eastAsia="Arial" w:hAnsi="Arial"/>
                <w:sz w:val="13"/>
                <w:szCs w:val="13"/>
                <w:b w:val="1"/>
                <w:bCs w:val="1"/>
                <w:color w:val="auto"/>
              </w:rPr>
              <w:t>Grand Total</w:t>
            </w:r>
          </w:p>
        </w:tc>
        <w:tc>
          <w:tcPr>
            <w:tcW w:w="23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$ 7,721,957</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$ 551,143</w:t>
            </w: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rPr>
              <w:t>1,966</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24,190,000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2,509</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580" w:right="80" w:hanging="571"/>
        <w:spacing w:after="0" w:line="239"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mortgage or capital lease obligations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580" w:right="400" w:hanging="571"/>
        <w:spacing w:after="0" w:line="239"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580" w:right="420" w:hanging="571"/>
        <w:spacing w:after="0" w:line="239"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or a portion of property subject to capital lease obligation.</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320" w:top="747" w:right="29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403,250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31.51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2,258,454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7,422,889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18.41</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300,511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34.75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1,369,494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9,763,062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399,619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38.24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1,922,439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10,411,714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26.05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397,555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45.55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2,144,347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18,524,282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46.60</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1,500,935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37.67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7,694,734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46,121,947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30.73</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203,038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28.44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$ 19.61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1,792,929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7,127,676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35.11</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158,213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32.66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$ 27.27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853,245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9,545,231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60.33</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165,289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40.97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1,285,427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8,563,714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51.81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161,605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34.63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$ 29.36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850,568</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10,708,134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66.26</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688,145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33.87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$ 26.92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4,782,169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35,944,755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52.23</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200,212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34.62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465,525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295,213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1.47</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142,298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37.07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516,249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217,831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1.53</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234,330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36.31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637,012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1,848,000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7.89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235,950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53.04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$ 47.55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1,293,779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7,816,148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33.13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812,790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40.88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2,912,565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10,177,192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12.52</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405,556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7,831,363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19.31</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344,768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35.68</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10,887,204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31.58</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424,492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39.33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12,087,142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28.47</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432,164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46.16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19,131,023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44.27</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1,606,980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38.46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49,936,732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31.07</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00" w:right="260" w:hanging="585"/>
        <w:spacing w:after="0" w:line="237"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$7.5 million of the Tenant Improvements &amp; Incentives is attributable to one 20 year anchor tenant renewal; total Tenant Improvements &amp; Incentives without this lease would be $1.58 per square foot.</w:t>
      </w:r>
    </w:p>
    <w:p>
      <w:pPr>
        <w:spacing w:after="0" w:line="28" w:lineRule="exact"/>
        <w:rPr>
          <w:rFonts w:ascii="Arial" w:cs="Arial" w:eastAsia="Arial" w:hAnsi="Arial"/>
          <w:sz w:val="13"/>
          <w:szCs w:val="13"/>
          <w:color w:val="auto"/>
        </w:rPr>
      </w:pPr>
    </w:p>
    <w:p>
      <w:pPr>
        <w:ind w:left="620" w:hanging="605"/>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jc w:val="both"/>
        <w:ind w:left="600" w:hanging="585"/>
        <w:spacing w:after="0" w:line="288" w:lineRule="auto"/>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380"/>
          </w:cols>
          <w:pgMar w:left="260" w:top="760"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760" w:right="25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2130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561,000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2,118,000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18.61</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843,000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38.28</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2,961,000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956,000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1,711,000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22.00</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901,000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44.00</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2,611,000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975,000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1,562,000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19.86</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774,000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44.31</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2,336,000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1,107,000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538,000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883,000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23.18</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459,000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40.65</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1,342,000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26.17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358,000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757,000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33.40</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442,000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47.62</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1,200,000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2,695,000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320,000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15,391,000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7,127,000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42.49</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22,518,000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410,000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18.77</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571,000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37.84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1,103,000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382,000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27.28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528,000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47.60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425,000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472,000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41.55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897,000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32.08</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22.76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406,000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42.06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788,000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694,000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19.13</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45.94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1,172,000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30.05</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13,428,000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15,391,000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7,127,000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42.49</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22,518,000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10,000 square feet or more.</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March 31,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8" w:name="page29"/>
    <w:bookmarkEnd w:id="28"/>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March 31, 2018</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2018</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2017</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24,190,000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22,931,000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23,134,000</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21,884,000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94.6%</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2,509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2,333</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93.0%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1,899</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1,828</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96.3%</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2018</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2017</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(sf)</w:t>
            </w:r>
          </w:p>
        </w:tc>
        <w:tc>
          <w:tcPr>
            <w:tcW w:w="2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21,289,000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20,282,000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95.3%</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21,308,000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20,264,000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70"/>
        </w:trPr>
        <w:tc>
          <w:tcPr>
            <w:tcW w:w="3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1,355</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1,353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33"/>
        </w:trPr>
        <w:tc>
          <w:tcPr>
            <w:tcW w:w="33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March 31, 2018 leased percentage was 97.6% for anchor tenants and 89.1% for small shop tenants.</w:t>
      </w:r>
    </w:p>
    <w:p>
      <w:pPr>
        <w:spacing w:after="0" w:line="72" w:lineRule="exact"/>
        <w:rPr>
          <w:rFonts w:ascii="Arial" w:cs="Arial" w:eastAsia="Arial" w:hAnsi="Arial"/>
          <w:sz w:val="16"/>
          <w:szCs w:val="16"/>
          <w:color w:val="auto"/>
        </w:rPr>
      </w:pPr>
    </w:p>
    <w:p>
      <w:pPr>
        <w:ind w:left="840" w:right="30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93.3% and 93.1% at March 31, 2018 and 2017, respectively, and comparable property occupied percentage was 93.8% and 93.5% at March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6"/>
              </w:rPr>
              <w:t>Credit Ratings</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7"/>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4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4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4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Baa2 / 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4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4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4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4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4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4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66"/>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40" w:type="dxa"/>
            <w:vAlign w:val="bottom"/>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Ba3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Lou &amp; Grey, Ann Taylor, Catherine's, Justice,</w:t>
            </w:r>
          </w:p>
        </w:tc>
        <w:tc>
          <w:tcPr>
            <w:tcW w:w="1580" w:type="dxa"/>
            <w:vAlign w:val="bottom"/>
          </w:tcPr>
          <w:p>
            <w:pPr>
              <w:spacing w:after="0"/>
              <w:rPr>
                <w:sz w:val="17"/>
                <w:szCs w:val="17"/>
                <w:color w:val="auto"/>
              </w:rPr>
            </w:pPr>
          </w:p>
        </w:tc>
      </w:tr>
      <w:tr>
        <w:trPr>
          <w:trHeight w:val="206"/>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Lane Bryant)</w:t>
            </w:r>
          </w:p>
        </w:tc>
        <w:tc>
          <w:tcPr>
            <w:tcW w:w="1580" w:type="dxa"/>
            <w:vAlign w:val="bottom"/>
          </w:tcPr>
          <w:p>
            <w:pPr>
              <w:spacing w:after="0"/>
              <w:rPr>
                <w:sz w:val="17"/>
                <w:szCs w:val="17"/>
                <w:color w:val="auto"/>
              </w:rPr>
            </w:pPr>
          </w:p>
        </w:tc>
      </w:tr>
      <w:tr>
        <w:trPr>
          <w:trHeight w:val="257"/>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4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4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4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4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4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119"/>
              <w:spacing w:after="0"/>
              <w:rPr>
                <w:sz w:val="20"/>
                <w:szCs w:val="20"/>
                <w:color w:val="auto"/>
              </w:rPr>
            </w:pPr>
            <w:r>
              <w:rPr>
                <w:rFonts w:ascii="Arial" w:cs="Arial" w:eastAsia="Arial" w:hAnsi="Arial"/>
                <w:sz w:val="16"/>
                <w:szCs w:val="16"/>
                <w:color w:val="auto"/>
              </w:rPr>
              <w:t>A- / A3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4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4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4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119"/>
              <w:spacing w:after="0"/>
              <w:rPr>
                <w:sz w:val="20"/>
                <w:szCs w:val="20"/>
                <w:color w:val="auto"/>
              </w:rPr>
            </w:pPr>
            <w:r>
              <w:rPr>
                <w:rFonts w:ascii="Arial" w:cs="Arial" w:eastAsia="Arial" w:hAnsi="Arial"/>
                <w:sz w:val="16"/>
                <w:szCs w:val="16"/>
                <w:color w:val="auto"/>
                <w:w w:val="95"/>
              </w:rPr>
              <w:t>A+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4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4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A3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4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4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4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17,599,000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973,000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4.02%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17,500,000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4.28%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13,382,000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13,347,000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3.04%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10,585,000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9,833,000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426,000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1.76%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9,320,000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7,267,000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1.31%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6,633,000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6,218,000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6,176,000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1.36%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6,032,000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5,929,000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5,694,000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5,631,000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0.43%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5,495,000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5,380,000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5,269,000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5,038,000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4,724,000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4,459,000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4,205,000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0.48%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4,164,000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1.70%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4,130,000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188,243,000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8,366,000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34.58%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-2769235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-2426335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-2083435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-1740535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-1397000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42" w:right="239" w:bottom="1440" w:gutter="0" w:footer="0" w:header="0"/>
          <w:type w:val="continuous"/>
        </w:sectPr>
      </w:pPr>
    </w:p>
    <w:p>
      <w:pPr>
        <w:spacing w:after="0" w:line="87" w:lineRule="exact"/>
        <w:rPr>
          <w:sz w:val="20"/>
          <w:szCs w:val="20"/>
          <w:color w:val="auto"/>
        </w:rPr>
      </w:pPr>
    </w:p>
    <w:p>
      <w:pPr>
        <w:ind w:left="600"/>
        <w:spacing w:after="0"/>
        <w:tabs>
          <w:tab w:leader="none" w:pos="5680" w:val="left"/>
          <w:tab w:leader="none" w:pos="5980" w:val="left"/>
          <w:tab w:leader="none" w:pos="6920" w:val="left"/>
          <w:tab w:leader="none" w:pos="8600" w:val="left"/>
          <w:tab w:leader="none" w:pos="9460" w:val="left"/>
          <w:tab w:leader="none" w:pos="1092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tab/>
        <w:t>611,674,000</w:t>
        <w:tab/>
        <w:t>(2)</w:t>
      </w:r>
      <w:r>
        <w:rPr>
          <w:sz w:val="20"/>
          <w:szCs w:val="20"/>
          <w:color w:val="auto"/>
        </w:rPr>
        <w:tab/>
      </w:r>
      <w:r>
        <w:rPr>
          <w:rFonts w:ascii="Arial" w:cs="Arial" w:eastAsia="Arial" w:hAnsi="Arial"/>
          <w:sz w:val="16"/>
          <w:szCs w:val="16"/>
          <w:color w:val="auto"/>
        </w:rPr>
        <w:t>24,190,000</w:t>
        <w:tab/>
        <w:t>(4)</w:t>
      </w:r>
      <w:r>
        <w:rPr>
          <w:sz w:val="20"/>
          <w:szCs w:val="20"/>
          <w:color w:val="auto"/>
        </w:rPr>
        <w:tab/>
      </w:r>
      <w:r>
        <w:rPr>
          <w:rFonts w:ascii="Arial" w:cs="Arial" w:eastAsia="Arial" w:hAnsi="Arial"/>
          <w:sz w:val="15"/>
          <w:szCs w:val="15"/>
          <w:color w:val="auto"/>
        </w:rPr>
        <w:t>2,922</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Credit Ratings are as of March 31, 2018.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March 31, 2018.</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March 31, 2018.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2018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2018 and 2017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62,931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26,184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23,758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income tax (1)</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58,110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real estate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EBITDAre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143,991</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 Gain on sale of real estate and provision for income tax for the three months ended March 31, 2018 primarily relates to condominium sales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-123190</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2019-12-05T05:19:27Z</dcterms:created>
  <dcterms:modified xsi:type="dcterms:W3CDTF">2019-12-05T05:19:27Z</dcterms:modified>
</cp:coreProperties>
</file>