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03, 2023</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Federal Realty OP LP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Submission of Matters to a Vote of Security Holders.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of shareholders of Federal Realty Investment Trust was held on May 3, 2023. The following table sets forth the matters presented for a vote by the shareholders and the voting results with respect to such matters: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Matter</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35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1: Election of Trustees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David W. Faeder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68,246,275</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2,496,048</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230"/>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Elizabeth I. Holland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69,432,517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1,316,491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22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Nicole Y. Lamb-Hale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70,558,575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22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Thomas A. McEachin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70,552,648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193,493</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230"/>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Anthony P. Nader, III</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70,484,049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261,011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229"/>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Gail P. Steinel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68,072,835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2,674,903</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234"/>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Donald C. Wood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70,495,984</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249,692</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44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2: Advisory vote on the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66,615,584</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4,055,767</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105,023</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3,993,626</w:t>
            </w:r>
          </w:p>
        </w:tc>
      </w:tr>
      <w:tr>
        <w:trPr>
          <w:trHeight w:val="180"/>
        </w:trPr>
        <w:tc>
          <w:tcPr>
            <w:tcW w:w="34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compensation of our named executive</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3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4: Advisory vote to amend the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72,887,758</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1,776,947</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80"/>
        </w:trPr>
        <w:tc>
          <w:tcPr>
            <w:tcW w:w="34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Company's Declaration of Trust to</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4"/>
        </w:trPr>
        <w:tc>
          <w:tcPr>
            <w:tcW w:w="3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increase the number of authorized</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3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3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5: Ratification of the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72,308,748</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2,416,432</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44,820</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4"/>
        </w:trPr>
        <w:tc>
          <w:tcPr>
            <w:tcW w:w="34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appointment of Grant Thornton LLP as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ind w:left="20"/>
        <w:spacing w:after="0" w:line="203" w:lineRule="auto"/>
        <w:rPr>
          <w:sz w:val="20"/>
          <w:szCs w:val="20"/>
          <w:color w:val="auto"/>
        </w:rPr>
      </w:pPr>
      <w:r>
        <w:rPr>
          <w:rFonts w:ascii="Times New Roman" w:cs="Times New Roman" w:eastAsia="Times New Roman" w:hAnsi="Times New Roman"/>
          <w:sz w:val="18"/>
          <w:szCs w:val="18"/>
          <w:b w:val="1"/>
          <w:bCs w:val="1"/>
          <w:color w:val="auto"/>
        </w:rPr>
        <w:t>the Trust’s independent registered public</w:t>
      </w:r>
    </w:p>
    <w:p>
      <w:pPr>
        <w:ind w:left="20"/>
        <w:spacing w:after="0" w:line="203" w:lineRule="auto"/>
        <w:rPr>
          <w:sz w:val="20"/>
          <w:szCs w:val="20"/>
          <w:color w:val="auto"/>
        </w:rPr>
      </w:pPr>
      <w:r>
        <w:rPr>
          <w:rFonts w:ascii="Times New Roman" w:cs="Times New Roman" w:eastAsia="Times New Roman" w:hAnsi="Times New Roman"/>
          <w:sz w:val="18"/>
          <w:szCs w:val="18"/>
          <w:b w:val="1"/>
          <w:bCs w:val="1"/>
          <w:color w:val="auto"/>
        </w:rPr>
        <w:t>accounting firm for the year ending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the frequency of the shareholders' advisory vote on compensation of our named executive officers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3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28"/>
        </w:trPr>
        <w:tc>
          <w:tcPr>
            <w:tcW w:w="22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69,062,387</w:t>
            </w:r>
          </w:p>
        </w:tc>
        <w:tc>
          <w:tcPr>
            <w:tcW w:w="100" w:type="dxa"/>
            <w:vAlign w:val="bottom"/>
          </w:tcPr>
          <w:p>
            <w:pPr>
              <w:spacing w:after="0"/>
              <w:rPr>
                <w:sz w:val="19"/>
                <w:szCs w:val="19"/>
                <w:color w:val="auto"/>
              </w:rPr>
            </w:pPr>
          </w:p>
        </w:tc>
        <w:tc>
          <w:tcPr>
            <w:tcW w:w="22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1,620,383</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61,675</w:t>
            </w:r>
          </w:p>
        </w:tc>
        <w:tc>
          <w:tcPr>
            <w:tcW w:w="100" w:type="dxa"/>
            <w:vAlign w:val="bottom"/>
          </w:tcPr>
          <w:p>
            <w:pPr>
              <w:spacing w:after="0"/>
              <w:rPr>
                <w:sz w:val="19"/>
                <w:szCs w:val="19"/>
                <w:color w:val="auto"/>
              </w:rPr>
            </w:pPr>
          </w:p>
        </w:tc>
        <w:tc>
          <w:tcPr>
            <w:tcW w:w="20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3,993,626</w:t>
            </w:r>
          </w:p>
        </w:tc>
      </w:tr>
    </w:tbl>
    <w:p>
      <w:pPr>
        <w:spacing w:after="0" w:line="2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light of the advisory vote described in Proposal 3 above, the Board of Trustees has decided to include the shareholders’ advisory vote on compensation of our named executive officers in our proxy materials on an annual basis until the next advisory vote on the frequency of the shareholder vote on compensation of our named executive officers. In addition, based on the results of the advisory vote described in Proposal 4 above, the Board of Trustees has approved amending the Company’s Amended and Restated Declaration of Trust, as currently in effect, to increase the number of authorized common shares of beneficial interest from 100 million to 200 million, as described in the Company’s definitive proxy statement for the annual meeting, and the Company intends to file an amendment with the Maryland State Department of Assessments and Taxation to effectuate that change.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8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300" w:type="dxa"/>
            <w:vAlign w:val="bottom"/>
          </w:tcPr>
          <w:p>
            <w:pPr>
              <w:spacing w:after="0"/>
              <w:rPr>
                <w:sz w:val="19"/>
                <w:szCs w:val="19"/>
                <w:color w:val="auto"/>
              </w:rPr>
            </w:pPr>
          </w:p>
        </w:tc>
      </w:tr>
      <w:tr>
        <w:trPr>
          <w:trHeight w:val="961"/>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ind w:left="44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88" w:lineRule="exact"/>
        <w:rPr>
          <w:sz w:val="20"/>
          <w:szCs w:val="20"/>
          <w:color w:val="auto"/>
        </w:rPr>
      </w:pPr>
    </w:p>
    <w:p>
      <w:pPr>
        <w:ind w:left="40"/>
        <w:spacing w:after="0"/>
        <w:tabs>
          <w:tab w:leader="none" w:pos="840" w:val="left"/>
          <w:tab w:leader="none" w:pos="4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2023</w:t>
      </w:r>
      <w:r>
        <w:rPr>
          <w:sz w:val="20"/>
          <w:szCs w:val="20"/>
          <w:color w:val="auto"/>
        </w:rPr>
        <w:tab/>
      </w:r>
      <w:r>
        <w:rPr>
          <w:rFonts w:ascii="Times New Roman" w:cs="Times New Roman" w:eastAsia="Times New Roman" w:hAnsi="Times New Roman"/>
          <w:sz w:val="18"/>
          <w:szCs w:val="18"/>
          <w:u w:val="single" w:color="auto"/>
          <w:color w:val="auto"/>
        </w:rPr>
        <w:t>/s/ Dawn M. Becker</w:t>
      </w:r>
    </w:p>
    <w:p>
      <w:pPr>
        <w:spacing w:after="0" w:line="29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0800"/>
      </w:cols>
      <w:pgMar w:left="320" w:top="113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2023-05-05T07:44:28Z</dcterms:created>
  <dcterms:modified xsi:type="dcterms:W3CDTF">2023-05-05T07:44:28Z</dcterms:modified>
</cp:coreProperties>
</file>