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ANNUAL REPORT PURSUANT TO SECTION 13 OR 15 (d) OF</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For Fiscal Year Ended: December 31, 2000 Commission File No. 1-07533</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ind w:left="2080"/>
        <w:spacing w:after="0"/>
        <w:tabs>
          <w:tab w:leader="none" w:pos="464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52-0782497</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tabs>
          <w:tab w:leader="none" w:pos="430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7" w:lineRule="exact"/>
        <w:rPr>
          <w:sz w:val="24"/>
          <w:szCs w:val="24"/>
          <w:color w:val="auto"/>
        </w:rPr>
      </w:pPr>
    </w:p>
    <w:p>
      <w:pPr>
        <w:ind w:left="1040"/>
        <w:spacing w:after="0"/>
        <w:tabs>
          <w:tab w:leader="none" w:pos="4300" w:val="left"/>
        </w:tabs>
        <w:rPr>
          <w:sz w:val="20"/>
          <w:szCs w:val="20"/>
          <w:color w:val="auto"/>
        </w:rPr>
      </w:pPr>
      <w:r>
        <w:rPr>
          <w:rFonts w:ascii="Courier New" w:cs="Courier New" w:eastAsia="Courier New" w:hAnsi="Courier New"/>
          <w:sz w:val="14"/>
          <w:szCs w:val="14"/>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73"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1626 East Jefferson Street, Rockville, Maryland 20852</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tabs>
          <w:tab w:leader="none" w:pos="48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3280" w:hanging="515"/>
        <w:spacing w:after="0"/>
        <w:tabs>
          <w:tab w:leader="none" w:pos="32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Name of Each Exchange</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Title of Each Class</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on Which</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25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Purchase Rights</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7.95% Series A Cumulative Redeemable</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Preferred Shares</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r>
      <w:tr>
        <w:trPr>
          <w:trHeight w:val="331"/>
        </w:trPr>
        <w:tc>
          <w:tcPr>
            <w:tcW w:w="180" w:type="dxa"/>
            <w:vAlign w:val="bottom"/>
          </w:tcPr>
          <w:p>
            <w:pPr>
              <w:spacing w:after="0"/>
              <w:rPr>
                <w:sz w:val="24"/>
                <w:szCs w:val="24"/>
                <w:color w:val="auto"/>
              </w:rPr>
            </w:pPr>
          </w:p>
        </w:tc>
        <w:tc>
          <w:tcPr>
            <w:tcW w:w="6200" w:type="dxa"/>
            <w:vAlign w:val="bottom"/>
            <w:gridSpan w:val="4"/>
          </w:tcPr>
          <w:p>
            <w:pPr>
              <w:jc w:val="right"/>
              <w:ind w:right="348"/>
              <w:spacing w:after="0"/>
              <w:rPr>
                <w:sz w:val="20"/>
                <w:szCs w:val="20"/>
                <w:color w:val="auto"/>
              </w:rPr>
            </w:pPr>
            <w:r>
              <w:rPr>
                <w:rFonts w:ascii="Courier New" w:cs="Courier New" w:eastAsia="Courier New" w:hAnsi="Courier New"/>
                <w:sz w:val="14"/>
                <w:szCs w:val="14"/>
                <w:color w:val="auto"/>
              </w:rPr>
              <w:t>Securities registered pursuant to Section 12(g) of the Act:</w:t>
            </w:r>
          </w:p>
        </w:tc>
      </w:tr>
      <w:tr>
        <w:trPr>
          <w:trHeight w:val="331"/>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6 5/8% Senior Notes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Medium-Term</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7.48% Senior Debentures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Medium-Term</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8 7/8% Senior Notes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Medium-Term</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8%</w:t>
            </w:r>
          </w:p>
        </w:tc>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Senior Notes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Notes</w:t>
            </w:r>
          </w:p>
        </w:tc>
        <w:tc>
          <w:tcPr>
            <w:tcW w:w="150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Subordinated Debt Securities*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6380" w:type="dxa"/>
            <w:vAlign w:val="bottom"/>
            <w:gridSpan w:val="5"/>
          </w:tcPr>
          <w:p>
            <w:pPr>
              <w:spacing w:after="0"/>
              <w:rPr>
                <w:sz w:val="20"/>
                <w:szCs w:val="20"/>
                <w:color w:val="auto"/>
              </w:rPr>
            </w:pPr>
            <w:r>
              <w:rPr>
                <w:rFonts w:ascii="Courier New" w:cs="Courier New" w:eastAsia="Courier New" w:hAnsi="Courier New"/>
                <w:sz w:val="14"/>
                <w:szCs w:val="14"/>
                <w:color w:val="auto"/>
              </w:rPr>
              <w:t>* None issued, registered pursuant to a shelf registration</w:t>
            </w:r>
          </w:p>
        </w:tc>
      </w:tr>
      <w:tr>
        <w:trPr>
          <w:trHeight w:val="331"/>
        </w:trPr>
        <w:tc>
          <w:tcPr>
            <w:tcW w:w="180" w:type="dxa"/>
            <w:vAlign w:val="bottom"/>
          </w:tcPr>
          <w:p>
            <w:pPr>
              <w:spacing w:after="0"/>
              <w:rPr>
                <w:sz w:val="24"/>
                <w:szCs w:val="24"/>
                <w:color w:val="auto"/>
              </w:rPr>
            </w:pPr>
          </w:p>
        </w:tc>
        <w:tc>
          <w:tcPr>
            <w:tcW w:w="4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Indicate by check mark whether the registrant (1) has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filed all reports</w:t>
            </w:r>
          </w:p>
        </w:tc>
      </w:tr>
    </w:tbl>
    <w:p>
      <w:pPr>
        <w:spacing w:after="0" w:line="4" w:lineRule="exact"/>
        <w:rPr>
          <w:sz w:val="24"/>
          <w:szCs w:val="24"/>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required to be filed by Section 13 or 15(d) of the Securities Exchange Act of 1934 during the preceding 12 months (or for such shorter period that the registrant was required to file such reports), and (2) has been subject to such filing requirements for the past 90 days. Yes x No ___.</w:t>
      </w:r>
    </w:p>
    <w:p>
      <w:pPr>
        <w:spacing w:after="0" w:line="2" w:lineRule="exact"/>
        <w:rPr>
          <w:sz w:val="24"/>
          <w:szCs w:val="24"/>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At March 9, 2001, the aggregate market value of Common Shares of Beneficial Interest of Federal Realty Investment Trust held by nonaffiliates was $793.5 million based upon the closing price of such Shares on the New York Stock Exchange.</w:t>
      </w:r>
    </w:p>
    <w:p>
      <w:pPr>
        <w:spacing w:after="0" w:line="162" w:lineRule="exact"/>
        <w:rPr>
          <w:sz w:val="24"/>
          <w:szCs w:val="24"/>
          <w:color w:val="auto"/>
        </w:rPr>
      </w:pPr>
    </w:p>
    <w:p>
      <w:pPr>
        <w:ind w:right="3419" w:firstLine="258"/>
        <w:spacing w:after="0" w:line="255"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w:t>
      </w:r>
    </w:p>
    <w:p>
      <w:pPr>
        <w:sectPr>
          <w:pgSz w:w="11900" w:h="16838" w:orient="portrait"/>
          <w:cols w:equalWidth="0" w:num="1">
            <w:col w:w="10239"/>
          </w:cols>
          <w:pgMar w:left="220" w:top="561" w:right="1440" w:bottom="1440" w:gutter="0" w:footer="0" w:header="0"/>
        </w:sectPr>
      </w:pP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March 9, 2001</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39,573,814</w:t>
      </w:r>
    </w:p>
    <w:p>
      <w:pPr>
        <w:sectPr>
          <w:pgSz w:w="11900" w:h="16838" w:orient="portrait"/>
          <w:cols w:equalWidth="0" w:num="2">
            <w:col w:w="3100" w:space="260"/>
            <w:col w:w="6879"/>
          </w:cols>
          <w:pgMar w:left="220" w:top="561" w:right="1440" w:bottom="1440" w:gutter="0" w:footer="0" w:header="0"/>
          <w:type w:val="continuous"/>
        </w:sectPr>
      </w:pPr>
    </w:p>
    <w:bookmarkStart w:id="1" w:name="page2"/>
    <w:bookmarkEnd w:id="1"/>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859"/>
        <w:spacing w:after="0" w:line="252" w:lineRule="auto"/>
        <w:rPr>
          <w:sz w:val="20"/>
          <w:szCs w:val="20"/>
          <w:color w:val="auto"/>
        </w:rPr>
      </w:pPr>
      <w:r>
        <w:rPr>
          <w:rFonts w:ascii="Courier New" w:cs="Courier New" w:eastAsia="Courier New" w:hAnsi="Courier New"/>
          <w:sz w:val="14"/>
          <w:szCs w:val="14"/>
          <w:color w:val="auto"/>
        </w:rPr>
        <w:t>Portions of the Trust's Proxy Statement in connection with its Annual Meeting to be held on May 2, 2001 (hereinafter called "2001 Proxy Statement") are incorporated herein by reference.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 &amp;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DISCLOSURE REGARDING FORWARD-LOOKING STATEMENTS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changes in our business strategy;</w:t>
      </w:r>
    </w:p>
    <w:p>
      <w:pPr>
        <w:spacing w:after="0" w:line="7" w:lineRule="exact"/>
        <w:rPr>
          <w:sz w:val="20"/>
          <w:szCs w:val="20"/>
          <w:color w:val="auto"/>
        </w:rPr>
      </w:pPr>
    </w:p>
    <w:p>
      <w:pPr>
        <w:ind w:left="440" w:right="3859" w:hanging="173"/>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business conditions which will affect the credit worthiness of tenants;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financing availability and cost;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retailing trends and rental rates;</w:t>
      </w:r>
    </w:p>
    <w:p>
      <w:pPr>
        <w:spacing w:after="0" w:line="7" w:lineRule="exact"/>
        <w:rPr>
          <w:sz w:val="20"/>
          <w:szCs w:val="20"/>
          <w:color w:val="auto"/>
        </w:rPr>
      </w:pPr>
    </w:p>
    <w:p>
      <w:pPr>
        <w:ind w:left="440" w:right="3419" w:hanging="173"/>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of real estate development and acquisitions, including the risk that potential acquisitions or development projects may not perform in accordance with expectations;</w:t>
      </w:r>
    </w:p>
    <w:p>
      <w:pPr>
        <w:spacing w:after="0" w:line="1" w:lineRule="exact"/>
        <w:rPr>
          <w:sz w:val="20"/>
          <w:szCs w:val="20"/>
          <w:color w:val="auto"/>
        </w:rPr>
      </w:pPr>
    </w:p>
    <w:p>
      <w:pPr>
        <w:ind w:left="440" w:right="3339" w:hanging="173"/>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satisfy the complex rules in order to qualify for taxation as a REIT for federal income tax purposes and to operate effectively within the limitations imposed by these rules;</w:t>
      </w:r>
    </w:p>
    <w:p>
      <w:pPr>
        <w:spacing w:after="0" w:line="1" w:lineRule="exact"/>
        <w:rPr>
          <w:sz w:val="20"/>
          <w:szCs w:val="20"/>
          <w:color w:val="auto"/>
        </w:rPr>
      </w:pPr>
    </w:p>
    <w:p>
      <w:pPr>
        <w:ind w:left="440" w:right="3419" w:hanging="173"/>
        <w:spacing w:after="0" w:line="250"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approvals, actions and initiatives including the need for compliance with environmental and safety requirements, and changes in laws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regulations or the interpretation thereof; and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competition with other real estate companies and technology.</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4" w:lineRule="exact"/>
        <w:rPr>
          <w:sz w:val="20"/>
          <w:szCs w:val="20"/>
          <w:color w:val="auto"/>
        </w:rPr>
      </w:pPr>
    </w:p>
    <w:p>
      <w:pPr>
        <w:ind w:left="180"/>
        <w:spacing w:after="0"/>
        <w:tabs>
          <w:tab w:leader="none" w:pos="940" w:val="left"/>
        </w:tabs>
        <w:rPr>
          <w:sz w:val="20"/>
          <w:szCs w:val="20"/>
          <w:color w:val="auto"/>
        </w:rPr>
      </w:pPr>
      <w:r>
        <w:rPr>
          <w:rFonts w:ascii="Courier New" w:cs="Courier New" w:eastAsia="Courier New" w:hAnsi="Courier New"/>
          <w:sz w:val="14"/>
          <w:szCs w:val="14"/>
          <w:color w:val="auto"/>
        </w:rPr>
        <w:t>Item 1.</w:t>
        <w:tab/>
        <w:t>Business</w:t>
      </w:r>
    </w:p>
    <w:p>
      <w:pPr>
        <w:spacing w:after="0" w:line="7" w:lineRule="exact"/>
        <w:rPr>
          <w:sz w:val="20"/>
          <w:szCs w:val="20"/>
          <w:color w:val="auto"/>
        </w:rPr>
      </w:pPr>
    </w:p>
    <w:p>
      <w:pPr>
        <w:ind w:left="180"/>
        <w:spacing w:after="0"/>
        <w:tabs>
          <w:tab w:leader="none" w:pos="940" w:val="left"/>
        </w:tabs>
        <w:rPr>
          <w:sz w:val="20"/>
          <w:szCs w:val="20"/>
          <w:color w:val="auto"/>
        </w:rPr>
      </w:pPr>
      <w:r>
        <w:rPr>
          <w:rFonts w:ascii="Courier New" w:cs="Courier New" w:eastAsia="Courier New" w:hAnsi="Courier New"/>
          <w:sz w:val="14"/>
          <w:szCs w:val="14"/>
          <w:color w:val="auto"/>
        </w:rPr>
        <w:t>-------</w:t>
        <w:tab/>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Federal Realty Investment Trust (the "Trust") is engaged in the ownership, management, development and redevelopment of prime retail and mixed-use properties. Founded in 1962, the Trust is a self-administered equity real estate investment trust. The Trust, which had been founded as a District of Columbia business trust, re-organized as a Maryland real estate investment trust in May, 1999 by amending and restating its declaration of trust and bylaws. The Trust consolidates the financial statements of various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519"/>
        <w:spacing w:after="0" w:line="255" w:lineRule="auto"/>
        <w:rPr>
          <w:sz w:val="20"/>
          <w:szCs w:val="20"/>
          <w:color w:val="auto"/>
        </w:rPr>
      </w:pPr>
      <w:r>
        <w:rPr>
          <w:rFonts w:ascii="Courier New" w:cs="Courier New" w:eastAsia="Courier New" w:hAnsi="Courier New"/>
          <w:sz w:val="14"/>
          <w:szCs w:val="14"/>
          <w:color w:val="auto"/>
        </w:rPr>
        <w:t>entities which it controls. At December 31, 2000 the Trust owned 123 retail or mixed-use properties and one apartment complex.</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(REIT) for federal income tax purposes. A REIT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 Beginning in 2001, the distribution requirement for a REIT was lowered from 95% to 90% of its taxable income.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 important part of the Trust's strategy has been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the Trust expanded its investment strategy to include shopping centers and retail and mixed-use buildings in prime established main street shopping areas. In addition, since 1997 the Trust has obtained control of various land parcels for the purpose of developing urban mixed-use projects that center around the retail component. The Trust believes that these mixed-use developments are an important source of future growth.</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Trust's diversification from being solely a company focused on acquiring and renovating grocery anchored shopping centers to also being a developer of mixed-use urban properties involves substantial risks, many of which are not entirely within the Trust's control. These factors include among others, the ability to obtain financing, interest rates, the ability to construct at reasonable prices, the demand for retail, residential and office space in the Trust's markets, zoning laws, government regulations and the overall economy. The Trust believes that the geographically desirable locations of these mixed-use urban properties will make these successful projects and positive contributors to the underlying net asset value of the Trust.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 continually evaluates its properties for renovation, retenanting and expansion opportunities. Similarly, the Trust regularly reviews its portfolio and from time to time considers selling properties that no longer fit the Trust's investment criteria and therefore should be monetized or exchanged into other real estate assets. Proceeds from the sale of such properties may be used either to acquire other properties, fund the Trust's current development pipeline or, in 2000 and 1999, to repurchase the Trust's common shares.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339" w:firstLine="431"/>
        <w:spacing w:after="0" w:line="251" w:lineRule="auto"/>
        <w:rPr>
          <w:sz w:val="20"/>
          <w:szCs w:val="20"/>
          <w:color w:val="auto"/>
        </w:rPr>
      </w:pPr>
      <w:r>
        <w:rPr>
          <w:rFonts w:ascii="Courier New" w:cs="Courier New" w:eastAsia="Courier New" w:hAnsi="Courier New"/>
          <w:sz w:val="14"/>
          <w:szCs w:val="14"/>
          <w:color w:val="auto"/>
        </w:rPr>
        <w:t>The Trust's portfolio of properties has grown from 71 as of January 1, 1996 to 124 at December 31, 2000. During this five year period the Trust acquired 59 retail properties for approximately $554 million. During this same period six shopping centers were sold. Also during this period the Trust spent over $424 million to develop, renovate, expand, improve and retenant its properties.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December 31, 2000 the Trust has invested $162 million in development in progress of three projects. During 2001 and 2002, the Trust estimates that it will spend $258 million and $161 million, respectively, to complete these three projects, which are located in Bethesda, Maryland, Arlington, Virginia and San Jose, California. Additional projects, which are in various stages of predevelopment, may also begin construction in 2001 and 2002.</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the Trust usually purchases a 100% fee interest in its acquisitions, on occasion, it has entered into leases as a means of acquiring control of properties. In addition, the Trust has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Trust common shares and may be convertible into common shares of the Trust. The majority of acquisitions are funded with cash, but, on occasion, debt financing is used. Since a significant portion of cash provided by operating activities is distributed to common and preferred shareholders, capital outlays for acquisitions, developments and redevelopments typically require debt or equity funding.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Trust's 124 properties are located in fifteen states and the District of Columbia. Twenty-six of the properties are located in the Washington, D.C. metropolitan area; twenty-four are in California; fourteen are in Connecticut; eleven are in Texas; ten are in Pennsylvania, primarily in the Philadelphia area; ten are in New Jersey; eight are in New York; seven are in Illinois; four are in Massachusetts; three are in central Virginia; two are in Florida; two are in Arizona; and there is one in each of the following states: Michigan, North Carolina and Oregon. No single property accounts for over 10% of the Trust's revenues.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 As a result the Trust has divided its portfolio of properties into three operating regions: the Northeast, Mid-Atlantic and West. Each region is operated under the direction of a regional chief operating officer, with dedicated leasing, property management and financial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679"/>
        <w:spacing w:after="0" w:line="252" w:lineRule="auto"/>
        <w:rPr>
          <w:sz w:val="20"/>
          <w:szCs w:val="20"/>
          <w:color w:val="auto"/>
        </w:rPr>
      </w:pPr>
      <w:r>
        <w:rPr>
          <w:rFonts w:ascii="Courier New" w:cs="Courier New" w:eastAsia="Courier New" w:hAnsi="Courier New"/>
          <w:sz w:val="14"/>
          <w:szCs w:val="14"/>
          <w:color w:val="auto"/>
        </w:rPr>
        <w:t>staff and operates largely autonomously with respect to day to day operating decisions. (See "Segment Results" in Item 7, Management's Discussion and Analysis of Financial Condition and Results of Operations for a further discussion of the segments and their results.)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has approximately 2,100 tenants, ranging from sole proprietors to major national retailers; no one tenant or corporate group of tenants accounts for more than 2.1% of revenue. The Trust's leases with these tenants are classified as operating leases and typically are structured to include minimum rents, percentage rents based on tenants' gross sales volumes and reimbursement of certain operating expenses and real estate taxes.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continues to seek older, well-located shopping centers and street retail projects to acquire, renovate, retenant and remerchandise, thereby enhancing their revenue potential. The Trust also continues to identify and secure additional sites for new development of urban mixed-use properties. During each of the years ended December 31, 2000, 1999 and 1998, retail or mixed-use properties have contributed 96% of the Trust's total revenue.</w:t>
      </w:r>
    </w:p>
    <w:p>
      <w:pPr>
        <w:spacing w:after="0" w:line="164"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success of the Trust is subject to various risks, including risks associated with changing economic conditions that affect the real estate industry as a whole. Such risks include the following:</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competition from other retail properties and developers;</w:t>
      </w:r>
    </w:p>
    <w:p>
      <w:pPr>
        <w:spacing w:after="0" w:line="7" w:lineRule="exact"/>
        <w:rPr>
          <w:sz w:val="20"/>
          <w:szCs w:val="20"/>
          <w:color w:val="auto"/>
        </w:rPr>
      </w:pPr>
    </w:p>
    <w:p>
      <w:pPr>
        <w:jc w:val="both"/>
        <w:ind w:left="440" w:right="3599" w:hanging="173"/>
        <w:spacing w:after="0" w:line="250"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excessive building of comparable properties or increased unemployment in the areas in which its properties are located which may adversely affect occupancy levels or rental rates;</w:t>
      </w:r>
    </w:p>
    <w:p>
      <w:pPr>
        <w:spacing w:after="0" w:line="1" w:lineRule="exact"/>
        <w:rPr>
          <w:sz w:val="20"/>
          <w:szCs w:val="20"/>
          <w:color w:val="auto"/>
        </w:rPr>
      </w:pPr>
    </w:p>
    <w:p>
      <w:pPr>
        <w:ind w:left="440" w:right="3779" w:hanging="173"/>
        <w:spacing w:after="0" w:line="250"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operating costs due to inflation and other factors, which increases may not necessarily be offset by increased rents;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inability or unwillingness of tenants to pay rent increases;</w:t>
      </w:r>
    </w:p>
    <w:p>
      <w:pPr>
        <w:spacing w:after="0" w:line="7" w:lineRule="exact"/>
        <w:rPr>
          <w:sz w:val="20"/>
          <w:szCs w:val="20"/>
          <w:color w:val="auto"/>
        </w:rPr>
      </w:pPr>
    </w:p>
    <w:p>
      <w:pPr>
        <w:ind w:left="440" w:right="3419" w:hanging="173"/>
        <w:spacing w:after="0" w:line="250"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general economic conditions or consumer preferences that affect its tenants or that result in the merger, closing or relocation of its tenants;</w:t>
      </w:r>
    </w:p>
    <w:p>
      <w:pPr>
        <w:spacing w:after="0" w:line="1" w:lineRule="exact"/>
        <w:rPr>
          <w:sz w:val="20"/>
          <w:szCs w:val="20"/>
          <w:color w:val="auto"/>
        </w:rPr>
      </w:pPr>
    </w:p>
    <w:p>
      <w:pPr>
        <w:ind w:left="440" w:right="3599" w:hanging="173"/>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by local rental markets of the extent to which rents may be increased to meet increased expenses without decreasing occupancy rates;</w:t>
      </w:r>
    </w:p>
    <w:p>
      <w:pPr>
        <w:spacing w:after="0" w:line="1" w:lineRule="exact"/>
        <w:rPr>
          <w:sz w:val="20"/>
          <w:szCs w:val="20"/>
          <w:color w:val="auto"/>
        </w:rPr>
      </w:pPr>
    </w:p>
    <w:p>
      <w:pPr>
        <w:ind w:left="440" w:right="3599" w:hanging="173"/>
        <w:spacing w:after="0" w:line="250"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enactment of laws regulating public places, including present and possible future laws relating to access by disabled persons;</w:t>
      </w:r>
    </w:p>
    <w:p>
      <w:pPr>
        <w:spacing w:after="0" w:line="1" w:lineRule="exact"/>
        <w:rPr>
          <w:sz w:val="20"/>
          <w:szCs w:val="20"/>
          <w:color w:val="auto"/>
        </w:rPr>
      </w:pPr>
    </w:p>
    <w:p>
      <w:pPr>
        <w:ind w:left="440" w:right="3679" w:hanging="173"/>
        <w:spacing w:after="0" w:line="250"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relating to leverage, including the ability to finance its development pipeline and to refinance its indebtedness, and the risk of higher interest rates;</w:t>
      </w:r>
    </w:p>
    <w:p>
      <w:pPr>
        <w:spacing w:after="0" w:line="1" w:lineRule="exact"/>
        <w:rPr>
          <w:sz w:val="20"/>
          <w:szCs w:val="20"/>
          <w:color w:val="auto"/>
        </w:rPr>
      </w:pPr>
    </w:p>
    <w:p>
      <w:pPr>
        <w:ind w:left="440" w:hanging="17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unsuccessful development activities which could reduce cash flow;</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uninsured losses; and</w:t>
      </w:r>
    </w:p>
    <w:p>
      <w:pPr>
        <w:spacing w:after="0" w:line="7" w:lineRule="exact"/>
        <w:rPr>
          <w:rFonts w:ascii="Courier New" w:cs="Courier New" w:eastAsia="Courier New" w:hAnsi="Courier New"/>
          <w:sz w:val="14"/>
          <w:szCs w:val="14"/>
          <w:color w:val="auto"/>
        </w:rPr>
      </w:pPr>
    </w:p>
    <w:p>
      <w:pPr>
        <w:ind w:left="440" w:right="3519" w:hanging="173"/>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not meeting the requirements under the REIT provisions of the Internal Revenue Code.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ind w:left="440"/>
        <w:spacing w:after="0"/>
        <w:rPr>
          <w:sz w:val="20"/>
          <w:szCs w:val="20"/>
          <w:color w:val="auto"/>
        </w:rPr>
      </w:pPr>
      <w:r>
        <w:rPr>
          <w:rFonts w:ascii="Courier New" w:cs="Courier New" w:eastAsia="Courier New" w:hAnsi="Courier New"/>
          <w:sz w:val="14"/>
          <w:szCs w:val="14"/>
          <w:color w:val="auto"/>
        </w:rPr>
        <w:t>Investments in real property create a potential for environmental liability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part of the current and previous owners of, or any mortgage lender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real property. If hazardous substances are discovered on or emanating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property, the owner or operator of the property may be held liable for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liabilities relating to such hazardous substances. The Trust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insurance on most of its properties. Subject to certain exclusions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deductibles, the insurance provides coverage for unidentified, pre-existing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and for future contamination caused by tenants and third parties.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Trust's current policy is to require an environmental study on each property 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seeks to acquire. On recent acquisitions, any substances identified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which are required, by applicable laws, to be remediated have been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in the process of investigation and remediation. Costs related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abatement of asbestos which increase the value of Trust properties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Other costs are expensed. In 2000 and 1999 approximately $1,453,000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$952,000, respectively, was spent on environmental matters, of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$464,000 and $654,000, respectively, was capitalized abatement costs.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budgeted approximately $800,000 in 2001 for environmental matters,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majority of which is projected for asbestos abatement.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Developments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2000 improvements to properties totaled $153.1 million, including $82.1 million on development projects in Bethesda, Maryland; San Jose, California; and Arlington, Virginia. Construction of Woodmont East in Bethesda, Maryland neared completion with the first tenant opening in December 2000 and subsequent openings scheduled in 2001. In November 2000 construction began on the $475 million Phase 1 of Santana Row, a multi-phased mixed-use project to be built on 42 acres in San Jose, California. Santana Row Phase 1 is expected to begin generating revenues in mid-2002 and be stabilized during 2003. Construction also began on the $74 million Pentagon Row project in Arlington, Virginia with a phased-in completion expected throughout 2001.</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Real estate acquisitions totaling $26.8 million were made in 2000. Such acquisitions consisted of two parcels of land held for future development in Hillsboro, Oregon and Bethesda, Maryland along with three small retail properties. Additionally, in connection with the purchase of the limited partnership interest in Loehmann's Plaza the Trust expended $3.0 million.</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Trust invested $5.7 million in mortgage notes receivable with an average weighted interest rate of 10.0%, with $6.2 million of notes being repaid. Peninsula Shopping Center in Palos Verdes, California was sold in June 2000 for $48.6 million, resulting in a gain of $3.7 million.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December 1999, the Trustees authorized a share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ind w:left="260" w:right="3339"/>
        <w:spacing w:after="0" w:line="253" w:lineRule="auto"/>
        <w:rPr>
          <w:sz w:val="20"/>
          <w:szCs w:val="20"/>
          <w:color w:val="auto"/>
        </w:rPr>
      </w:pPr>
      <w:r>
        <w:rPr>
          <w:rFonts w:ascii="Courier New" w:cs="Courier New" w:eastAsia="Courier New" w:hAnsi="Courier New"/>
          <w:sz w:val="14"/>
          <w:szCs w:val="14"/>
          <w:color w:val="auto"/>
        </w:rPr>
        <w:t>repurchase program for calendar year 2000 of up to an aggregate of 4 million of the Trust's common shares. A total of 1,325,900 shares were repurchased, at a cost of $25.2 million. The Trust does not expect to repurchase shares in 2001.</w:t>
      </w:r>
    </w:p>
    <w:p>
      <w:pPr>
        <w:spacing w:after="0" w:line="327" w:lineRule="exact"/>
        <w:rPr>
          <w:sz w:val="20"/>
          <w:szCs w:val="20"/>
          <w:color w:val="auto"/>
        </w:rPr>
      </w:pPr>
    </w:p>
    <w:p>
      <w:pPr>
        <w:ind w:left="260" w:right="3339" w:firstLine="344"/>
        <w:spacing w:after="0" w:line="251" w:lineRule="auto"/>
        <w:rPr>
          <w:sz w:val="20"/>
          <w:szCs w:val="20"/>
          <w:color w:val="auto"/>
        </w:rPr>
      </w:pPr>
      <w:r>
        <w:rPr>
          <w:rFonts w:ascii="Courier New" w:cs="Courier New" w:eastAsia="Courier New" w:hAnsi="Courier New"/>
          <w:sz w:val="14"/>
          <w:szCs w:val="14"/>
          <w:color w:val="auto"/>
        </w:rPr>
        <w:t>The Trust utilized its syndicated credit facility to fund these acquisitions, capital expenditures and share repurchases. Repayments on the syndicated credit facility were made from the proceeds of the sale of Peninsula Shopping Center as well as the placement, on October 23, 2000, of a $152 million mortgage loan, which is secured by five shopping centers.</w:t>
      </w:r>
    </w:p>
    <w:p>
      <w:pPr>
        <w:spacing w:after="0" w:line="165" w:lineRule="exact"/>
        <w:rPr>
          <w:sz w:val="20"/>
          <w:szCs w:val="20"/>
          <w:color w:val="auto"/>
        </w:rPr>
      </w:pPr>
    </w:p>
    <w:p>
      <w:pPr>
        <w:ind w:left="260" w:right="3339" w:firstLine="344"/>
        <w:spacing w:after="0" w:line="252" w:lineRule="auto"/>
        <w:rPr>
          <w:sz w:val="20"/>
          <w:szCs w:val="20"/>
          <w:color w:val="auto"/>
        </w:rPr>
      </w:pPr>
      <w:r>
        <w:rPr>
          <w:rFonts w:ascii="Courier New" w:cs="Courier New" w:eastAsia="Courier New" w:hAnsi="Courier New"/>
          <w:sz w:val="14"/>
          <w:szCs w:val="14"/>
          <w:color w:val="auto"/>
        </w:rPr>
        <w:t>In June 2000, the Trust modified certain covenants and extended its syndicated credit facility and its $125 million term loan for an additional year to December 19, 2003. Fees paid for this extension totaled $1.0 million.</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At December 31, 2000 the Trust had 230 full-time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Executive Officers at December 31, 2000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Age</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Position with Trust</w:t>
            </w:r>
          </w:p>
        </w:tc>
      </w:tr>
      <w:tr>
        <w:trPr>
          <w:trHeight w:val="166"/>
        </w:trPr>
        <w:tc>
          <w:tcPr>
            <w:tcW w:w="19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Chairman of the Board and Chief</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Executive Officer, effective</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February 14, 2001. Previously,</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President and Chief Executive</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Nancy J. Herman</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Senior Vice President, General</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Counsel and Secretary</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Ron D. Kaplan</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Senior Vice President-Capital</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Markets, Chief Investment Officer</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Vice President-Chief Financial</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Officer and Treasurer</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President and Chief Operating</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Officer, effective February 14,</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2001. Previously, Senior Vice</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President - Chief Operating</w:t>
            </w:r>
          </w:p>
        </w:tc>
      </w:tr>
      <w:tr>
        <w:trPr>
          <w:trHeight w:val="166"/>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Officer</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Steven J. Guttman has been the Trust's President and Chief Executive Officer since April 1980. On February 14, 2001 Mr. Guttman was appointed Chairman of the Board and Chief Executive Officer. Mr. Guttman has been associated with the Trust since 1972, became Chief Operating Officer in 1975 and became a Managing Trustee in 1979.</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Nancy J. Herman became the Trust's Vice President, General Counsel and Secretary on December 21, 1998 and was appointed Senior Vice President on July 1, 2000. In this position, Ms. Herman has overall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jc w:val="both"/>
        <w:ind w:right="3679"/>
        <w:spacing w:after="0" w:line="252" w:lineRule="auto"/>
        <w:rPr>
          <w:sz w:val="20"/>
          <w:szCs w:val="20"/>
          <w:color w:val="auto"/>
        </w:rPr>
      </w:pPr>
      <w:r>
        <w:rPr>
          <w:rFonts w:ascii="Courier New" w:cs="Courier New" w:eastAsia="Courier New" w:hAnsi="Courier New"/>
          <w:sz w:val="14"/>
          <w:szCs w:val="14"/>
          <w:color w:val="auto"/>
        </w:rPr>
        <w:t>responsibility for the Trust's legal affairs and human resources. Ms. Herman joined the Trust in 1990 as a staff attorney. Prior to joining the Trust in 1990, Ms. Herman practiced real estate law at Hogan &amp; Hartson L.L.P.</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Ron D. Kaplan joined the Trust in November 1992 as Senior Vice President-Capital Markets. Mr. Kaplan was formerly a Vice President of Salomon Brothers Inc where he was responsible for capital raising and financial advisory services for public and private real estate companies. While at Salomon Brothers which he joined in 1985, he participated in two of the Trust's debt offerings.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Cecily A. Ward was appointed Vice President - Controller and Treasurer on December 16, 1999. On February 9, 2000 Ms. Ward was appointed Vice President - Chief Financial Officer and Treasurer. Ms. Ward joined the Trust in April 1987 as Controller. Prior to joining the Trust, Ms. Ward, a certified public accountant, was employed by Grant Thornton LLP, the Trust's independent accountants at that time.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Donald C. Wood was appointed President and Chief Operating Officer on February 14, 2001. Since December 16, 1999 Mr. Wood served as Senior Vice President - Chief Operating Officer and Chief Financial Officer. Mr. Wood joined the Trust in May 1998 as Senior Vice President, Chief Financial Officer and Treasurer. Prior to joining the Trust, Mr. Wood was Senior Vice President and Chief Financial Officer for Caesars World, Inc., a wholly-owned subsidiary of ITT Corporation, where he was responsible for all aspects of finance throughout the company including strategic planning, process re-engineering, capital allocation and financial analysis. Prior to joining ITT in 1990, Mr. Wood was employed at Arthur Andersen LLP from 1982 where he served in numerous positions including audit manager.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ind w:left="440" w:right="4560" w:hanging="257"/>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each retail property in which the Trust owns an equity interest or has a leasehold interest as of December 31, 2000. Except as otherwise noted, retail properties are 100% owned in fee by the Trust.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Year</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Occupancy (1)</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Completed Acquired Square Feet (2)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Tenants</w:t>
            </w:r>
          </w:p>
        </w:tc>
        <w:tc>
          <w:tcPr>
            <w:tcW w:w="25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Acres (3) Overall / Economic</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gridSpan w:val="8"/>
          </w:tcPr>
          <w:p>
            <w:pPr>
              <w:ind w:left="1020"/>
              <w:spacing w:after="0"/>
              <w:rPr>
                <w:sz w:val="20"/>
                <w:szCs w:val="20"/>
                <w:color w:val="auto"/>
              </w:rPr>
            </w:pPr>
            <w:r>
              <w:rPr>
                <w:rFonts w:ascii="Courier New" w:cs="Courier New" w:eastAsia="Courier New" w:hAnsi="Courier New"/>
                <w:sz w:val="14"/>
                <w:szCs w:val="14"/>
                <w:color w:val="auto"/>
              </w:rPr>
              <w:t>--------- -------- --------------- --------- --------- ------------------</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1958</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Grand Union</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Mandee Shop</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1953</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259,000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 19128</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Andorra Theater</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Kohl's</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1955</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Bala Cynwyd, PA 19004</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Lord &amp; Taylor</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1959</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403,000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Kohl's</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Watchung, NJ 07060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Michael's</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1958</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1989</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409,000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A&amp;P Supermarket</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Brick Township, NJ 08723</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Barnes &amp; Noble</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Sony Theatres</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Sports Authority</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1959</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Bradlees</w:t>
            </w:r>
          </w:p>
        </w:tc>
      </w:tr>
      <w:tr>
        <w:trPr>
          <w:trHeight w:val="166"/>
        </w:trPr>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Bristol, CT 06010</w:t>
            </w: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Super Stop &amp; Shop</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1957</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A&amp;P Supermarket</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North Brunswick, NJ 08902</w:t>
            </w: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(4)  (11)</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Ames</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1959</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1988</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Drug Fair</w:t>
            </w:r>
          </w:p>
        </w:tc>
      </w:tr>
      <w:tr>
        <w:trPr>
          <w:trHeight w:val="166"/>
        </w:trPr>
        <w:tc>
          <w:tcPr>
            <w:tcW w:w="1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Dollar Express</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1959</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Comp USA</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Highland Park, IL 60035</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Golfsmith</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1959</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Ames</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Dedham, MA 02026</w:t>
            </w: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Pier One Imports</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1959</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1992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Cherry Hill, NJ 08034</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52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Courier New" w:cs="Courier New" w:eastAsia="Courier New" w:hAnsi="Courier New"/>
                <w:sz w:val="14"/>
                <w:szCs w:val="14"/>
                <w:color w:val="auto"/>
              </w:rPr>
              <w:t>1958</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1980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116,000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Genuardi Markets</w:t>
            </w:r>
          </w:p>
        </w:tc>
      </w:tr>
      <w:tr>
        <w:trPr>
          <w:trHeight w:val="166"/>
        </w:trPr>
        <w:tc>
          <w:tcPr>
            <w:tcW w:w="2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Feasterville, PA 19047</w:t>
            </w: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Office Max</w:t>
            </w:r>
          </w:p>
        </w:tc>
      </w:tr>
      <w:tr>
        <w:trPr>
          <w:trHeight w:val="497"/>
        </w:trPr>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ind w:left="1020"/>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380"/>
          </w:cols>
          <w:pgMar w:left="220" w:top="616" w:right="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Year</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940" w:type="dxa"/>
            <w:vAlign w:val="bottom"/>
          </w:tcPr>
          <w:p>
            <w:pPr>
              <w:spacing w:after="0"/>
              <w:rPr>
                <w:sz w:val="14"/>
                <w:szCs w:val="14"/>
                <w:color w:val="auto"/>
              </w:rPr>
            </w:pPr>
          </w:p>
        </w:tc>
        <w:tc>
          <w:tcPr>
            <w:tcW w:w="172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Occupancy (1)</w:t>
            </w:r>
          </w:p>
        </w:tc>
        <w:tc>
          <w:tcPr>
            <w:tcW w:w="1820" w:type="dxa"/>
            <w:vAlign w:val="bottom"/>
          </w:tcPr>
          <w:p>
            <w:pPr>
              <w:ind w:left="44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900" w:type="dxa"/>
            <w:vAlign w:val="bottom"/>
          </w:tcPr>
          <w:p>
            <w:pPr>
              <w:spacing w:after="0"/>
              <w:rPr>
                <w:sz w:val="14"/>
                <w:szCs w:val="14"/>
                <w:color w:val="auto"/>
              </w:rPr>
            </w:pPr>
          </w:p>
        </w:tc>
        <w:tc>
          <w:tcPr>
            <w:tcW w:w="1680" w:type="dxa"/>
            <w:vAlign w:val="bottom"/>
          </w:tcPr>
          <w:p>
            <w:pPr>
              <w:ind w:left="780"/>
              <w:spacing w:after="0"/>
              <w:rPr>
                <w:sz w:val="20"/>
                <w:szCs w:val="20"/>
                <w:color w:val="auto"/>
              </w:rPr>
            </w:pPr>
            <w:r>
              <w:rPr>
                <w:rFonts w:ascii="Courier New" w:cs="Courier New" w:eastAsia="Courier New" w:hAnsi="Courier New"/>
                <w:sz w:val="14"/>
                <w:szCs w:val="14"/>
                <w:color w:val="auto"/>
              </w:rPr>
              <w:t>Completed</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Square Feet (2)</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Acres (3)</w:t>
            </w:r>
          </w:p>
        </w:tc>
        <w:tc>
          <w:tcPr>
            <w:tcW w:w="17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Overall / Economic</w:t>
            </w:r>
          </w:p>
        </w:tc>
        <w:tc>
          <w:tcPr>
            <w:tcW w:w="1820" w:type="dxa"/>
            <w:vAlign w:val="bottom"/>
          </w:tcPr>
          <w:p>
            <w:pPr>
              <w:ind w:left="52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900" w:type="dxa"/>
            <w:vAlign w:val="bottom"/>
          </w:tcPr>
          <w:p>
            <w:pPr>
              <w:spacing w:after="0"/>
              <w:rPr>
                <w:sz w:val="14"/>
                <w:szCs w:val="14"/>
                <w:color w:val="auto"/>
              </w:rPr>
            </w:pPr>
          </w:p>
        </w:tc>
        <w:tc>
          <w:tcPr>
            <w:tcW w:w="16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1974</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313,000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Service Merchandise</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Sports Authority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1957</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191,000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K Mart</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Flourtown, PA 19031</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Genuardi Markets</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1949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410,000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Cineplex Odeon</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Queens, NY 11365</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Filene's</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K Mart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1958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Dominick's</w:t>
            </w:r>
          </w:p>
        </w:tc>
      </w:tr>
      <w:tr>
        <w:trPr>
          <w:trHeight w:val="166"/>
        </w:trPr>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1964</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1973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218,000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Bed, Bath and Beyond</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Roseville, MI 48066</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Best Buy</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Farmer Jack</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1975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Waldbaum's</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Greenlawn, NY 11740</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1961</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Hamilton, NJ 08690</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Steven's Furniture</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A.C. Moore</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1963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Hauppauge, NY 11788</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Office Max</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Dress Barn</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1962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Barnes &amp; Noble</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Huntington, NY 11746</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Bed, Bath and Beyond</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Buy Buy Baby</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Michael's</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1958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A.C. Moore</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Lancaster, PA 17601</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1966</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100%</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Drug Emporium</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Redner's Market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680" w:type="dxa"/>
            <w:vAlign w:val="bottom"/>
          </w:tcPr>
          <w:p>
            <w:pPr>
              <w:ind w:left="960"/>
              <w:spacing w:after="0"/>
              <w:rPr>
                <w:sz w:val="20"/>
                <w:szCs w:val="20"/>
                <w:color w:val="auto"/>
              </w:rPr>
            </w:pPr>
            <w:r>
              <w:rPr>
                <w:rFonts w:ascii="Courier New" w:cs="Courier New" w:eastAsia="Courier New" w:hAnsi="Courier New"/>
                <w:sz w:val="14"/>
                <w:szCs w:val="14"/>
                <w:color w:val="auto"/>
              </w:rPr>
              <w:t>1972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326,000</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2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Acme Markets</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Today's Man</w:t>
            </w:r>
          </w:p>
        </w:tc>
      </w:tr>
      <w:tr>
        <w:trPr>
          <w:trHeight w:val="166"/>
        </w:trPr>
        <w:tc>
          <w:tcPr>
            <w:tcW w:w="1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CHI</w:t>
            </w:r>
          </w:p>
        </w:tc>
      </w:tr>
      <w:tr>
        <w:trPr>
          <w:trHeight w:val="497"/>
        </w:trPr>
        <w:tc>
          <w:tcPr>
            <w:tcW w:w="1900" w:type="dxa"/>
            <w:vAlign w:val="bottom"/>
          </w:tcPr>
          <w:p>
            <w:pPr>
              <w:spacing w:after="0"/>
              <w:rPr>
                <w:sz w:val="24"/>
                <w:szCs w:val="24"/>
                <w:color w:val="auto"/>
              </w:rPr>
            </w:pPr>
          </w:p>
        </w:tc>
        <w:tc>
          <w:tcPr>
            <w:tcW w:w="1680" w:type="dxa"/>
            <w:vAlign w:val="bottom"/>
          </w:tcPr>
          <w:p>
            <w:pPr>
              <w:ind w:left="1460"/>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300"/>
          </w:cols>
          <w:pgMar w:left="220" w:top="948" w:right="37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3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96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Occupancy (1)</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28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Completed</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Square Feet (2)</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Acres (3)</w:t>
            </w:r>
          </w:p>
        </w:tc>
        <w:tc>
          <w:tcPr>
            <w:tcW w:w="1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Overall / Economic</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286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1959</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297,000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Burlington</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Coat Factory</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Tower Records</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1989</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Dominick's</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286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1967</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Victory Markets</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1973</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Edwards Super</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Food</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Franklin, N.J. 08873 (4)</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K Mart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1976</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171,000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K Mart</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Saugus, MA 01906</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Super Stop &amp;</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Shop</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1966</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202,000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Comp USA</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Parsippany-Troy, NJ 07054</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Pathmark</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1953</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Barnes and</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Noble</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Willow Grove, PA 19090</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1948</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257,000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Bed, Bath and</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Beyond</w:t>
            </w: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Wynnewood, PA 19096</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Borders Books</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Genuardi's</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1900 - 1991</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1994 -1996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233,000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Eddie Bauer</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Pottery Barn</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Sak Fifth Avenue</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Three buildings in IL</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1920 - 1927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1995 - 1997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Foodstuffs</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Kate Spade</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The Gap</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1930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100%</w:t>
            </w:r>
          </w:p>
        </w:tc>
        <w:tc>
          <w:tcPr>
            <w:tcW w:w="1420" w:type="dxa"/>
            <w:vAlign w:val="bottom"/>
          </w:tcPr>
          <w:p>
            <w:pPr>
              <w:spacing w:after="0"/>
              <w:rPr>
                <w:sz w:val="24"/>
                <w:szCs w:val="24"/>
                <w:color w:val="auto"/>
              </w:rPr>
            </w:pP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Four buildings in NY (12) (21)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1937 - 1987</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Midway Theatre</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Duane Reade</w:t>
            </w:r>
          </w:p>
        </w:tc>
      </w:tr>
      <w:tr>
        <w:trPr>
          <w:trHeight w:val="331"/>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1940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11,000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Legg Mason</w:t>
            </w:r>
          </w:p>
        </w:tc>
      </w:tr>
      <w:tr>
        <w:trPr>
          <w:trHeight w:val="497"/>
        </w:trPr>
        <w:tc>
          <w:tcPr>
            <w:tcW w:w="28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380"/>
          </w:cols>
          <w:pgMar w:left="220" w:top="947" w:right="2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34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00" w:type="dxa"/>
            <w:vAlign w:val="bottom"/>
          </w:tcPr>
          <w:p>
            <w:pPr>
              <w:spacing w:after="0"/>
              <w:rPr>
                <w:sz w:val="14"/>
                <w:szCs w:val="14"/>
                <w:color w:val="auto"/>
              </w:rPr>
            </w:pPr>
          </w:p>
        </w:tc>
        <w:tc>
          <w:tcPr>
            <w:tcW w:w="190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Occupancy (1)</w:t>
            </w:r>
          </w:p>
        </w:tc>
        <w:tc>
          <w:tcPr>
            <w:tcW w:w="12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Completed</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Tenants</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Acres (3)</w:t>
            </w:r>
          </w:p>
        </w:tc>
        <w:tc>
          <w:tcPr>
            <w:tcW w:w="19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Overall / Economic</w:t>
            </w:r>
          </w:p>
        </w:tc>
        <w:tc>
          <w:tcPr>
            <w:tcW w:w="12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MID ATLANTIC</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1958</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484,000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Bed, Bath &amp;</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Beyond</w:t>
            </w: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Harris Teeter</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Kroger</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24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1945 - 1991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1993 - 1998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331,000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100%</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Barnes and</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Noble</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19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(8)</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1965</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1965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100%</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Buy Buy Baby</w:t>
            </w: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74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(6)</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Fresh Fields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Tower</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Records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24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Rockville</w:t>
            </w: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74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(7)</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Interiors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1963</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Food Lion</w:t>
            </w: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Chapel Hill, NC  27514</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Southern</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Season</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1962</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1967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100%</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9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w w:val="95"/>
              </w:rPr>
              <w:t>22046</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Falls Plaza - East</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1972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100%</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CVS</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9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w w:val="95"/>
              </w:rPr>
              <w:t>22046</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Pharmacy</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Staples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242,000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Comp USA</w:t>
            </w: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Ross  Dress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For Less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1966</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Bed, Bath &amp;</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Beyond</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19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w w:val="95"/>
              </w:rPr>
              <w:t>20878</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Borders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Books and</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Music</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24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1963</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252,000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Office</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Depot</w:t>
            </w:r>
          </w:p>
        </w:tc>
      </w:tr>
      <w:tr>
        <w:trPr>
          <w:trHeight w:val="166"/>
        </w:trPr>
        <w:tc>
          <w:tcPr>
            <w:tcW w:w="1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Glen Burnie, MD 21961</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(5)</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Syms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1991</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100%</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Fresh</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Fields</w:t>
            </w:r>
          </w:p>
        </w:tc>
      </w:tr>
      <w:tr>
        <w:trPr>
          <w:trHeight w:val="166"/>
        </w:trPr>
        <w:tc>
          <w:tcPr>
            <w:tcW w:w="37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1956</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386,000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92%</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Laurel, MD  20707</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1967</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247,000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99%</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Leesburg, VA 20176</w:t>
            </w:r>
          </w:p>
        </w:tc>
        <w:tc>
          <w:tcPr>
            <w:tcW w:w="198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K Mart</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Peebles</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24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1971</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1983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242,000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99%</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Linens N</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Things</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Fairfax, VA 22042</w:t>
            </w:r>
          </w:p>
        </w:tc>
        <w:tc>
          <w:tcPr>
            <w:tcW w:w="198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Loehmann's</w:t>
            </w: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Dress Shop</w:t>
            </w:r>
          </w:p>
        </w:tc>
      </w:tr>
      <w:tr>
        <w:trPr>
          <w:trHeight w:val="497"/>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120"/>
          </w:cols>
          <w:pgMar w:left="220" w:top="948" w:right="5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Year</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spacing w:after="0"/>
              <w:rPr>
                <w:sz w:val="14"/>
                <w:szCs w:val="14"/>
                <w:color w:val="auto"/>
              </w:rPr>
            </w:pPr>
          </w:p>
        </w:tc>
        <w:tc>
          <w:tcPr>
            <w:tcW w:w="1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Occupancy (1)</w:t>
            </w:r>
          </w:p>
        </w:tc>
        <w:tc>
          <w:tcPr>
            <w:tcW w:w="20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Completed</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Square Feet (2)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Tenants</w:t>
            </w:r>
          </w:p>
        </w:tc>
        <w:tc>
          <w:tcPr>
            <w:tcW w:w="25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Acres (3) Overall / Economic</w:t>
            </w:r>
          </w:p>
        </w:tc>
        <w:tc>
          <w:tcPr>
            <w:tcW w:w="20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8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 --------- --------- ------------------</w:t>
            </w:r>
          </w:p>
        </w:tc>
        <w:tc>
          <w:tcPr>
            <w:tcW w:w="20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1955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Magruder's</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50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Tuesday Morning</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1963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312,000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91%</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Bally Total Fitness</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5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Frugel Fannies</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Toys R Us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1968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1976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Fresh Fields</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22152</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1979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89%</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Michaels</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22031</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Micro Center</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Safeway</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1930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Petco</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20036</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Pizzeria Uno</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1963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412,000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99%</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Burlington Coat Factory</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Baltimore, MD 21134</w:t>
            </w:r>
          </w:p>
        </w:tc>
        <w:tc>
          <w:tcPr>
            <w:tcW w:w="15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Home Depot</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Metro Foods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1968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Staples</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Vienna, VA</w:t>
            </w:r>
          </w:p>
        </w:tc>
        <w:tc>
          <w:tcPr>
            <w:tcW w:w="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5"/>
              </w:rPr>
              <w:t>22180</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1975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100%</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Circuit City</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 20877</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Dyncorp</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Staples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1940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93%</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Carlyle Grand Cafe</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Cineplex Odeon</w:t>
            </w:r>
          </w:p>
        </w:tc>
      </w:tr>
      <w:tr>
        <w:trPr>
          <w:trHeight w:val="331"/>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Tower Shopping Center</w:t>
            </w: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1960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85%</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Virginia Fine Wine</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22150</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Talbot's Outlet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1954</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1978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96%</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Trader Joe's</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202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rPr>
              <w:t>22043</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1958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1969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94%</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CVS Pharmacy</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20814</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Sutton Place Gourmet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Williamsburg</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1961</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97%</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Food Lion</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Williamsburg, VA</w:t>
            </w:r>
          </w:p>
        </w:tc>
        <w:tc>
          <w:tcPr>
            <w:tcW w:w="202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rPr>
              <w:t>23187</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Peebles</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Rose's</w:t>
            </w:r>
          </w:p>
        </w:tc>
      </w:tr>
      <w:tr>
        <w:trPr>
          <w:trHeight w:val="331"/>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The Shops at Willow Lawn</w:t>
            </w: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1957</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1983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448,000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89%</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Dillards</w:t>
            </w:r>
          </w:p>
        </w:tc>
      </w:tr>
      <w:tr>
        <w:trPr>
          <w:trHeight w:val="166"/>
        </w:trPr>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Hannaford Brothers</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Old Navy</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Virginia Department of</w:t>
            </w:r>
          </w:p>
        </w:tc>
      </w:tr>
      <w:tr>
        <w:trPr>
          <w:trHeight w:val="166"/>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Health</w:t>
            </w:r>
          </w:p>
        </w:tc>
      </w:tr>
      <w:tr>
        <w:trPr>
          <w:trHeight w:val="497"/>
        </w:trPr>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ind w:left="1280"/>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300"/>
          </w:cols>
          <w:pgMar w:left="220" w:top="947" w:right="3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ind w:left="1020"/>
              <w:spacing w:after="0"/>
              <w:rPr>
                <w:sz w:val="20"/>
                <w:szCs w:val="20"/>
                <w:color w:val="auto"/>
              </w:rPr>
            </w:pPr>
            <w:r>
              <w:rPr>
                <w:rFonts w:ascii="Courier New" w:cs="Courier New" w:eastAsia="Courier New" w:hAnsi="Courier New"/>
                <w:sz w:val="14"/>
                <w:szCs w:val="14"/>
                <w:color w:val="auto"/>
              </w:rPr>
              <w:t>Year</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Year</w:t>
            </w:r>
          </w:p>
        </w:tc>
        <w:tc>
          <w:tcPr>
            <w:tcW w:w="13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660" w:type="dxa"/>
            <w:vAlign w:val="bottom"/>
          </w:tcPr>
          <w:p>
            <w:pPr>
              <w:spacing w:after="0"/>
              <w:rPr>
                <w:sz w:val="14"/>
                <w:szCs w:val="14"/>
                <w:color w:val="auto"/>
              </w:rPr>
            </w:pP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Occupancy (1)</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Completed</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Acquired</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Square Feet (2)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Tenants</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Acres (3) Overall / Economic</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 ------------------</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r>
      <w:tr>
        <w:trPr>
          <w:trHeight w:val="497"/>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Development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 / n/a</w:t>
            </w:r>
          </w:p>
        </w:tc>
        <w:tc>
          <w:tcPr>
            <w:tcW w:w="1340" w:type="dxa"/>
            <w:vAlign w:val="bottom"/>
          </w:tcPr>
          <w:p>
            <w:pPr>
              <w:spacing w:after="0"/>
              <w:rPr>
                <w:sz w:val="14"/>
                <w:szCs w:val="14"/>
                <w:color w:val="auto"/>
              </w:rPr>
            </w:pP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Woodmont East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3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Bethesda, MD 20814 (14)</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 / n/a</w:t>
            </w:r>
          </w:p>
        </w:tc>
        <w:tc>
          <w:tcPr>
            <w:tcW w:w="1340" w:type="dxa"/>
            <w:vAlign w:val="bottom"/>
          </w:tcPr>
          <w:p>
            <w:pPr>
              <w:spacing w:after="0"/>
              <w:rPr>
                <w:sz w:val="14"/>
                <w:szCs w:val="14"/>
                <w:color w:val="auto"/>
              </w:rPr>
            </w:pP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Pentagon Row</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0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Arlington, VA 22202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(9)</w:t>
            </w:r>
          </w:p>
        </w:tc>
        <w:tc>
          <w:tcPr>
            <w:tcW w:w="19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(14)</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428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Land in Bethesda, MD 20814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1997 - 2000</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Retail buildings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 / 80%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Express</w:t>
            </w:r>
          </w:p>
        </w:tc>
      </w:tr>
      <w:tr>
        <w:trPr>
          <w:trHeight w:val="166"/>
        </w:trPr>
        <w:tc>
          <w:tcPr>
            <w:tcW w:w="20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260" w:type="dxa"/>
            <w:vAlign w:val="bottom"/>
          </w:tcPr>
          <w:p>
            <w:pPr>
              <w:spacing w:after="0"/>
              <w:rPr>
                <w:sz w:val="14"/>
                <w:szCs w:val="1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1920</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97"/>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WEST COAST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Escondido Promenade</w:t>
            </w:r>
          </w:p>
        </w:tc>
        <w:tc>
          <w:tcPr>
            <w:tcW w:w="260" w:type="dxa"/>
            <w:vAlign w:val="bottom"/>
          </w:tcPr>
          <w:p>
            <w:pPr>
              <w:spacing w:after="0"/>
              <w:rPr>
                <w:sz w:val="24"/>
                <w:szCs w:val="2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1987</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 / 92%</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Toys R Us</w:t>
            </w:r>
          </w:p>
        </w:tc>
      </w:tr>
      <w:tr>
        <w:trPr>
          <w:trHeight w:val="166"/>
        </w:trPr>
        <w:tc>
          <w:tcPr>
            <w:tcW w:w="14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Escondido, CA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92029</w:t>
            </w:r>
          </w:p>
        </w:tc>
        <w:tc>
          <w:tcPr>
            <w:tcW w:w="260" w:type="dxa"/>
            <w:vAlign w:val="bottom"/>
          </w:tcPr>
          <w:p>
            <w:pPr>
              <w:spacing w:after="0"/>
              <w:rPr>
                <w:sz w:val="14"/>
                <w:szCs w:val="14"/>
                <w:color w:val="auto"/>
              </w:rPr>
            </w:pPr>
          </w:p>
        </w:tc>
        <w:tc>
          <w:tcPr>
            <w:tcW w:w="194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5"/>
              </w:rPr>
              <w:t>(10)</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TJ Maxx</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King's Court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1960</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 / 100%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Lunardi's</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Supermarket</w:t>
            </w: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 Gatos, CA</w:t>
            </w:r>
          </w:p>
        </w:tc>
        <w:tc>
          <w:tcPr>
            <w:tcW w:w="1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95032</w:t>
            </w:r>
          </w:p>
        </w:tc>
        <w:tc>
          <w:tcPr>
            <w:tcW w:w="220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w w:val="98"/>
              </w:rPr>
              <w:t>(7) (9)</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Longs Drug</w:t>
            </w:r>
          </w:p>
        </w:tc>
      </w:tr>
      <w:tr>
        <w:trPr>
          <w:trHeight w:val="331"/>
        </w:trPr>
        <w:tc>
          <w:tcPr>
            <w:tcW w:w="14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Old Town Center</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1962</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 / 87%</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Borders Books</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 Music</w:t>
            </w:r>
          </w:p>
        </w:tc>
      </w:tr>
      <w:tr>
        <w:trPr>
          <w:trHeight w:val="166"/>
        </w:trPr>
        <w:tc>
          <w:tcPr>
            <w:tcW w:w="14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Los Gatos, CA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95030</w:t>
            </w:r>
          </w:p>
        </w:tc>
        <w:tc>
          <w:tcPr>
            <w:tcW w:w="260" w:type="dxa"/>
            <w:vAlign w:val="bottom"/>
          </w:tcPr>
          <w:p>
            <w:pPr>
              <w:spacing w:after="0"/>
              <w:rPr>
                <w:sz w:val="14"/>
                <w:szCs w:val="14"/>
                <w:color w:val="auto"/>
              </w:rPr>
            </w:pPr>
          </w:p>
        </w:tc>
        <w:tc>
          <w:tcPr>
            <w:tcW w:w="194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Gap Kids</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Banana</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Republic</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150 Post Street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1965</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 / 78%</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Brooks Brothers</w:t>
            </w:r>
          </w:p>
        </w:tc>
      </w:tr>
      <w:tr>
        <w:trPr>
          <w:trHeight w:val="166"/>
        </w:trPr>
        <w:tc>
          <w:tcPr>
            <w:tcW w:w="23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San Francisco, CA  94108</w:t>
            </w: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Williams -</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Sonoma</w:t>
            </w:r>
          </w:p>
        </w:tc>
      </w:tr>
      <w:tr>
        <w:trPr>
          <w:trHeight w:val="331"/>
        </w:trPr>
        <w:tc>
          <w:tcPr>
            <w:tcW w:w="2080" w:type="dxa"/>
            <w:vAlign w:val="bottom"/>
            <w:gridSpan w:val="4"/>
          </w:tcPr>
          <w:p>
            <w:pPr>
              <w:spacing w:after="0"/>
              <w:rPr>
                <w:sz w:val="20"/>
                <w:szCs w:val="20"/>
                <w:color w:val="auto"/>
              </w:rPr>
            </w:pPr>
            <w:r>
              <w:rPr>
                <w:rFonts w:ascii="Courier New" w:cs="Courier New" w:eastAsia="Courier New" w:hAnsi="Courier New"/>
                <w:sz w:val="14"/>
                <w:szCs w:val="14"/>
                <w:color w:val="auto"/>
              </w:rPr>
              <w:t>Uptown Shopping Center</w:t>
            </w:r>
          </w:p>
        </w:tc>
        <w:tc>
          <w:tcPr>
            <w:tcW w:w="260" w:type="dxa"/>
            <w:vAlign w:val="bottom"/>
          </w:tcPr>
          <w:p>
            <w:pPr>
              <w:spacing w:after="0"/>
              <w:rPr>
                <w:sz w:val="24"/>
                <w:szCs w:val="24"/>
                <w:color w:val="auto"/>
              </w:rPr>
            </w:pPr>
          </w:p>
        </w:tc>
        <w:tc>
          <w:tcPr>
            <w:tcW w:w="194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Various</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 / 100%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Elephant's</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Delicatessen</w:t>
            </w: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Portland, OR</w:t>
            </w:r>
          </w:p>
        </w:tc>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97210</w:t>
            </w: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Zupan's Markets</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Development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Santana Row</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ind w:left="1120"/>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 / n/a</w:t>
            </w:r>
          </w:p>
        </w:tc>
        <w:tc>
          <w:tcPr>
            <w:tcW w:w="1340" w:type="dxa"/>
            <w:vAlign w:val="bottom"/>
          </w:tcPr>
          <w:p>
            <w:pPr>
              <w:spacing w:after="0"/>
              <w:rPr>
                <w:sz w:val="24"/>
                <w:szCs w:val="24"/>
                <w:color w:val="auto"/>
              </w:rPr>
            </w:pPr>
          </w:p>
        </w:tc>
      </w:tr>
      <w:tr>
        <w:trPr>
          <w:trHeight w:val="166"/>
        </w:trPr>
        <w:tc>
          <w:tcPr>
            <w:tcW w:w="13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9"/>
              </w:rPr>
              <w:t>San Jose, CA</w:t>
            </w:r>
          </w:p>
        </w:tc>
        <w:tc>
          <w:tcPr>
            <w:tcW w:w="10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95128</w:t>
            </w:r>
          </w:p>
        </w:tc>
        <w:tc>
          <w:tcPr>
            <w:tcW w:w="2200" w:type="dxa"/>
            <w:vAlign w:val="bottom"/>
            <w:gridSpan w:val="2"/>
          </w:tcPr>
          <w:p>
            <w:pPr>
              <w:jc w:val="right"/>
              <w:ind w:right="1188"/>
              <w:spacing w:after="0"/>
              <w:rPr>
                <w:sz w:val="20"/>
                <w:szCs w:val="20"/>
                <w:color w:val="auto"/>
              </w:rPr>
            </w:pPr>
            <w:r>
              <w:rPr>
                <w:rFonts w:ascii="Courier New" w:cs="Courier New" w:eastAsia="Courier New" w:hAnsi="Courier New"/>
                <w:sz w:val="14"/>
                <w:szCs w:val="14"/>
                <w:color w:val="auto"/>
              </w:rPr>
              <w:t>(10) (14)</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428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Eleven buildings in San Antonio,</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13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TX (15)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1890 - 1935</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 / n/a</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 Palm</w:t>
            </w:r>
          </w:p>
        </w:tc>
      </w:tr>
      <w:tr>
        <w:trPr>
          <w:trHeight w:val="331"/>
        </w:trPr>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Retail buildings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23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Nine buildings in Santa</w:t>
            </w: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13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Monica, CA</w:t>
            </w:r>
          </w:p>
        </w:tc>
        <w:tc>
          <w:tcPr>
            <w:tcW w:w="960" w:type="dxa"/>
            <w:vAlign w:val="bottom"/>
            <w:gridSpan w:val="3"/>
          </w:tcPr>
          <w:p>
            <w:pPr>
              <w:spacing w:after="0"/>
              <w:rPr>
                <w:sz w:val="20"/>
                <w:szCs w:val="20"/>
                <w:color w:val="auto"/>
              </w:rPr>
            </w:pPr>
            <w:r>
              <w:rPr>
                <w:rFonts w:ascii="Courier New" w:cs="Courier New" w:eastAsia="Courier New" w:hAnsi="Courier New"/>
                <w:sz w:val="14"/>
                <w:szCs w:val="14"/>
                <w:color w:val="auto"/>
              </w:rPr>
              <w:t>(13) (16)</w:t>
            </w:r>
          </w:p>
        </w:tc>
        <w:tc>
          <w:tcPr>
            <w:tcW w:w="296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1888 - 1995 1996 - 2000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 / 100%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Abercrombie &amp;</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Fitch</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J. Crew</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Banana</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Republic</w:t>
            </w:r>
          </w:p>
        </w:tc>
      </w:tr>
      <w:tr>
        <w:trPr>
          <w:trHeight w:val="331"/>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Three</w:t>
            </w:r>
          </w:p>
        </w:tc>
        <w:tc>
          <w:tcPr>
            <w:tcW w:w="36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buildings in Hollywood,</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CA</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(17) (21)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ind w:left="940"/>
              <w:spacing w:after="0"/>
              <w:rPr>
                <w:sz w:val="20"/>
                <w:szCs w:val="20"/>
                <w:color w:val="auto"/>
              </w:rPr>
            </w:pPr>
            <w:r>
              <w:rPr>
                <w:rFonts w:ascii="Courier New" w:cs="Courier New" w:eastAsia="Courier New" w:hAnsi="Courier New"/>
                <w:sz w:val="14"/>
                <w:szCs w:val="14"/>
                <w:color w:val="auto"/>
              </w:rPr>
              <w:t>1921 - 1991</w:t>
            </w: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198,000</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 / 96%</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General Cinema</w:t>
            </w:r>
          </w:p>
        </w:tc>
      </w:tr>
      <w:tr>
        <w:trPr>
          <w:trHeight w:val="166"/>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Hollywood</w:t>
            </w:r>
          </w:p>
        </w:tc>
      </w:tr>
    </w:tbl>
    <w:p>
      <w:pPr>
        <w:spacing w:after="0" w:line="4"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Entertainment</w:t>
      </w:r>
    </w:p>
    <w:p>
      <w:pPr>
        <w:spacing w:after="0" w:line="7"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Museum</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380"/>
          </w:cols>
          <w:pgMar w:left="220" w:top="1113" w:right="299" w:bottom="1440" w:gutter="0" w:footer="0" w:header="0"/>
        </w:sectPr>
      </w:pPr>
    </w:p>
    <w:bookmarkStart w:id="15" w:name="page16"/>
    <w:bookmarkEnd w:id="15"/>
    <w:tbl>
      <w:tblPr>
        <w:tblLayout w:type="fixed"/>
        <w:tblInd w:w="92"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96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Occupancy (1)</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28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Completed</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Acquired</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Square Feet (2)</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Acres (3)</w:t>
            </w: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Overall / Economic</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Tenants</w:t>
            </w:r>
          </w:p>
        </w:tc>
      </w:tr>
      <w:tr>
        <w:trPr>
          <w:trHeight w:val="166"/>
        </w:trPr>
        <w:tc>
          <w:tcPr>
            <w:tcW w:w="28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840" w:type="dxa"/>
            <w:vAlign w:val="bottom"/>
          </w:tcPr>
          <w:p>
            <w:pPr>
              <w:spacing w:after="0"/>
              <w:rPr>
                <w:sz w:val="20"/>
                <w:szCs w:val="20"/>
                <w:color w:val="auto"/>
              </w:rPr>
            </w:pPr>
            <w:r>
              <w:rPr>
                <w:rFonts w:ascii="Courier New" w:cs="Courier New" w:eastAsia="Courier New" w:hAnsi="Courier New"/>
                <w:sz w:val="14"/>
                <w:szCs w:val="14"/>
                <w:color w:val="auto"/>
              </w:rPr>
              <w:t>Four buildings in San Diego,</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840" w:type="dxa"/>
            <w:vAlign w:val="bottom"/>
          </w:tcPr>
          <w:p>
            <w:pPr>
              <w:ind w:left="80"/>
              <w:spacing w:after="0"/>
              <w:rPr>
                <w:sz w:val="20"/>
                <w:szCs w:val="20"/>
                <w:color w:val="auto"/>
              </w:rPr>
            </w:pPr>
            <w:r>
              <w:rPr>
                <w:rFonts w:ascii="Courier New" w:cs="Courier New" w:eastAsia="Courier New" w:hAnsi="Courier New"/>
                <w:sz w:val="14"/>
                <w:szCs w:val="14"/>
                <w:color w:val="auto"/>
              </w:rPr>
              <w:t>CA (18) (21)</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1888 - 1995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1996 - 1997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100%</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Urban</w:t>
            </w:r>
          </w:p>
        </w:tc>
      </w:tr>
      <w:tr>
        <w:trPr>
          <w:trHeight w:val="166"/>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Outfitters</w:t>
            </w:r>
          </w:p>
        </w:tc>
      </w:tr>
      <w:tr>
        <w:trPr>
          <w:trHeight w:val="331"/>
        </w:trPr>
        <w:tc>
          <w:tcPr>
            <w:tcW w:w="2840" w:type="dxa"/>
            <w:vAlign w:val="bottom"/>
          </w:tcPr>
          <w:p>
            <w:pPr>
              <w:spacing w:after="0"/>
              <w:rPr>
                <w:sz w:val="20"/>
                <w:szCs w:val="20"/>
                <w:color w:val="auto"/>
              </w:rPr>
            </w:pPr>
            <w:r>
              <w:rPr>
                <w:rFonts w:ascii="Courier New" w:cs="Courier New" w:eastAsia="Courier New" w:hAnsi="Courier New"/>
                <w:sz w:val="14"/>
                <w:szCs w:val="14"/>
                <w:color w:val="auto"/>
              </w:rPr>
              <w:t>Three buildings in CA (19) (21)</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1922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1996 - 1998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92%</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Pottery</w:t>
            </w:r>
          </w:p>
        </w:tc>
      </w:tr>
      <w:tr>
        <w:trPr>
          <w:trHeight w:val="166"/>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Barn</w:t>
            </w:r>
          </w:p>
        </w:tc>
      </w:tr>
      <w:tr>
        <w:trPr>
          <w:trHeight w:val="166"/>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Banana</w:t>
            </w:r>
          </w:p>
        </w:tc>
      </w:tr>
      <w:tr>
        <w:trPr>
          <w:trHeight w:val="166"/>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Republic</w:t>
            </w:r>
          </w:p>
        </w:tc>
      </w:tr>
      <w:tr>
        <w:trPr>
          <w:trHeight w:val="331"/>
        </w:trPr>
        <w:tc>
          <w:tcPr>
            <w:tcW w:w="2840" w:type="dxa"/>
            <w:vAlign w:val="bottom"/>
          </w:tcPr>
          <w:p>
            <w:pPr>
              <w:spacing w:after="0"/>
              <w:rPr>
                <w:sz w:val="20"/>
                <w:szCs w:val="20"/>
                <w:color w:val="auto"/>
              </w:rPr>
            </w:pPr>
            <w:r>
              <w:rPr>
                <w:rFonts w:ascii="Courier New" w:cs="Courier New" w:eastAsia="Courier New" w:hAnsi="Courier New"/>
                <w:sz w:val="14"/>
                <w:szCs w:val="14"/>
                <w:color w:val="auto"/>
              </w:rPr>
              <w:t>Two buildings in AZ (20)</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1996 - 1998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100%</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Gordon</w:t>
            </w:r>
          </w:p>
        </w:tc>
      </w:tr>
      <w:tr>
        <w:trPr>
          <w:trHeight w:val="166"/>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Biersch</w:t>
            </w:r>
          </w:p>
        </w:tc>
      </w:tr>
      <w:tr>
        <w:trPr>
          <w:trHeight w:val="166"/>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w w:val="99"/>
              </w:rPr>
              <w:t>Brewing Co.</w:t>
            </w:r>
          </w:p>
        </w:tc>
      </w:tr>
    </w:tbl>
    <w:p>
      <w:pPr>
        <w:spacing w:after="0" w:line="335" w:lineRule="exact"/>
        <w:rPr>
          <w:sz w:val="20"/>
          <w:szCs w:val="20"/>
          <w:color w:val="auto"/>
        </w:rPr>
      </w:pPr>
    </w:p>
    <w:p>
      <w:pPr>
        <w:ind w:left="772" w:right="4660" w:hanging="686"/>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expressed as a percentage of rentable square feet and includes square feet covered by leases for stores not yet opened. Economic occupancy is expressed as a percentage of rentable square feet, but only includes leases currently generating rental income.</w:t>
      </w:r>
    </w:p>
    <w:p>
      <w:pPr>
        <w:spacing w:after="0" w:line="1" w:lineRule="exact"/>
        <w:rPr>
          <w:rFonts w:ascii="Courier New" w:cs="Courier New" w:eastAsia="Courier New" w:hAnsi="Courier New"/>
          <w:sz w:val="14"/>
          <w:szCs w:val="14"/>
          <w:color w:val="auto"/>
        </w:rPr>
      </w:pPr>
    </w:p>
    <w:p>
      <w:pPr>
        <w:ind w:left="772" w:right="4740" w:hanging="686"/>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physical square feet of the property, which may exceed the rentable square feet used to express occupancy.</w:t>
      </w:r>
    </w:p>
    <w:p>
      <w:pPr>
        <w:ind w:left="772" w:right="5420" w:hanging="686"/>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Acreage on each individual main street retail building is not significant.</w:t>
      </w:r>
    </w:p>
    <w:p>
      <w:pPr>
        <w:ind w:left="692" w:hanging="606"/>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leasehold interest in this property.</w:t>
      </w:r>
    </w:p>
    <w:p>
      <w:pPr>
        <w:spacing w:after="0" w:line="7" w:lineRule="exact"/>
        <w:rPr>
          <w:rFonts w:ascii="Courier New" w:cs="Courier New" w:eastAsia="Courier New" w:hAnsi="Courier New"/>
          <w:sz w:val="14"/>
          <w:szCs w:val="14"/>
          <w:color w:val="auto"/>
        </w:rPr>
      </w:pPr>
    </w:p>
    <w:p>
      <w:pPr>
        <w:ind w:left="772" w:right="5420" w:hanging="686"/>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99.99% general partnership interest in these properties.</w:t>
      </w:r>
    </w:p>
    <w:p>
      <w:pPr>
        <w:ind w:left="692" w:hanging="606"/>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55.7% equity interest in this center.</w:t>
      </w:r>
    </w:p>
    <w:p>
      <w:pPr>
        <w:spacing w:after="0" w:line="7" w:lineRule="exact"/>
        <w:rPr>
          <w:rFonts w:ascii="Courier New" w:cs="Courier New" w:eastAsia="Courier New" w:hAnsi="Courier New"/>
          <w:sz w:val="14"/>
          <w:szCs w:val="14"/>
          <w:color w:val="auto"/>
        </w:rPr>
      </w:pPr>
    </w:p>
    <w:p>
      <w:pPr>
        <w:ind w:left="692" w:hanging="606"/>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in a "downreit" partnership.</w:t>
      </w:r>
    </w:p>
    <w:p>
      <w:pPr>
        <w:spacing w:after="0" w:line="7" w:lineRule="exact"/>
        <w:rPr>
          <w:rFonts w:ascii="Courier New" w:cs="Courier New" w:eastAsia="Courier New" w:hAnsi="Courier New"/>
          <w:sz w:val="14"/>
          <w:szCs w:val="14"/>
          <w:color w:val="auto"/>
        </w:rPr>
      </w:pPr>
    </w:p>
    <w:p>
      <w:pPr>
        <w:ind w:left="772" w:right="4920" w:hanging="686"/>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contains eleven buildings; seven are subject to a leasehold interest, one is subject to a ground lease and three are owned 100% by the Trust.</w:t>
      </w:r>
    </w:p>
    <w:p>
      <w:pPr>
        <w:spacing w:after="0" w:line="1" w:lineRule="exact"/>
        <w:rPr>
          <w:rFonts w:ascii="Courier New" w:cs="Courier New" w:eastAsia="Courier New" w:hAnsi="Courier New"/>
          <w:sz w:val="14"/>
          <w:szCs w:val="14"/>
          <w:color w:val="auto"/>
        </w:rPr>
      </w:pPr>
    </w:p>
    <w:p>
      <w:pPr>
        <w:ind w:left="692" w:hanging="606"/>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subject to a ground lease.</w:t>
      </w:r>
    </w:p>
    <w:p>
      <w:pPr>
        <w:spacing w:after="0" w:line="7" w:lineRule="exact"/>
        <w:rPr>
          <w:rFonts w:ascii="Courier New" w:cs="Courier New" w:eastAsia="Courier New" w:hAnsi="Courier New"/>
          <w:sz w:val="14"/>
          <w:szCs w:val="14"/>
          <w:color w:val="auto"/>
        </w:rPr>
      </w:pPr>
    </w:p>
    <w:p>
      <w:pPr>
        <w:ind w:left="772" w:right="448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the controlling interest in this center. A minority owner has an interest in the profits of the center.</w:t>
      </w:r>
    </w:p>
    <w:p>
      <w:pPr>
        <w:ind w:left="692" w:hanging="692"/>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redevelopment.</w:t>
      </w:r>
    </w:p>
    <w:p>
      <w:pPr>
        <w:spacing w:after="0" w:line="7" w:lineRule="exact"/>
        <w:rPr>
          <w:rFonts w:ascii="Courier New" w:cs="Courier New" w:eastAsia="Courier New" w:hAnsi="Courier New"/>
          <w:sz w:val="14"/>
          <w:szCs w:val="14"/>
          <w:color w:val="auto"/>
        </w:rPr>
      </w:pPr>
    </w:p>
    <w:p>
      <w:pPr>
        <w:ind w:left="772" w:right="474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three occupied buildings. The other building is under redevelopment.</w:t>
      </w:r>
    </w:p>
    <w:p>
      <w:pPr>
        <w:ind w:left="772" w:right="492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90% general partnership interest in seven of these buildings and 100% of two buildings.</w:t>
      </w:r>
    </w:p>
    <w:p>
      <w:pPr>
        <w:ind w:left="692" w:hanging="692"/>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development</w:t>
      </w:r>
    </w:p>
    <w:p>
      <w:pPr>
        <w:spacing w:after="0" w:line="7" w:lineRule="exact"/>
        <w:rPr>
          <w:rFonts w:ascii="Courier New" w:cs="Courier New" w:eastAsia="Courier New" w:hAnsi="Courier New"/>
          <w:sz w:val="14"/>
          <w:szCs w:val="14"/>
          <w:color w:val="auto"/>
        </w:rPr>
      </w:pPr>
    </w:p>
    <w:p>
      <w:pPr>
        <w:ind w:left="772" w:right="456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is redeveloping these properties, most of which are currently vacant.</w:t>
      </w:r>
    </w:p>
    <w:p>
      <w:pPr>
        <w:ind w:left="772" w:right="456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seven occupied buildings. The other two buildings are under redevelopment.</w:t>
      </w:r>
    </w:p>
    <w:p>
      <w:pPr>
        <w:ind w:left="772" w:right="448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one occupied building. The other two buildings are under redevelopment.</w:t>
      </w:r>
    </w:p>
    <w:p>
      <w:pPr>
        <w:ind w:left="772" w:right="448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two occupied building. The other two buildings are under redevelopment.</w:t>
      </w:r>
    </w:p>
    <w:p>
      <w:pPr>
        <w:ind w:left="772" w:right="456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two occupied buildings in Pasadena, CA. The other building, in Hermosa Beach, CA, is under redevelopment.</w:t>
      </w:r>
    </w:p>
    <w:p>
      <w:pPr>
        <w:ind w:left="772" w:right="4660" w:hanging="772"/>
        <w:spacing w:after="0" w:line="250" w:lineRule="auto"/>
        <w:tabs>
          <w:tab w:leader="none" w:pos="68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100% of one building and an 85% partnership interest in the second building.</w:t>
      </w:r>
    </w:p>
    <w:p>
      <w:pPr>
        <w:ind w:left="692" w:hanging="692"/>
        <w:spacing w:after="0"/>
        <w:tabs>
          <w:tab w:leader="none" w:pos="69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90% general partnership interest in these buildings.</w:t>
      </w:r>
    </w:p>
    <w:p>
      <w:pPr>
        <w:spacing w:after="0" w:line="17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72"/>
          </w:cols>
          <w:pgMar w:left="228" w:top="948" w:right="29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Apartments</w:t>
      </w:r>
    </w:p>
    <w:p>
      <w:pPr>
        <w:spacing w:after="0" w:line="173"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the Trust's apartment development as of December 31, 2000 which is 100% owned by the Trust in fee. This development is not subject to rent control.</w:t>
      </w:r>
    </w:p>
    <w:p>
      <w:pPr>
        <w:sectPr>
          <w:pgSz w:w="11900" w:h="16838" w:orient="portrait"/>
          <w:cols w:equalWidth="0" w:num="1">
            <w:col w:w="11200"/>
          </w:cols>
          <w:pgMar w:left="220" w:top="61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1-BR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2-BR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3-BR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173" w:lineRule="exact"/>
        <w:rPr>
          <w:sz w:val="20"/>
          <w:szCs w:val="20"/>
          <w:color w:val="auto"/>
        </w:rPr>
      </w:pPr>
    </w:p>
    <w:p>
      <w:pPr>
        <w:sectPr>
          <w:pgSz w:w="11900" w:h="16838" w:orient="portrait"/>
          <w:cols w:equalWidth="0" w:num="9">
            <w:col w:w="2040" w:space="720"/>
            <w:col w:w="780" w:space="680"/>
            <w:col w:w="700" w:space="600"/>
            <w:col w:w="440" w:space="600"/>
            <w:col w:w="340" w:space="600"/>
            <w:col w:w="340" w:space="700"/>
            <w:col w:w="340" w:space="520"/>
            <w:col w:w="420" w:space="440"/>
            <w:col w:w="940"/>
          </w:cols>
          <w:pgMar w:left="220" w:top="61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Rollingwood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1971</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4"/>
          <w:szCs w:val="14"/>
          <w:color w:val="auto"/>
        </w:rPr>
        <w:t>163</w:t>
      </w:r>
      <w:r>
        <w:rPr>
          <w:sz w:val="20"/>
          <w:szCs w:val="20"/>
          <w:color w:val="auto"/>
        </w:rPr>
        <w:tab/>
      </w:r>
      <w:r>
        <w:rPr>
          <w:rFonts w:ascii="Courier New" w:cs="Courier New" w:eastAsia="Courier New" w:hAnsi="Courier New"/>
          <w:sz w:val="14"/>
          <w:szCs w:val="14"/>
          <w:color w:val="auto"/>
        </w:rPr>
        <w:t>61</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sectPr>
          <w:pgSz w:w="11900" w:h="16838" w:orient="portrait"/>
          <w:cols w:equalWidth="0" w:num="8">
            <w:col w:w="2300" w:space="720"/>
            <w:col w:w="660" w:space="720"/>
            <w:col w:w="480" w:space="720"/>
            <w:col w:w="320" w:space="720"/>
            <w:col w:w="220" w:space="720"/>
            <w:col w:w="1360" w:space="720"/>
            <w:col w:w="480" w:space="720"/>
            <w:col w:w="340"/>
          </w:cols>
          <w:pgMar w:left="220" w:top="616" w:right="47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Silver Spring, MD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three-story buildings</w:t>
      </w:r>
    </w:p>
    <w:p>
      <w:pPr>
        <w:sectPr>
          <w:pgSz w:w="11900" w:h="16838" w:orient="portrait"/>
          <w:cols w:equalWidth="0" w:num="1">
            <w:col w:w="11200"/>
          </w:cols>
          <w:pgMar w:left="220" w:top="616" w:right="47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following table summarizes leases expiring within the next 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which include options to renew are excluded.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Total Anchor</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Small Shop</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Total</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Percent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8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Square Feet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Square Feet</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Square Feet</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of Total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Expiring (1)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Expiring (1)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Expiring (1)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Portfolio (2)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622,949</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622,949</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$ 18.12</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66,670</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435,440</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502,110</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$ 20.19</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19,600</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449,106</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468,706</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$ 21.27</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61,141</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515,016</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576,157</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$ 23.21</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18,500</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448,910</w:t>
            </w: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467,410</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$ 24.09</w:t>
            </w:r>
          </w:p>
        </w:tc>
      </w:tr>
    </w:tbl>
    <w:p>
      <w:pPr>
        <w:spacing w:after="0" w:line="335" w:lineRule="exact"/>
        <w:rPr>
          <w:sz w:val="20"/>
          <w:szCs w:val="20"/>
          <w:color w:val="auto"/>
        </w:rPr>
      </w:pPr>
    </w:p>
    <w:p>
      <w:pPr>
        <w:ind w:left="700" w:hanging="692"/>
        <w:spacing w:after="0"/>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lease expirations with options.</w:t>
      </w:r>
    </w:p>
    <w:p>
      <w:pPr>
        <w:spacing w:after="0" w:line="7" w:lineRule="exact"/>
        <w:rPr>
          <w:rFonts w:ascii="Courier New" w:cs="Courier New" w:eastAsia="Courier New" w:hAnsi="Courier New"/>
          <w:sz w:val="14"/>
          <w:szCs w:val="14"/>
          <w:color w:val="auto"/>
        </w:rPr>
      </w:pPr>
    </w:p>
    <w:p>
      <w:pPr>
        <w:jc w:val="both"/>
        <w:ind w:left="780" w:right="4560" w:hanging="772"/>
        <w:spacing w:after="0" w:line="252" w:lineRule="auto"/>
        <w:tabs>
          <w:tab w:leader="none" w:pos="69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portfolio square footage at December 31, 2000 is 14,921,597 representing the physical square footage of the properties including redevelopments, which may exceed the rentable square footage used to express occupancy.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200"/>
          </w:cols>
          <w:pgMar w:left="220" w:top="616" w:right="479" w:bottom="1440" w:gutter="0" w:footer="0" w:header="0"/>
          <w:type w:val="continuous"/>
        </w:sectPr>
      </w:pPr>
    </w:p>
    <w:bookmarkStart w:id="17" w:name="page18"/>
    <w:bookmarkEnd w:id="17"/>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Trust's common shares of beneficial interest are listed on the New York Stock Exchange under the symbol "FRT".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Dividends</w:t>
            </w:r>
          </w:p>
        </w:tc>
      </w:tr>
      <w:tr>
        <w:trPr>
          <w:trHeight w:val="166"/>
        </w:trPr>
        <w:tc>
          <w:tcPr>
            <w:tcW w:w="172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w:t>
            </w:r>
          </w:p>
        </w:tc>
        <w:tc>
          <w:tcPr>
            <w:tcW w:w="1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High</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4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Declared</w:t>
            </w:r>
          </w:p>
        </w:tc>
      </w:tr>
      <w:tr>
        <w:trPr>
          <w:trHeight w:val="166"/>
        </w:trPr>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20" w:type="dxa"/>
            <w:vAlign w:val="bottom"/>
            <w:gridSpan w:val="3"/>
          </w:tcPr>
          <w:p>
            <w:pPr>
              <w:spacing w:after="0"/>
              <w:rPr>
                <w:sz w:val="20"/>
                <w:szCs w:val="20"/>
                <w:color w:val="auto"/>
              </w:rPr>
            </w:pPr>
            <w:r>
              <w:rPr>
                <w:rFonts w:ascii="Courier New" w:cs="Courier New" w:eastAsia="Courier New" w:hAnsi="Courier New"/>
                <w:sz w:val="14"/>
                <w:szCs w:val="14"/>
                <w:color w:val="auto"/>
              </w:rPr>
              <w:t>December 31, 2000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September</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30, 2000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June 30,</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15/16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r>
      <w:tr>
        <w:trPr>
          <w:trHeight w:val="497"/>
        </w:trPr>
        <w:tc>
          <w:tcPr>
            <w:tcW w:w="1720" w:type="dxa"/>
            <w:vAlign w:val="bottom"/>
            <w:gridSpan w:val="3"/>
          </w:tcPr>
          <w:p>
            <w:pPr>
              <w:spacing w:after="0"/>
              <w:rPr>
                <w:sz w:val="20"/>
                <w:szCs w:val="20"/>
                <w:color w:val="auto"/>
              </w:rPr>
            </w:pPr>
            <w:r>
              <w:rPr>
                <w:rFonts w:ascii="Courier New" w:cs="Courier New" w:eastAsia="Courier New" w:hAnsi="Courier New"/>
                <w:sz w:val="14"/>
                <w:szCs w:val="14"/>
                <w:color w:val="auto"/>
              </w:rPr>
              <w:t>December 31, 1999</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 15/16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42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September</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30, 1999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6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June 30,</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r>
    </w:tbl>
    <w:p>
      <w:pPr>
        <w:spacing w:after="0" w:line="33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number of holders of record for Federal Realty's common shares of beneficial interest at March 9, 2001 was 6,246.</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the years ended December 31, 2000 and 1999, $.11 and $.16, respectively, of dividends paid on common shares represented a return of capital. For the year ended December 31, 2000 $.04 of dividends paid on common shares represented capital gain. There were no capital gains for the year ended December 31, 1999.</w:t>
      </w:r>
    </w:p>
    <w:p>
      <w:pPr>
        <w:spacing w:after="0" w:line="328"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Dividends paid on common shares per quarter during the last two fiscal years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33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Trust intends to pay regular quarterly distributions to its common stockholders. Future distributions will depend upon cash generated by operating activities, the Trust's financial condition, capital requirements, annual distribution requirements under the REIT provisions of the Internal Revenue Code and such other factors as the Board of Trustees deems relevant.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94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r>
      <w:tr>
        <w:trPr>
          <w:trHeight w:val="166"/>
        </w:trPr>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Rental Income</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$260,684</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$245,833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$188,529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$164,887</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 (loss)</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on sale of real estate</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56,842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55,493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28,754</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sale of real</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estate</w:t>
            </w:r>
          </w:p>
        </w:tc>
        <w:tc>
          <w:tcPr>
            <w:tcW w:w="15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(7,050)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60,523</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48,443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common shareholders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52,573</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40,493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operating activities (1)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106,146</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102,183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90,427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65,648</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Net cash used in investing</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15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121,741</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99,313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187,646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279,343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161,819</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(used) by</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financing activities (1)</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(8,362)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97,406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213,175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96,691</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 on</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72,512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71,630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69,512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56,607</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 of</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 outstanding:</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38,796</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39,574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33,175</w:t>
            </w:r>
          </w:p>
        </w:tc>
      </w:tr>
      <w:tr>
        <w:trPr>
          <w:trHeight w:val="166"/>
        </w:trPr>
        <w:tc>
          <w:tcPr>
            <w:tcW w:w="920" w:type="dxa"/>
            <w:vAlign w:val="bottom"/>
          </w:tcPr>
          <w:p>
            <w:pPr>
              <w:spacing w:after="0"/>
              <w:rPr>
                <w:sz w:val="14"/>
                <w:szCs w:val="14"/>
                <w:color w:val="auto"/>
              </w:rPr>
            </w:pP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39,910</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40,638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33,573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920" w:type="dxa"/>
            <w:vAlign w:val="bottom"/>
          </w:tcPr>
          <w:p>
            <w:pPr>
              <w:spacing w:after="0"/>
              <w:rPr>
                <w:sz w:val="14"/>
                <w:szCs w:val="14"/>
                <w:color w:val="auto"/>
              </w:rPr>
            </w:pP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331"/>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 per</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common share</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$102,173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$96,795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$86,536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$79,733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$65,254</w:t>
            </w:r>
          </w:p>
        </w:tc>
      </w:tr>
      <w:tr>
        <w:trPr>
          <w:trHeight w:val="166"/>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9" w:name="page20"/>
    <w:bookmarkEnd w:id="19"/>
    <w:p>
      <w:pPr>
        <w:spacing w:after="0" w:line="1"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 of December 31,</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Sheet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Real Estate at cost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$1,854,913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$1,721,459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$1,642,136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$1,453,639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$1,147,865</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1,621,079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1,534,048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1,484,317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1,316,573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1,035,306</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Mortgage and capital</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lease obligations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323,911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172,573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173,480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221,573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229,189</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225,246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162,768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263,159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119,028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66,106</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410,000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510,000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335,000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215,000</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Convertible subordinated</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debentures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75,289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75,289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75,289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75,289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Redeemable Preferred</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467,654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501,827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529,947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553,810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388,885</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Number of common shares</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39,469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40,201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40,080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35,886</w:t>
            </w:r>
          </w:p>
        </w:tc>
      </w:tr>
    </w:tbl>
    <w:p>
      <w:pPr>
        <w:spacing w:after="0" w:line="335" w:lineRule="exact"/>
        <w:rPr>
          <w:sz w:val="20"/>
          <w:szCs w:val="20"/>
          <w:color w:val="auto"/>
        </w:rPr>
      </w:pPr>
    </w:p>
    <w:p>
      <w:pPr>
        <w:ind w:right="3339" w:firstLine="8"/>
        <w:spacing w:after="0" w:line="255"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in accordance with Financial Accounting Standards Board Statement No. 95, Statement of Cash Flows.</w:t>
      </w:r>
    </w:p>
    <w:p>
      <w:pPr>
        <w:spacing w:after="0" w:line="325"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January 1, 2000, Funds from operations is defined by the National Association of Real Estate Investment Trusts (NAREIT) as income available for common shareholders before depreciation and amortization of real estate assets and before extraordinary items less gains on sale of real estate. Prior to January 1, 2000 funds from operation also excluded significant nonrecurring events. Funds from operations differs from net cash provided by operating activities primarily because funds from operations does not include changes in operating assets and liabilities. Funds from operations is a supplemental measure of performance used in the real estate industry that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113" w:right="1440" w:bottom="1440" w:gutter="0" w:footer="0" w:header="0"/>
        </w:sectPr>
      </w:pPr>
    </w:p>
    <w:bookmarkStart w:id="20" w:name="page21"/>
    <w:bookmarkEnd w:id="20"/>
    <w:p>
      <w:pPr>
        <w:ind w:right="3419"/>
        <w:spacing w:after="0" w:line="255" w:lineRule="auto"/>
        <w:rPr>
          <w:sz w:val="20"/>
          <w:szCs w:val="20"/>
          <w:color w:val="auto"/>
        </w:rPr>
      </w:pPr>
      <w:r>
        <w:rPr>
          <w:rFonts w:ascii="Courier New" w:cs="Courier New" w:eastAsia="Courier New" w:hAnsi="Courier New"/>
          <w:sz w:val="14"/>
          <w:szCs w:val="14"/>
          <w:color w:val="auto"/>
        </w:rPr>
        <w:t>The calculation of funds from operations for the periods presented is reflected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7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Year ended</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31,</w:t>
            </w:r>
          </w:p>
        </w:tc>
        <w:tc>
          <w:tcPr>
            <w:tcW w:w="480" w:type="dxa"/>
            <w:vAlign w:val="bottom"/>
          </w:tcPr>
          <w:p>
            <w:pPr>
              <w:spacing w:after="0"/>
              <w:rPr>
                <w:sz w:val="14"/>
                <w:szCs w:val="14"/>
                <w:color w:val="auto"/>
              </w:rPr>
            </w:pPr>
          </w:p>
        </w:tc>
      </w:tr>
      <w:tr>
        <w:trPr>
          <w:trHeight w:val="166"/>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(in thousands)</w:t>
            </w:r>
          </w:p>
        </w:tc>
        <w:tc>
          <w:tcPr>
            <w:tcW w:w="4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 available for</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common shareholders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$52,573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$40,493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$37,010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$44,627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$28,742</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48,456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41,792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37,281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34,128</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Amortization of initial</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direct cost of leases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2,372</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(Gain) loss on sale of real</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estate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7,050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partnership units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Non-recurring items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$102,173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$96,795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$86,536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$79,733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$65,254</w:t>
            </w:r>
          </w:p>
        </w:tc>
      </w:tr>
      <w:tr>
        <w:trPr>
          <w:trHeight w:val="166"/>
        </w:trPr>
        <w:tc>
          <w:tcPr>
            <w:tcW w:w="23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discussion should be read together with the Consolidated Financial Statements and Notes thereto of Federal Realty Investment Trust (the "Trust").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is engaged in the ownership, management, development and redevelopment of prime retail and mixed-use properties. The Trust, which has traditionally acquired and redeveloped strip retail shopping centers, has expanded its investments to the development of urban mixed-used properties. Management continually evaluates the future prospects of its real estate portfolio, not only to identify expansion and renovation opportunities, but also to identify properties that no longer fit the Trust's investment criteria and therefore, should be monetized or exchanged into other real estate assets. At December 31, 2000 the Trust owned 123 retail properties and one apartment complex.</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Proceeds from the sale of selected assets may also provide an additional source of capital in 2001 and 2002.</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cash provided by operating activities was $106.1 million in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$102.2 million in 1999, and $90.4 million in 1998, of which $77.5 million, $76.6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$74.3 million, respectively, was distributed to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from newly acquired properties and from retenanted and redeveloped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as more fully described below, were the primary sources of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increases.</w:t>
      </w:r>
    </w:p>
    <w:p>
      <w:pPr>
        <w:spacing w:after="0" w:line="173"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Net cash used in investing activities was $121.7 million in 2000, $99.3 million in 1999, and $187.6 million in 1998. The Trust acquired properties totaling $26.8 million in 2000, $26.4 million in 1999, and $120.4 million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requiring cash outlays of $23.6 million, $25.3 million, and $92.9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During these same three years the Trust expended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$145.8 million, $90.8 million, and $73.0 million in capital improvements to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of which $82.1 million in 2000, $38.7 million in 1999 and $25.0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1998 related to new development. The Trust received mortgage 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repayments, net of funds invested, of $494,000 in 2000. The Trust invested,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loan repayments, $2.3 million, and $21.4 million in 1999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in mortgage notes receivable. The average weighted stated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on these loans was 10.0% for the years 1998 through 2000. Certain of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mortgages also participate in the gross revenues and appreciation and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into ownership interests in the properties by which they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Cash of $47.2 million in 2000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and $19.2 million in 1999 was received from the sale of properties.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2000 the Trust expended cash of $23.6 million to acquire real estate and an additional $145.8 million to improve, redevelop and develop its existing real estate. The Trust purchased the 75,000 square foot Greenlawn Plaza in Greenlawn, New York for $6.2 million. Control of a parcel of land for future development in Hillsboro, Oregon was acquired for $11.7 million; an additional $1.6 million will be owed if certain cash flow criteria are met during the first ten years of operations. Other acquisitions include a parcel of land in Bethesda, Maryland for $461,000; an additional property for the Trust's Houston Street project in San Antonio, Texas for cash of $1.2 million and the assumption of a $345,000 mortgage; a retail building in Santa Monica, California in satisfaction of a $5.2 million mortgage note receivable and cash of $1.7 million; and the $2.3 million redemption of 100,000 partnership units which had been issued in connection with the purchase of the Courthouse Square and Magruders Shopping Centers.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Of the $145.8 million spent in 2000 on the Trust's existing real estate portfolio, approximately $82.1 million was invested in development projects in Bethesda, Maryland; San Jose, California; and in Arlington, Virginia. The remaining $63.7 million of capital expenditures relates to improvements to common areas, tenant work and various redevelopments, including the renovation of Greenlawn Plaza, the office expansion and retenanting of Willow Lawn Shopping Center, the renovation of Brunswick Shopping Center, and the redevelopment of retail buildings in Forest Hills, New York, San Antonio, Texas and southern California.</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Trust, which held the 1% general partnership interest, obtained an additional 98% general partnership interest in the future operations of Loehmann's Plaza. The minority partner received 190,000 partnership units valued at $3.6 million and the satisfaction of amounts due the Trust from the partnership.</w:t>
      </w:r>
    </w:p>
    <w:p>
      <w:pPr>
        <w:spacing w:after="0" w:line="328"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Peninsula Shopping Center in Palos Verdes, California was sold in June 2000 for $48.6 million, resulting in a gain of $3.7 million.</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cash provided by financing activities, before dividend payments, was $92.7 million in 2000, $68.3 million in 1999, and $171.7 million in 1998. The Trust utilized the proceeds from the sale of Peninsula Shopping Center and its syndicated credit facility to fund acquisitions, most capital expenditures, share repurchases and balloon debt repayments.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29, 2000, the Trust obtained a construction loan for up to $24.5 million in connection with the Trust's Woodmont East development in Bethesda, Maryland. The loan, which has a floating interest rate of LIBOR plus 1.2% to 1.5%, depending on occupancy levels, matures August 29, 2002 with two one-year extension options. At December 31, 2000, the outstanding balance on the loan was $16.2 million. The property secures the construction loan facility.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connection with the land for future development in Hillsboro, Oregon, the Trust issued a $3.4 million note which is due June 30, 2001. The loan bears interest at LIBOR plus 1.25%. The property secures the loan facility. The Trust assumed a</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3" w:name="page24"/>
    <w:bookmarkEnd w:id="23"/>
    <w:p>
      <w:pPr>
        <w:ind w:right="3519"/>
        <w:spacing w:after="0" w:line="252" w:lineRule="auto"/>
        <w:rPr>
          <w:sz w:val="20"/>
          <w:szCs w:val="20"/>
          <w:color w:val="auto"/>
        </w:rPr>
      </w:pPr>
      <w:r>
        <w:rPr>
          <w:rFonts w:ascii="Courier New" w:cs="Courier New" w:eastAsia="Courier New" w:hAnsi="Courier New"/>
          <w:sz w:val="14"/>
          <w:szCs w:val="14"/>
          <w:color w:val="auto"/>
        </w:rPr>
        <w:t>mortgage with the purchase of the new East Houston Street property in San Antonio, Texas. The mortgage, which matures in October 2008, bears interest at 7.5% and provides for monthly principal and interest payments.</w:t>
      </w:r>
    </w:p>
    <w:p>
      <w:pPr>
        <w:spacing w:after="0" w:line="16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On October 23, 2000, the Trust obtained a $152 million mortgage loan which is secured by five shopping centers. The mortgage, which bears interest at</w:t>
      </w:r>
    </w:p>
    <w:p>
      <w:pPr>
        <w:spacing w:after="0" w:line="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7.95%, matures November 1, 2015 and required an up-front fee of $988,000. The loan provides for interest only payments for the initial three years, then monthly principal and interest payments based on a twenty-seven year amortization schedule until the maturity date. The proceeds from the mortgage loan were used to pay down the Trust's syndicated credit facility.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 has a $300 million syndicated credit facility with seven banks, originally due December 2002. This facility requires fees and has various covenants including the maintenance of a minimum shareholders' equity and a maximum ratio of debt to net worth. At December 31, 2000, 1999 and 1998, $78.0 million, $34.0 million and $134.1 million, respectively, was borrowed under the syndicated credit facility. The maximum borrowed during 2000, 1999 and 1998 was $218.1 million, $205.0 million and $259.1 million, respectively. The weighted average interest rate on borrowings during 2000, 1999 and 1998 was 7.1%, 5.9% and 6.1%, respectively.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December 1998, the Trust obtained a four-year loan of $125 million from five institutional lenders. The loan requires fees and has the same covenants as the syndicated credit facility. The average weighted interest rate on the term loan was 7.4% in 2000 and 6.1% in 1999.</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June 2000, the Trust modified certain covenants and extended its syndicated credit facility and its $125 million term loan for an additional year to December 19, 2003. Fees paid for this extension totaled $1.0 million.</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July 2000, citing the Trust's pursuit of development and the resultant capital requirements, Standard and Poor's lowered the rating on the Trust's senior notes from BBB+ to BBB flat with a positive outlook. Under the terms of the syndicated credit facility, this lowered rating resulted in an increase in the Trust's borrowing rate from LIBOR plus 65 basis points to LIBOR plus 80 basis points. The interest rate on the term loan increased from LIBOR plus 75 basis points to LIBOR plus 95 basis points.</w:t>
      </w:r>
    </w:p>
    <w:p>
      <w:pPr>
        <w:spacing w:after="0" w:line="164"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On November 30, 1999 the Trust issued $175 million of 8.75% Notes due December 1, 2009, netting cash proceeds of $172.2 million. The notes pay interest semi-annually on June 1 and December 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to minimize the risk of changes in interest rates, from time to time in connection with the issuance of certain debt issues the Trust will enter into interest rate hedge agreements. In anticipation of the mortgage placement in the third quarter of 2000, the Trust purchased a Treasury Yield Hedge (notional amount of $140 million) to minimize the risk of increased interest rates prior to closing the mortgage. The hedge was terminated on June 30, 2000 at a gain of $165,000 which is being recognized as a reduction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4" w:name="page25"/>
    <w:bookmarkEnd w:id="24"/>
    <w:p>
      <w:pPr>
        <w:ind w:right="3599"/>
        <w:spacing w:after="0" w:line="255" w:lineRule="auto"/>
        <w:rPr>
          <w:sz w:val="20"/>
          <w:szCs w:val="20"/>
          <w:color w:val="auto"/>
        </w:rPr>
      </w:pPr>
      <w:r>
        <w:rPr>
          <w:rFonts w:ascii="Courier New" w:cs="Courier New" w:eastAsia="Courier New" w:hAnsi="Courier New"/>
          <w:sz w:val="14"/>
          <w:szCs w:val="14"/>
          <w:color w:val="auto"/>
        </w:rPr>
        <w:t>interest expense over the term of the mortgage loan. There were no open hedge agreements at December 31, 2000 and 1999.</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In December 1999 the Trustees authorized a share repurchase program for calendar year 2000 of up to an aggregate of 4 million of the Trust's common shares. A total of 1,325,900 shares were repurchased, at a cost of $25.2 million. The Trust does not expect to repurchase shares in 2001.</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Capital requirements in 2001 will depend upon acquisition opportunities, new development efforts, the rate of build-out on the Trust's current development pipeline and the level of improvements and redevelopments on existing properties. The Trust has budgeted approximately $258 million for 2001 for its three developments in progress and $75 million for new development, redevelopments, tenant work and improvements to the core portfolio.</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 will need additional capital in order to fund acquisitions, expansions and developments, particularly Santana Row, and to refinance its maturing debt. Sources of this funding may be additional debt, both secured and unsecured, additional equity and joint venture relationships. In addition, the Trust has identified certain of its properties that may be exchanged or sold as a source of funding, if the Trust's sales price is met.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Trust's long term debt has varying maturity dates and in a number of instances includes balloon payments or other contractual provisions that could require significant repayments during a particular period. In 2001, $30.7 million of mortgage debt matures, as well as the $3.4 million note held in connection with the land held for future development in Hillsboro, Oregon. The next significant maturities are $25.0 million of Senior Notes, due April 2002 and the Woodmont East construction loan due August, 2002. The construction loan contains two, one-year options to extend.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the next several years, the Trust's single largest capital need is expected to come from the development of Santana Row, a multi-phase mixed-use project to be built on 42 acres in San Jose, California in the heart of Silicon Valley. The project will consist of residential, retail and hotel components, creating a community with the feel of an urban district. Phase 1 of the project, for which construction began November 2000, includes Santana Row, the "1,500 foot long main street" framed by nine buildings which will contain approximately 538,000 square feet of retail space, 501 residential units, a 214 room hotel and the supporting infrastructure. Phase 1 is expected to begin generating revenues in mid-2002 and be stabilized during 2003. The total cost of Phase 1, which includes the land and infrastructure for the later phases, is expected to be $475 million. As of December 31, 2000, the Trust has incurred costs of $97 million including the purchase of the land; the trust estimates that it will spend approximately $200 million in 2001 and the balance in 2002 to complete the first phase of the project. The Trust has a signed commitment from three banks for up to $295 million of construction financing for Phase 1. Closing on the commitment is subject to the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5" w:name="page26"/>
    <w:bookmarkEnd w:id="25"/>
    <w:p>
      <w:pPr>
        <w:ind w:right="3339"/>
        <w:spacing w:after="0" w:line="251" w:lineRule="auto"/>
        <w:rPr>
          <w:sz w:val="20"/>
          <w:szCs w:val="20"/>
          <w:color w:val="auto"/>
        </w:rPr>
      </w:pPr>
      <w:r>
        <w:rPr>
          <w:rFonts w:ascii="Courier New" w:cs="Courier New" w:eastAsia="Courier New" w:hAnsi="Courier New"/>
          <w:sz w:val="14"/>
          <w:szCs w:val="14"/>
          <w:color w:val="auto"/>
        </w:rPr>
        <w:t>completion of customary due diligence for loans of this type and funding is subject to satisfaction of leasing and other contingencies. Phase 1, which includes the land and infrastructure for future phases, comprises approximately 40% of the residential and 75% of the retail entitlement currently projected for the entire project.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the Trust's control. These factors include among others, continued strong demand for retail and residential space at current or increasing prices, the ability to construct the later phases at reasonable prices, the cost of operations, including utilities, the availability and cost of capital and the general economy, particularly in the Silicon Valley.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timing and choice of capital sources will depend on the cost and availability of that capital, among other things. The Trust believes, based on past experience, that access to capital needed to execute its business plan will be available to 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they anticipate they will incur as a result of defaults under the contract.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and the Trust does not believe that there will be any material impairment on the project as a result of the schedule delays.</w:t>
      </w:r>
    </w:p>
    <w:p>
      <w:pPr>
        <w:spacing w:after="0" w:line="338"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In addition, the Trust is involved in various other lawsuits and environmental matters arising in the normal course of business. Management believes that such matters will not have a material effect on the financial condition or results of operations of the Trust.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provisions of the Congressional Plaza partnership agreement, in the event of the exercise of put options by another partner, which are currently exercisable and have no expiration date, the Trust would be required to purchase a 37.5% interest at Congressional Plaza at its then fair market value. Based on management's current estimate of fair market value, the Trust's estimated cash requirement upon exercise of the put option is approximately $27 million.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6" w:name="page27"/>
    <w:bookmarkEnd w:id="26"/>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six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limited partners of two partnerships owning street retail properties in southern California have exercised their rights under these agreements. The Trust purchased their interests in March 2001 for approximately $18 million, approximately $7 million in common shares of the Trust and the balance in cash.</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Under the terms of other partnership agreements, the partners may redeem their 904,589 operating units for cash or exchange into the same number of common shares of the Trust, at the option of the Trust. During the third quarter of 2000 the Trust redeemed 100,000 operating units for cash of $2.3 million.</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As of December 31, 2000 in connection with renovation and development projects, the Trust has contractual obligations of approximately $46 million.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gross tenant sales. These features in the Trust's leases reduce the Trust's exposure to higher costs caused by inflation and allow it to participate in improved tenant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vs. 1999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6.0 % from $245.8 million in 1999 to $260.7 million in 2000. On a same center basis, rental income increased 7.7%, due primarily to the favorable impact of redeveloped and retenanted centers, as well as, increases associated with lease rollovers. Same center basis, in 2000, excludes properties acquired in 2000 and 1999, Peninsula Shopping Center in Palos Verdes, California and Northeast Plaza in Atlanta, Georgia which were sold on June 30, 2000 and October 18, 1999, respectively and properties developed in 2000 and 1999, including Bethesda Row Phase 3 in Bethesda, Maryland, Old Town in Los Gatos, California and Town &amp; Country Shopping Center in San Jose, California which was vacated as the Santana Row development began.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property income remained constant in 2000 compared to 1999. On a same center basis, other property income decreased $473,000 in 2000 compared to 1999, due mostly to decreases in lease termination fees.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Rental expenses increased 4.8% from $53.7 million in 1999 to $56.3 million in 2000. On a same center basis, rental expenses increased 6.0% from $49.6 million in 1999 to $52.6 million in 2000, primarily due to general cost increases along with increased snow removal and utility costs in 2000. Rental expense as a percentage of property income, rental income plus other property income, remained constant in both periods at 21%.</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Real estate taxes increased 6.4% from $25.0 million in 1999 to $26.6 million in 2000. On a same center basis, real estate taxes increased 5.9% due primarily to increased taxes on recently redeveloped properties.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Depreciation and amortization expenses increased 6.5% from $50.0 million in</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1999 to $53.3 million in 2000 reflecting the impact of recent tenant work and property improvements.</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In 2000, the Trust incurred interest expense of $79.7 million, of which $13.3 million was capitalized, as compared to 1999's $68.4 million, of which $6.9 million was capitalized.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1" w:lineRule="auto"/>
        <w:rPr>
          <w:sz w:val="20"/>
          <w:szCs w:val="20"/>
          <w:color w:val="auto"/>
        </w:rPr>
      </w:pPr>
      <w:r>
        <w:rPr>
          <w:rFonts w:ascii="Courier New" w:cs="Courier New" w:eastAsia="Courier New" w:hAnsi="Courier New"/>
          <w:sz w:val="14"/>
          <w:szCs w:val="14"/>
          <w:color w:val="auto"/>
        </w:rPr>
        <w:t>increase in interest expense reflects the additional debt issued to fund the Trust's share repurchase and capital improvement programs and increased borrowing costs. The weighted average interest rate was 8.0% in 2000 compared with 7.6% in 1999. The ratio of earnings to combined fixed charges and preferred dividends was 1.40x in 2000 and 1.52x in 1999. The ratio of earnings to fixed charges was 1.50x in 2000 and 1.70x in 1999. The ratio of funds from operations to combined fixed charges and preferred dividends was 2.0x in 2000 and 2.2x in 1999.</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Administrative expenses decreased from $15.1 million in 1999 to $13.3 million in 2000. In 1999 the Trust incurred expenses of approximately $2.8 million related to a terminated merger transaction. The decrease in these costs was offset by increased personnel costs and several key new hires. The tight labor market in the Trust's operating regions resulted in higher compensation costs both to existing and new employees.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The majority of the $2.6 million increase from $3.9 million in 1999 to $6.5 million in 2000 is due to the allocation of operating losses to minority owners in 1999 and 1998 in accordance with the respective partnership agreements. The remainder of the increase represents the minority partners share of increased earnings in certain shopping center and street retail assets.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30, 2000, the Trust sold the 296,000 square foot Peninsula Shopping Center located in Palos Verdes, California for $48.6 million resulting in a gain of $3.7 million. During the second quarter of 1999, the Trust recorded a $7.1 million charge, representing the estimated loss on a potential sale of certain assets, principally Northeast Plaza in Atlanta, Georgia, thereby valuing the assets at their estimated fair value less estimated costs to sell. On October 18, 1999, the Trust sold Northeast Plaza for $19.6 million, realizing a loss of $6.3 million.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a result of the foregoing items, net income before gain (loss) on the sale of real estate increased from $55.5 million in 1999 to $56.8 million in 2000, while net income increased from $48.4 million in 1999 to $60.5 million in 2000 and net income available for common shareholders increased from $40.5 million to $52.6 million.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Growth in net income and funds from operations in 2001 is expected to be slower than in 2000 based on the following factors; there will be a lower contribution from redevelopment projects as much of the Trust's southern California redevelopments were completed in 2000, higher administrative expenses necessitated by tight labor markets and the addition of key positions and a temporary reduction in earnings caused by the demolition of the old Town &amp; Country Shopping Center in 2000 to make way for the new Santana Row development. The growth in 2001 will continue to be primarily dependent on contributions from the core portfolio. Growth of net income from the core portfolio is, in part, dependent on the financial health of the Trust's tenants and on controlling expenses, some of which are beyond the control of the Trust, such as snow removal and real estate tax assessments.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9" w:name="page30"/>
    <w:bookmarkEnd w:id="29"/>
    <w:p>
      <w:pPr>
        <w:ind w:right="3419"/>
        <w:spacing w:after="0" w:line="251" w:lineRule="auto"/>
        <w:rPr>
          <w:sz w:val="20"/>
          <w:szCs w:val="20"/>
          <w:color w:val="auto"/>
        </w:rPr>
      </w:pPr>
      <w:r>
        <w:rPr>
          <w:rFonts w:ascii="Courier New" w:cs="Courier New" w:eastAsia="Courier New" w:hAnsi="Courier New"/>
          <w:sz w:val="14"/>
          <w:szCs w:val="14"/>
          <w:color w:val="auto"/>
        </w:rPr>
        <w:t>Trust expects that demand for its retail space should remain at its current levels.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Growth in net income is also dependent on the amount of leverage and interest rates. The Trust's leverage is increasing as it finances its development pipeline. In addition, the Trust will continue to have exposure to changes in market interest rates. If interest rates increase, net income and funds from operations, as well as the ultimate cost of the Trust's development projects, will be negatively impacted.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vs. 1998</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11% from $222.2 million in 1998 to $245.8 million in 1999. If properties acquired and sold in 1999 and 1998 are excluded, rental income increased 6%, with the recently renovated and retenanted centers contributing heavily to the growth, as well as, increases associated with lease rollovers.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 property income includes items, such as utility reimbursements, telephone income, merchant association dues, late fees, temporary income and lease termination fees. Other income increased 9% from $10.3 million in 1998 to $11.2 million in 1999. An increase of $650,000 in temporary tenant income, an area identified by the Trust as one with additional growth opportunity, and an increase of $550,000 in lease termination fees surpassed decreases in telephone income and decreases in marketing dues, as the Trust discontinued marketing funds at certain shopping centers in 1999.</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Rental expenses increased 8% from $49.5 million in 1998 to $53.7 million in 1999. If properties acquired and sold in 1999 and 1998 are excluded, rental expenses increased 5%. A $1.2 million increase in the write off of tenant work and lease costs associated with bankrupt or terminated leases coupled with a $975,000 increase in snow removal costs offset the decrease in marketing expenses, consistent with the decrease in marketing dues.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Real estate taxes increased 7% from $23.3 million in 1998 to $25.0 million in 1999. If properties acquired and sold in 1999 and 1998 are excluded, real estate taxes increased 4%, primarily due to increased taxes on recently redeveloped properties.</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Depreciation and amortization expense increased 9% from $46.0 million in 1998 to $50.0 million in 1999. If properties acquired and sold in 1999 and 1998 are excluded, depreciation and amortization expense increased 7% due to the impact of recent tenant work and redevelopments.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income increased 29% from $5.9 million in 1998 to $7.6 million in</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1999 due primarily to the issuance of approximately $24 million of mortgage notes receivable in 1999 and 1998.</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0" w:name="page31"/>
    <w:bookmarkEnd w:id="30"/>
    <w:p>
      <w:pPr>
        <w:ind w:right="3339" w:firstLine="431"/>
        <w:spacing w:after="0" w:line="250" w:lineRule="auto"/>
        <w:rPr>
          <w:sz w:val="20"/>
          <w:szCs w:val="20"/>
          <w:color w:val="auto"/>
        </w:rPr>
      </w:pPr>
      <w:r>
        <w:rPr>
          <w:rFonts w:ascii="Courier New" w:cs="Courier New" w:eastAsia="Courier New" w:hAnsi="Courier New"/>
          <w:sz w:val="14"/>
          <w:szCs w:val="14"/>
          <w:color w:val="auto"/>
        </w:rPr>
        <w:t>In 1999 the Trust incurred interest expense of $68.4 million, of which $6.9 million was capitalized, as compared to 1998's $60.2 million, of which $5.1 million was capitalized. The increase in interest expense reflects the additional debt issued to help fund the Trust's 1999 real estate acquisitions and capital improvements of approximately $116 million. The weighted average interest rate was 7.6% in 1999 compared with 8% in 1998. The ratio of earnings to combined fixed charges and preferred dividends was 1.52x in 1999 and 1.46x in 1998. The ratio of earnings to fixed charges was 1.70x in 1999 and 1.65x in</w:t>
      </w:r>
    </w:p>
    <w:p>
      <w:pPr>
        <w:spacing w:after="0" w:line="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1998. The ratio of funds from operations to combined fixed charges and preferred dividends was 2.2x in 1999 and 1998.</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Administrative expenses decreased from $16.5 million in 1998 to $15.1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1999. Both years contained unusual expenses. During the third 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1998, the Trust recorded a $4.7 million charge related to a comprehensive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program. During the third quarter of 1999, the Trust, in exploring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alternatives to maximize shareholder value, considered spinning 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of its assets and merging the remaining assets with another publicly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traded shopping center company. The Trust incurred expenses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million in connection with this proposed merger and spin-off which were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In addition, costs related to abandoned acquisition and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increased approximately $1.5 million in 1999 over 1998.</w:t>
      </w:r>
    </w:p>
    <w:p>
      <w:pPr>
        <w:spacing w:after="0" w:line="173"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One third of the increase from $3.1 million in</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1998 to $3.9 million in 1999 is due to the income attributable to the operating partnership units issued upon the acquisition of Kings Court and Leesburg Plaza in the second half of 1998. The majority of the remaining increase represents the minority partners' share of the increased earnings in the southern California street retail assets, many of which have been redeveloped during 1998 and 1999.</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the foregoing items, net income before loss on the sale of real estate increased from $45.0 million in 1998 to $55.5 million in 1999, reflecting both the contribution to net income from the Trust's acquisitions and the contribution from the core portfolio, primarily the recently redeveloped and retenanted properties.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the second quarter of 1999, the Trust recorded a $7.1 million charge, representing the estimated loss on the potential sale of certain assets, principally Northeast Plaza in Atlanta, Georgia. On October 18, 1999 the Trust sold Northeast Plaza for $19.6 million, realizing a loss of $6.3 million. Consequently, net income increased from $45.0 million in 1998 to $48.4 million in 1999 with net income available for common shareholders increasing from $37.0 million in 1998 to $40.5 million in 1999.</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Segment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 As a result the Trust has divided its portfolio of properties into three geographic operating regions: Northeast, Mid-Atlantic and West. Each region is operated under the direction of a chief operating officer, with dedicated leasing, property management and financial staff and operates largely autonomously with respect to day to day operating decisions. Incentive compensation, throughout the regional teams, is tied to the net operating income of the respective portfolios.</w:t>
      </w:r>
    </w:p>
    <w:p>
      <w:pPr>
        <w:spacing w:after="0" w:line="329"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Historical operating results for the three regions are as follows (in thousands):</w:t>
      </w:r>
    </w:p>
    <w:p>
      <w:pPr>
        <w:spacing w:after="0" w:line="200" w:lineRule="exact"/>
        <w:rPr>
          <w:sz w:val="20"/>
          <w:szCs w:val="20"/>
          <w:color w:val="auto"/>
        </w:rPr>
      </w:pPr>
    </w:p>
    <w:p>
      <w:pPr>
        <w:spacing w:after="0" w:line="291" w:lineRule="exact"/>
        <w:rPr>
          <w:sz w:val="20"/>
          <w:szCs w:val="20"/>
          <w:color w:val="auto"/>
        </w:rPr>
      </w:pPr>
    </w:p>
    <w:p>
      <w:pPr>
        <w:ind w:left="3980"/>
        <w:spacing w:after="0"/>
        <w:tabs>
          <w:tab w:leader="none" w:pos="5840" w:val="left"/>
          <w:tab w:leader="none" w:pos="77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Northeast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$113,078</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$102,452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$93,632</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Mid-Atlantic</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114,371</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111,624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103,676</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West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33,235</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31,757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24,878</w:t>
            </w:r>
          </w:p>
        </w:tc>
      </w:tr>
      <w:tr>
        <w:trPr>
          <w:trHeight w:val="166"/>
        </w:trPr>
        <w:tc>
          <w:tcPr>
            <w:tcW w:w="302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$260,684</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$245,833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$222,186</w:t>
            </w:r>
          </w:p>
        </w:tc>
      </w:tr>
      <w:tr>
        <w:trPr>
          <w:trHeight w:val="166"/>
        </w:trPr>
        <w:tc>
          <w:tcPr>
            <w:tcW w:w="302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Northeast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$79,685</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$74,276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$66,396</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Mid-Atlantic</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84,346</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81,425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76,065</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West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24,818</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22,665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17,311</w:t>
            </w:r>
          </w:p>
        </w:tc>
      </w:tr>
      <w:tr>
        <w:trPr>
          <w:trHeight w:val="166"/>
        </w:trPr>
        <w:tc>
          <w:tcPr>
            <w:tcW w:w="302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$188,849</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$178,366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$159,772</w:t>
            </w:r>
          </w:p>
        </w:tc>
      </w:tr>
      <w:tr>
        <w:trPr>
          <w:trHeight w:val="166"/>
        </w:trPr>
        <w:tc>
          <w:tcPr>
            <w:tcW w:w="302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Northeast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Northeast region is comprised of 54 assets, extending from suburban Philadelphia north to New York and its suburbs into New England and west to Illinois and Michigan. A significant portion of this portfolio has been held by the Trust for many years although acquisitions, redevelopment and retenanting remain major components to the current and future performance of the region. Several redevelopment projects were completed in 2000, which enhanced revenues and net operating income in 2000.</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When comparing 2000 with 1999, rental income increased 10% from $102.5 million in 1999 to $113.1 million in 2000. Excluding Greenlawn Plaza in Greenlawn, New York which was acquired on January 5, 2000, on a same center basis, rental income also increased 10%, primarily due to increases at the recently redeveloped and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2" w:name="page33"/>
    <w:bookmarkEnd w:id="32"/>
    <w:p>
      <w:pPr>
        <w:ind w:right="3939"/>
        <w:spacing w:after="0" w:line="255" w:lineRule="auto"/>
        <w:rPr>
          <w:sz w:val="20"/>
          <w:szCs w:val="20"/>
          <w:color w:val="auto"/>
        </w:rPr>
      </w:pPr>
      <w:r>
        <w:rPr>
          <w:rFonts w:ascii="Courier New" w:cs="Courier New" w:eastAsia="Courier New" w:hAnsi="Courier New"/>
          <w:sz w:val="14"/>
          <w:szCs w:val="14"/>
          <w:color w:val="auto"/>
        </w:rPr>
        <w:t>retenanted shopping centers such as, Bala Cynwyd, Lawrence Park, Gratiot, Langhorne Square, and Wynnewood.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Net operating income increased 7% from $74.3 million in 1999 to $79.7 million in 2000. Excluding Greenlawn Plaza in Greenlawn, New York which was acquired on January 5, 2000, on a same center basis, net operating income also increased 7%, primarily due to increases at the recently redeveloped and retenanted Bala Cynwyd, Lawrence Park, Gratiot, Langhorne Square, and Wynnewood shopping centers.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When comparing 1999 with 1998, rental income increased 9% from $93.6 million in 1998 to $102.5 million in 1999. Excluding properties acquired during the two periods, rental income increased 7%, driven by increases at the recently redeveloped and retenanted Brick, Feasterville, Gratiot, Huntington and Wynnewood shopping centers.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Net operating income increased 12% from $66.4 million in 1998 to $74.3 million in 1999. Excluding properties acquired in 1998 and 1999, net operating income increased 9%, primarily due to increases at the recently redeveloped and retenanted Brick, Feasterville, Gratiot, Huntington and Wynnewood shopping centers.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Mid-Atlantic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Mid-Atlantic region is comprised of 32 assets, including Pentagon Row which is currently under development, extending from Baltimore south to metropolitan Washington D.C. and further south through Virginia and North Carolina into Florida. As with the Northeast region, a significant portion of this portfolio has been held by the Trust for many years although acquisitions, redevelopment and retenanting remain major components to its current and future performance. Two of the Trust's major new development projects, Pentagon Row and additional phases of Bethesda Row, will be managed by this regional operating team upon their completion.</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When comparing 2000 with 1999, rental income increased 3% from $111.6 million in 1999 to $114.4 million in 2000. On a same center basis, excluding Northeast Plaza in Atlanta, Georgia which was sold in 1999 and the recently developed Phase 3 of the Bethesda Row project in Bethesda, Maryland, rental income increased 4%, due in part to new anchor leases at several centers. Net operating income increased 4% from $81.4 million in 1999 to $84.3 million in 2000. On a same center basis as above, net operating income increased 5%, due primarily to new anchor leases and lease termination fees.</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When comparing 1999 with 1998, rental income increased 8% from $103.7 million in 1998 to $111.6 million in 1999. Excluding properties acquired and sold in 1999 and 1998, rental income increased 5%.</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Net operating income increased 7% from $76.1 million in 1998 to $81.4 million in 1999. Excluding properties acquired and sold in 1999 and 1998, net operating income increased 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The West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West region is comprised of 38 assets, including Santana Row which is currently under development, extending from Texas to the West Coast. Unlike the Northeast and Mid-Atlantic regions, this portfolio is relatively new to the Trust and is part of a deliberate expansion west over the past several years. This region is the fastest growing at the Trust and includes the Trust's largest new development project, Santana Row in San Jose, California. Several redevelopment projects were completed in 2000 and several more are currently underway, particularly in southern California and San Antonio, Texas, which are expected to add to revenues and net operating income in 2001 and future years.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When comparing 2000 with 1999 on a same center basis, which excludes newly developed properties, Santana Row, which is currently under development, and properties sold and acquired since January 1, 1999, rental income increased 20% from $19.7 million in 1999 to $23.5 million in 2000, due primarily to recently redeveloped and retenanted properties in the Los Angeles and San Francisco, California areas. On an overall basis, which includes the impact of the sale of Peninsula Shopping Center on June 30, 2000 and the temporary reduction in earnings caused by the demolition of the old Town &amp; Country Shopping Center to make way for the new Santana Row development, rental income increased 5% from $31.8 million in 1999 to $33.2 million in 2000.</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the same center basis as defined above, net operating income increased 25% from $14.2 million in 1999 to $17.8 million in 2000, due to increases from the recently redeveloped and retenanted properties in the Los Angeles and San Francisco, California areas. Overall net operating income increased 10% from $22.7 million in 1999 to $24.8 million in 2000, again reflecting the sale of Peninsula Shopping Center and the temporary reduction in earnings caused by the Santana Row development.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When comparing 1999 with 1998, rental income increased 28% from $24.9 million in 1998 to $31.8 million in 1999. Excluding properties acquired in 1999 and 1998, rental income increased 11%, driven by the redevelopment of Old Town in Los Gatos, California and several street retail buildings in southern California.</w:t>
      </w:r>
    </w:p>
    <w:p>
      <w:pPr>
        <w:spacing w:after="0" w:line="32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Net operating income increased 31% from $17.3 million in 1998 to $22.7 million in 1999. Excluding properties acquired in 1999 and 1998, net operating income increased 14%, driven by the redevelopment of Old Town in Los Gatos, California and several street retail buildings in southern California.</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Funds from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Trust has historically reported its funds from operations in addition to its net income and net cash provided by operating activities. Funds from operations is a supplemental measure of real estate companies' operating performance. As of January 1, 2000, the National Association of Real Estate Investment Trusts (NAREIT) defines funds from operations as follows: income available for common shareholders before depreciation and amortization of real estate assets and before extraordinary items less gains on sale of real estate. Prior to January 1, 2000, funds from operations also excluded significant nonrecurring events.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72"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reconciliation of net income to funds from operations is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5440" w:type="dxa"/>
        <w:tblCellMar>
          <w:top w:w="0" w:type="dxa"/>
          <w:left w:w="0" w:type="dxa"/>
          <w:bottom w:w="0" w:type="dxa"/>
          <w:right w:w="0" w:type="dxa"/>
        </w:tblCellMar>
      </w:tblPr>
      <w:tr>
        <w:trPr>
          <w:trHeight w:val="162"/>
        </w:trPr>
        <w:tc>
          <w:tcPr>
            <w:tcW w:w="31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14"/>
                <w:szCs w:val="14"/>
                <w:color w:val="auto"/>
              </w:rPr>
            </w:pPr>
          </w:p>
        </w:tc>
      </w:tr>
      <w:tr>
        <w:trPr>
          <w:trHeight w:val="166"/>
        </w:trPr>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2000</w:t>
            </w: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2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$52,573</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$40,493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$37,010</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of real</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estate assets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48,456</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45,388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41,792</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 costs of</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leases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3,514</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3,033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2,491</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partnership units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1,311</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(Gain) loss on sale of real estate</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(3,681)</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Non-recurring items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4,665</w:t>
            </w:r>
          </w:p>
        </w:tc>
      </w:tr>
      <w:tr>
        <w:trPr>
          <w:trHeight w:val="166"/>
        </w:trPr>
        <w:tc>
          <w:tcPr>
            <w:tcW w:w="4320" w:type="dxa"/>
            <w:vAlign w:val="bottom"/>
          </w:tcPr>
          <w:p>
            <w:pPr>
              <w:spacing w:after="0"/>
              <w:rPr>
                <w:sz w:val="14"/>
                <w:szCs w:val="14"/>
                <w:color w:val="auto"/>
              </w:rPr>
            </w:pP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Funds from operations for common</w:t>
            </w:r>
          </w:p>
        </w:tc>
        <w:tc>
          <w:tcPr>
            <w:tcW w:w="2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$102,173</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$96,795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$86,536</w:t>
            </w:r>
          </w:p>
        </w:tc>
      </w:tr>
      <w:tr>
        <w:trPr>
          <w:trHeight w:val="166"/>
        </w:trPr>
        <w:tc>
          <w:tcPr>
            <w:tcW w:w="4320" w:type="dxa"/>
            <w:vAlign w:val="bottom"/>
          </w:tcPr>
          <w:p>
            <w:pPr>
              <w:spacing w:after="0"/>
              <w:rPr>
                <w:sz w:val="14"/>
                <w:szCs w:val="14"/>
                <w:color w:val="auto"/>
              </w:rPr>
            </w:pP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320" w:type="dxa"/>
            <w:vAlign w:val="bottom"/>
          </w:tcPr>
          <w:p>
            <w:pPr>
              <w:ind w:left="3360"/>
              <w:spacing w:after="0"/>
              <w:rPr>
                <w:sz w:val="20"/>
                <w:szCs w:val="20"/>
                <w:color w:val="auto"/>
              </w:rPr>
            </w:pPr>
            <w:r>
              <w:rPr>
                <w:rFonts w:ascii="Courier New" w:cs="Courier New" w:eastAsia="Courier New" w:hAnsi="Courier New"/>
                <w:sz w:val="14"/>
                <w:szCs w:val="14"/>
                <w:color w:val="auto"/>
              </w:rPr>
              <w:t>35</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Trust's primary financial market risk is the fluctuation in interest rates. At December 31, 2000, the Trust had $232.0 million of variable rate debt. Based upon this balance of variable debt, if interest rates increased 1%, the Trust's earnings and cash flows would decrease by $2.3 million. If interest rates decreased 1%, the Trust's earnings and cash flows would increase by $2.3 million. The Trust believes that the change in the fair value of its financial instruments resulting from a forseeable fluctuation in interest rates would be immaterial to its total assets and total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Item 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Changes in and Disagreements with Accountants on Accounting and</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Disclosure.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On May 5, 1999, the Trust appointed the accounting firm of Arthur Andersen LLP as independent public accountants to replace Grant Thornton LLP, which was dismissed effective the same date. The Trust's Board of Trustees approved the decision to change independent public accountants upon the recommendation of the Trust's Audit Committee. During the Trust's fiscal year ended December 31, 1998 and the interim period through March 31, 1999 there were no disagreements with Grant Thornton LLP on any matter of accounting principles or practices, financial statement disclosure or auditing scope or procedure. The reports issued by Grant Thornton LLP on the financial statements for the year ended December 31, 1998 contained no adverse opinion or disclaimer of opinion, and were not qualified as to uncertainty, audit scope or accounting principles.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the Trust's fiscal year ended December 31, 1998 and the interim period through March 31, 1999, the Trust had not consulted with Arthur Andersen LLP regarding the application of accounting principles to a specified transaction, the type of audit opinion that might be rendered on the Trust's financial statements, or any matter that was either the subject of a disagreement or a reportable event.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6" w:name="page37"/>
    <w:bookmarkEnd w:id="36"/>
    <w:p>
      <w:pPr>
        <w:ind w:left="310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10.Directors and Executive Officers of the Registrant.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353"/>
        <w:spacing w:after="0" w:line="255" w:lineRule="auto"/>
        <w:tabs>
          <w:tab w:leader="none" w:pos="77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identifying the Trust's Trustees under the caption "Election of Trustees" of the 2001 Proxy Statement is incorporated herein by reference.</w:t>
      </w:r>
    </w:p>
    <w:p>
      <w:pPr>
        <w:spacing w:after="0" w:line="159"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of the Registrant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required by this item is included in this report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under the caption "Executive Officers of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sections entitled "Summary Compensation Table" and "Aggregated Option Exercises in 2000 and December 31, 2000 Option Values" of the 2001 Proxy Statement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sections entitled "Ownership of Shares by Certain Beneficial Owners" and "Ownership of Shares by Trustees and Officers" of the 2001 Proxy Statement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section entitled "Certain Relationships and Related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2001 Proxy Statement is incorporated herein by reference.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37" w:name="page38"/>
    <w:bookmarkEnd w:id="37"/>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80"/>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Financial Statement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 and Reports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860" w:space="260"/>
            <w:col w:w="9119"/>
          </w:cols>
          <w:pgMar w:left="220" w:top="616" w:right="1440" w:bottom="1440" w:gutter="0" w:footer="0" w:header="0"/>
        </w:sect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620" w:space="500"/>
            <w:col w:w="9119"/>
          </w:cols>
          <w:pgMar w:left="220" w:top="616" w:right="1440" w:bottom="1440" w:gutter="0" w:footer="0" w:header="0"/>
          <w:type w:val="continuous"/>
        </w:sectPr>
      </w:pPr>
    </w:p>
    <w:tbl>
      <w:tblPr>
        <w:tblLayout w:type="fixed"/>
        <w:tblInd w:w="440" w:type="dxa"/>
        <w:tblCellMar>
          <w:top w:w="0" w:type="dxa"/>
          <w:left w:w="0" w:type="dxa"/>
          <w:bottom w:w="0" w:type="dxa"/>
          <w:right w:w="0" w:type="dxa"/>
        </w:tblCellMar>
      </w:tblPr>
      <w:tr>
        <w:trPr>
          <w:trHeight w:val="162"/>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Reports of Independent</w:t>
            </w:r>
          </w:p>
        </w:tc>
        <w:tc>
          <w:tcPr>
            <w:tcW w:w="820" w:type="dxa"/>
            <w:vAlign w:val="bottom"/>
          </w:tcPr>
          <w:p>
            <w:pPr>
              <w:spacing w:after="0"/>
              <w:rPr>
                <w:sz w:val="14"/>
                <w:szCs w:val="14"/>
                <w:color w:val="auto"/>
              </w:rPr>
            </w:pPr>
          </w:p>
        </w:tc>
      </w:tr>
      <w:tr>
        <w:trPr>
          <w:trHeight w:val="166"/>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Public Accountants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F-1 - F-2</w:t>
            </w:r>
          </w:p>
        </w:tc>
      </w:tr>
      <w:tr>
        <w:trPr>
          <w:trHeight w:val="331"/>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Balance Sheets-</w:t>
            </w:r>
          </w:p>
        </w:tc>
        <w:tc>
          <w:tcPr>
            <w:tcW w:w="820" w:type="dxa"/>
            <w:vAlign w:val="bottom"/>
          </w:tcPr>
          <w:p>
            <w:pPr>
              <w:spacing w:after="0"/>
              <w:rPr>
                <w:sz w:val="24"/>
                <w:szCs w:val="2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December 31,</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2000 and 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1"/>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Statements of</w:t>
            </w:r>
          </w:p>
        </w:tc>
        <w:tc>
          <w:tcPr>
            <w:tcW w:w="820" w:type="dxa"/>
            <w:vAlign w:val="bottom"/>
          </w:tcPr>
          <w:p>
            <w:pPr>
              <w:spacing w:after="0"/>
              <w:rPr>
                <w:sz w:val="24"/>
                <w:szCs w:val="2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Operations -</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years ended</w:t>
            </w:r>
          </w:p>
        </w:tc>
        <w:tc>
          <w:tcPr>
            <w:tcW w:w="820" w:type="dxa"/>
            <w:vAlign w:val="bottom"/>
          </w:tcPr>
          <w:p>
            <w:pPr>
              <w:spacing w:after="0"/>
              <w:rPr>
                <w:sz w:val="14"/>
                <w:szCs w:val="1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December 31,</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2000, 1999</w:t>
            </w:r>
          </w:p>
        </w:tc>
        <w:tc>
          <w:tcPr>
            <w:tcW w:w="820" w:type="dxa"/>
            <w:vAlign w:val="bottom"/>
          </w:tcPr>
          <w:p>
            <w:pPr>
              <w:spacing w:after="0"/>
              <w:rPr>
                <w:sz w:val="14"/>
                <w:szCs w:val="14"/>
                <w:color w:val="auto"/>
              </w:rPr>
            </w:pP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and 1998</w:t>
            </w: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Statements of Common</w:t>
            </w:r>
          </w:p>
        </w:tc>
        <w:tc>
          <w:tcPr>
            <w:tcW w:w="820" w:type="dxa"/>
            <w:vAlign w:val="bottom"/>
          </w:tcPr>
          <w:p>
            <w:pPr>
              <w:spacing w:after="0"/>
              <w:rPr>
                <w:sz w:val="24"/>
                <w:szCs w:val="24"/>
                <w:color w:val="auto"/>
              </w:rPr>
            </w:pPr>
          </w:p>
        </w:tc>
      </w:tr>
      <w:tr>
        <w:trPr>
          <w:trHeight w:val="166"/>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Shareholders' Equity - years</w:t>
            </w:r>
          </w:p>
        </w:tc>
        <w:tc>
          <w:tcPr>
            <w:tcW w:w="820" w:type="dxa"/>
            <w:vAlign w:val="bottom"/>
          </w:tcPr>
          <w:p>
            <w:pPr>
              <w:spacing w:after="0"/>
              <w:rPr>
                <w:sz w:val="14"/>
                <w:szCs w:val="14"/>
                <w:color w:val="auto"/>
              </w:rPr>
            </w:pPr>
          </w:p>
        </w:tc>
      </w:tr>
      <w:tr>
        <w:trPr>
          <w:trHeight w:val="166"/>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ended December 31, 2000, 1999</w:t>
            </w:r>
          </w:p>
        </w:tc>
        <w:tc>
          <w:tcPr>
            <w:tcW w:w="820" w:type="dxa"/>
            <w:vAlign w:val="bottom"/>
          </w:tcPr>
          <w:p>
            <w:pPr>
              <w:spacing w:after="0"/>
              <w:rPr>
                <w:sz w:val="14"/>
                <w:szCs w:val="14"/>
                <w:color w:val="auto"/>
              </w:rPr>
            </w:pP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and 1998</w:t>
            </w: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497"/>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Consolidated</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Statements of</w:t>
            </w:r>
          </w:p>
        </w:tc>
        <w:tc>
          <w:tcPr>
            <w:tcW w:w="820" w:type="dxa"/>
            <w:vAlign w:val="bottom"/>
          </w:tcPr>
          <w:p>
            <w:pPr>
              <w:spacing w:after="0"/>
              <w:rPr>
                <w:sz w:val="24"/>
                <w:szCs w:val="2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Cash Flows -</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years ended</w:t>
            </w:r>
          </w:p>
        </w:tc>
        <w:tc>
          <w:tcPr>
            <w:tcW w:w="820" w:type="dxa"/>
            <w:vAlign w:val="bottom"/>
          </w:tcPr>
          <w:p>
            <w:pPr>
              <w:spacing w:after="0"/>
              <w:rPr>
                <w:sz w:val="14"/>
                <w:szCs w:val="1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December 31,</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2000, 1999 and</w:t>
            </w:r>
          </w:p>
        </w:tc>
        <w:tc>
          <w:tcPr>
            <w:tcW w:w="820" w:type="dxa"/>
            <w:vAlign w:val="bottom"/>
          </w:tcPr>
          <w:p>
            <w:pPr>
              <w:spacing w:after="0"/>
              <w:rPr>
                <w:sz w:val="14"/>
                <w:szCs w:val="14"/>
                <w:color w:val="auto"/>
              </w:rPr>
            </w:pP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Notes to Consolidated</w:t>
            </w:r>
          </w:p>
        </w:tc>
        <w:tc>
          <w:tcPr>
            <w:tcW w:w="820" w:type="dxa"/>
            <w:vAlign w:val="bottom"/>
          </w:tcPr>
          <w:p>
            <w:pPr>
              <w:spacing w:after="0"/>
              <w:rPr>
                <w:sz w:val="24"/>
                <w:szCs w:val="24"/>
                <w:color w:val="auto"/>
              </w:rPr>
            </w:pPr>
          </w:p>
        </w:tc>
      </w:tr>
      <w:tr>
        <w:trPr>
          <w:trHeight w:val="166"/>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Financial Statements</w:t>
            </w:r>
          </w:p>
        </w:tc>
        <w:tc>
          <w:tcPr>
            <w:tcW w:w="820" w:type="dxa"/>
            <w:vAlign w:val="bottom"/>
          </w:tcPr>
          <w:p>
            <w:pPr>
              <w:spacing w:after="0"/>
              <w:rPr>
                <w:sz w:val="14"/>
                <w:szCs w:val="14"/>
                <w:color w:val="auto"/>
              </w:rPr>
            </w:pPr>
          </w:p>
        </w:tc>
      </w:tr>
      <w:tr>
        <w:trPr>
          <w:trHeight w:val="166"/>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(Including Selected Quarterly</w:t>
            </w:r>
          </w:p>
        </w:tc>
        <w:tc>
          <w:tcPr>
            <w:tcW w:w="820" w:type="dxa"/>
            <w:vAlign w:val="bottom"/>
          </w:tcPr>
          <w:p>
            <w:pPr>
              <w:spacing w:after="0"/>
              <w:rPr>
                <w:sz w:val="14"/>
                <w:szCs w:val="14"/>
                <w:color w:val="auto"/>
              </w:rPr>
            </w:pP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Data)</w:t>
            </w: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F-7 - F27</w:t>
            </w:r>
          </w:p>
        </w:tc>
      </w:tr>
      <w:tr>
        <w:trPr>
          <w:trHeight w:val="497"/>
        </w:trPr>
        <w:tc>
          <w:tcPr>
            <w:tcW w:w="68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 Schedules</w:t>
            </w:r>
          </w:p>
        </w:tc>
        <w:tc>
          <w:tcPr>
            <w:tcW w:w="820" w:type="dxa"/>
            <w:vAlign w:val="bottom"/>
          </w:tcPr>
          <w:p>
            <w:pPr>
              <w:spacing w:after="0"/>
              <w:rPr>
                <w:sz w:val="24"/>
                <w:szCs w:val="24"/>
                <w:color w:val="auto"/>
              </w:rPr>
            </w:pPr>
          </w:p>
        </w:tc>
      </w:tr>
      <w:tr>
        <w:trPr>
          <w:trHeight w:val="166"/>
        </w:trPr>
        <w:tc>
          <w:tcPr>
            <w:tcW w:w="68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Schedule III</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 Summary of Real Estate</w:t>
            </w:r>
          </w:p>
        </w:tc>
        <w:tc>
          <w:tcPr>
            <w:tcW w:w="820" w:type="dxa"/>
            <w:vAlign w:val="bottom"/>
          </w:tcPr>
          <w:p>
            <w:pPr>
              <w:spacing w:after="0"/>
              <w:rPr>
                <w:sz w:val="24"/>
                <w:szCs w:val="24"/>
                <w:color w:val="auto"/>
              </w:rPr>
            </w:pPr>
          </w:p>
        </w:tc>
      </w:tr>
      <w:tr>
        <w:trPr>
          <w:trHeight w:val="166"/>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and Accumulated Depreciation.....................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F28 - F31</w:t>
            </w:r>
          </w:p>
        </w:tc>
      </w:tr>
      <w:tr>
        <w:trPr>
          <w:trHeight w:val="331"/>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Schedule IV - Mortgage Loans on Real</w:t>
            </w:r>
          </w:p>
        </w:tc>
        <w:tc>
          <w:tcPr>
            <w:tcW w:w="820" w:type="dxa"/>
            <w:vAlign w:val="bottom"/>
          </w:tcPr>
          <w:p>
            <w:pPr>
              <w:spacing w:after="0"/>
              <w:rPr>
                <w:sz w:val="24"/>
                <w:szCs w:val="24"/>
                <w:color w:val="auto"/>
              </w:rPr>
            </w:pPr>
          </w:p>
        </w:tc>
      </w:tr>
      <w:tr>
        <w:trPr>
          <w:trHeight w:val="166"/>
        </w:trPr>
        <w:tc>
          <w:tcPr>
            <w:tcW w:w="1080" w:type="dxa"/>
            <w:vAlign w:val="bottom"/>
            <w:gridSpan w:val="2"/>
          </w:tcPr>
          <w:p>
            <w:pPr>
              <w:spacing w:after="0"/>
              <w:rPr>
                <w:sz w:val="20"/>
                <w:szCs w:val="20"/>
                <w:color w:val="auto"/>
              </w:rPr>
            </w:pPr>
            <w:r>
              <w:rPr>
                <w:rFonts w:ascii="Courier New" w:cs="Courier New" w:eastAsia="Courier New" w:hAnsi="Courier New"/>
                <w:sz w:val="5"/>
                <w:szCs w:val="5"/>
                <w:color w:val="auto"/>
                <w:w w:val="72"/>
              </w:rPr>
              <w:t>Estate ..........................................</w:t>
            </w:r>
          </w:p>
        </w:tc>
        <w:tc>
          <w:tcPr>
            <w:tcW w:w="3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F32 - F33</w:t>
            </w:r>
          </w:p>
        </w:tc>
      </w:tr>
      <w:tr>
        <w:trPr>
          <w:trHeight w:val="331"/>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tcPr>
          <w:p>
            <w:pPr>
              <w:ind w:left="1840"/>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38" w:name="page39"/>
    <w:bookmarkEnd w:id="38"/>
    <w:p>
      <w:pPr>
        <w:spacing w:after="0"/>
        <w:tabs>
          <w:tab w:leader="none" w:pos="420" w:val="left"/>
          <w:tab w:leader="none" w:pos="1100" w:val="left"/>
        </w:tabs>
        <w:rPr>
          <w:sz w:val="20"/>
          <w:szCs w:val="20"/>
          <w:color w:val="auto"/>
        </w:rPr>
      </w:pPr>
      <w:r>
        <w:rPr>
          <w:rFonts w:ascii="Courier New" w:cs="Courier New" w:eastAsia="Courier New" w:hAnsi="Courier New"/>
          <w:sz w:val="14"/>
          <w:szCs w:val="14"/>
          <w:color w:val="auto"/>
        </w:rPr>
        <w:t>(a)</w:t>
        <w:tab/>
        <w:t>3.</w:t>
      </w:r>
      <w:r>
        <w:rPr>
          <w:sz w:val="20"/>
          <w:szCs w:val="20"/>
          <w:color w:val="auto"/>
        </w:rPr>
        <w:tab/>
      </w:r>
      <w:r>
        <w:rPr>
          <w:rFonts w:ascii="Courier New" w:cs="Courier New" w:eastAsia="Courier New" w:hAnsi="Courier New"/>
          <w:sz w:val="14"/>
          <w:szCs w:val="14"/>
          <w:color w:val="auto"/>
        </w:rPr>
        <w:t>Exhibits</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right="3339" w:hanging="421"/>
        <w:spacing w:after="0" w:line="252"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Declaration of Trust of Federal Realty Investment Trust dated May 5, 1999 filed with the Commission on May 25, 1999 as an exhibit to the Trust's Current Report on Form 8-K is incorporated herein by reference thereto.</w:t>
      </w:r>
    </w:p>
    <w:p>
      <w:pPr>
        <w:spacing w:after="0" w:line="162" w:lineRule="exact"/>
        <w:rPr>
          <w:rFonts w:ascii="Courier New" w:cs="Courier New" w:eastAsia="Courier New" w:hAnsi="Courier New"/>
          <w:sz w:val="14"/>
          <w:szCs w:val="14"/>
          <w:color w:val="auto"/>
        </w:rPr>
      </w:pPr>
    </w:p>
    <w:p>
      <w:pPr>
        <w:ind w:left="860" w:right="3339" w:firstLine="10"/>
        <w:spacing w:after="0" w:line="252" w:lineRule="auto"/>
        <w:tabs>
          <w:tab w:leader="none" w:pos="154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the Trust dated May 5, 1999 filed with the Commission on May 25, 1999 as an exhibit to the Trust's Current Report on Form 8-K is incorporated herein by reference thereto.</w:t>
      </w:r>
    </w:p>
    <w:p>
      <w:pPr>
        <w:spacing w:after="0" w:line="162"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description of a Common Share of Beneficial Interest certificate filed with the Commission as a portion of Exhibit 4 to the Trust's Annual Report on Form 10-K for the year ended December 31, 1999 is incorporated herein by reference thereto.</w:t>
      </w:r>
    </w:p>
    <w:p>
      <w:pPr>
        <w:spacing w:after="0" w:line="162" w:lineRule="exact"/>
        <w:rPr>
          <w:rFonts w:ascii="Courier New" w:cs="Courier New" w:eastAsia="Courier New" w:hAnsi="Courier New"/>
          <w:sz w:val="14"/>
          <w:szCs w:val="14"/>
          <w:color w:val="auto"/>
        </w:rPr>
      </w:pPr>
    </w:p>
    <w:p>
      <w:pPr>
        <w:ind w:left="860" w:right="3339" w:firstLine="10"/>
        <w:spacing w:after="0" w:line="252" w:lineRule="auto"/>
        <w:tabs>
          <w:tab w:leader="none" w:pos="154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 7.95% Series A Cumulative Redeemable Preferred Share certificate filed with the Commission as a portion of Exhibit 4 to the Trust's Annual Report on Form 10-K for the year ended December 31, 1999 is incorporated herein by reference thereto.</w:t>
      </w:r>
    </w:p>
    <w:p>
      <w:pPr>
        <w:spacing w:after="0" w:line="162" w:lineRule="exact"/>
        <w:rPr>
          <w:rFonts w:ascii="Courier New" w:cs="Courier New" w:eastAsia="Courier New" w:hAnsi="Courier New"/>
          <w:sz w:val="14"/>
          <w:szCs w:val="14"/>
          <w:color w:val="auto"/>
        </w:rPr>
      </w:pPr>
    </w:p>
    <w:p>
      <w:pPr>
        <w:ind w:left="860" w:right="3339" w:firstLine="10"/>
        <w:spacing w:after="0" w:line="252" w:lineRule="auto"/>
        <w:tabs>
          <w:tab w:leader="none" w:pos="154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Designation for Shares, filed on Form 8-K with the Commission on October 3, 1997, is incorporated herein by reference thereto.</w:t>
      </w:r>
    </w:p>
    <w:p>
      <w:pPr>
        <w:spacing w:after="0" w:line="162" w:lineRule="exact"/>
        <w:rPr>
          <w:rFonts w:ascii="Courier New" w:cs="Courier New" w:eastAsia="Courier New" w:hAnsi="Courier New"/>
          <w:sz w:val="14"/>
          <w:szCs w:val="14"/>
          <w:color w:val="auto"/>
        </w:rPr>
      </w:pPr>
    </w:p>
    <w:p>
      <w:pPr>
        <w:ind w:left="860" w:right="3599" w:firstLine="10"/>
        <w:spacing w:after="0" w:line="252" w:lineRule="auto"/>
        <w:tabs>
          <w:tab w:leader="none" w:pos="154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 1/4% Convertible Subordinated Debenture due 2002 as described in Amendment No. 1 to Form S-3 (File No. 33-15264), filed with the Commission on August 4, 1987 is incorporated herein by reference thereto.</w:t>
      </w:r>
    </w:p>
    <w:p>
      <w:pPr>
        <w:spacing w:after="0" w:line="162" w:lineRule="exact"/>
        <w:rPr>
          <w:rFonts w:ascii="Courier New" w:cs="Courier New" w:eastAsia="Courier New" w:hAnsi="Courier New"/>
          <w:sz w:val="14"/>
          <w:szCs w:val="14"/>
          <w:color w:val="auto"/>
        </w:rPr>
      </w:pPr>
    </w:p>
    <w:p>
      <w:pPr>
        <w:jc w:val="both"/>
        <w:ind w:left="860" w:right="3519" w:firstLine="10"/>
        <w:spacing w:after="0" w:line="252" w:lineRule="auto"/>
        <w:tabs>
          <w:tab w:leader="none" w:pos="1549"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line="162" w:lineRule="exact"/>
        <w:rPr>
          <w:rFonts w:ascii="Courier New" w:cs="Courier New" w:eastAsia="Courier New" w:hAnsi="Courier New"/>
          <w:sz w:val="14"/>
          <w:szCs w:val="14"/>
          <w:color w:val="auto"/>
        </w:rPr>
      </w:pPr>
    </w:p>
    <w:p>
      <w:pPr>
        <w:ind w:left="1640" w:hanging="770"/>
        <w:spacing w:after="0"/>
        <w:tabs>
          <w:tab w:leader="none" w:pos="16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December 13, 1993, related to the Trust's</w:t>
      </w:r>
    </w:p>
    <w:p>
      <w:pPr>
        <w:spacing w:after="0" w:line="7"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Trust's Registration Statement on Form S-3, (File No. 33-51029) and amended on Form S-3 (File No. 33-63687), effective December 4, 1995 is incorporated herein by reference thereto.</w:t>
      </w:r>
    </w:p>
    <w:p>
      <w:pPr>
        <w:spacing w:after="0" w:line="164" w:lineRule="exact"/>
        <w:rPr>
          <w:sz w:val="20"/>
          <w:szCs w:val="20"/>
          <w:color w:val="auto"/>
        </w:rPr>
      </w:pPr>
    </w:p>
    <w:p>
      <w:pPr>
        <w:ind w:left="860" w:right="3339" w:firstLine="10"/>
        <w:spacing w:after="0" w:line="252" w:lineRule="auto"/>
        <w:tabs>
          <w:tab w:leader="none" w:pos="154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September 1, 1998 related to the Trust's 8.75% Notes due December 1, 2009 filed as exhibit 4(a) to the Trust's Registration Statement on Form S-3 (File No. 333-63619) is incorporated herein by reference thereto.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39" w:name="page40"/>
    <w:bookmarkEnd w:id="39"/>
    <w:p>
      <w:pPr>
        <w:ind w:left="421" w:right="3419" w:firstLine="10"/>
        <w:spacing w:after="0" w:line="252" w:lineRule="auto"/>
        <w:tabs>
          <w:tab w:leader="none" w:pos="111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Reinvestment and Share Purchase Plan, dated November 3, 1995, filed with the Commission on Form S-3 on November 3, 1995 (File No. 33-63955) is incorporated herein by reference thereto.</w:t>
      </w:r>
    </w:p>
    <w:p>
      <w:pPr>
        <w:spacing w:after="0" w:line="328" w:lineRule="exact"/>
        <w:rPr>
          <w:rFonts w:ascii="Courier New" w:cs="Courier New" w:eastAsia="Courier New" w:hAnsi="Courier New"/>
          <w:sz w:val="14"/>
          <w:szCs w:val="14"/>
          <w:color w:val="auto"/>
        </w:rPr>
      </w:pPr>
    </w:p>
    <w:p>
      <w:pPr>
        <w:ind w:left="421" w:right="3779" w:hanging="421"/>
        <w:spacing w:after="0" w:line="252" w:lineRule="auto"/>
        <w:tabs>
          <w:tab w:leader="none" w:pos="42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Consultancy Agreement with Samuel J. Gorlitz, as amended, filed with the Commission as Exhibit 10 (v) to the Trust's Annual Report on Form 10-K for the year ended December 31, 1983, is incorporated herein by reference thereto.</w:t>
      </w:r>
    </w:p>
    <w:p>
      <w:pPr>
        <w:spacing w:after="0" w:line="162" w:lineRule="exact"/>
        <w:rPr>
          <w:rFonts w:ascii="Courier New" w:cs="Courier New" w:eastAsia="Courier New" w:hAnsi="Courier New"/>
          <w:sz w:val="14"/>
          <w:szCs w:val="14"/>
          <w:color w:val="auto"/>
        </w:rPr>
      </w:pPr>
    </w:p>
    <w:p>
      <w:pPr>
        <w:jc w:val="both"/>
        <w:ind w:left="421" w:right="333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1983 Stock Option Plan adopted May 12, 1983, filed with the Commission as Exhibit 10 (vi) to the Trust's Annual Report on Form 10-K for the year ended December 31, 1983, is incorporated herein by reference.</w:t>
      </w:r>
    </w:p>
    <w:p>
      <w:pPr>
        <w:spacing w:after="0" w:line="162" w:lineRule="exact"/>
        <w:rPr>
          <w:rFonts w:ascii="Courier New" w:cs="Courier New" w:eastAsia="Courier New" w:hAnsi="Courier New"/>
          <w:sz w:val="14"/>
          <w:szCs w:val="14"/>
          <w:color w:val="auto"/>
        </w:rPr>
      </w:pPr>
    </w:p>
    <w:p>
      <w:pPr>
        <w:ind w:left="421" w:right="333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Agreement with Steven J. Guttman dated December 13, 1978, filed with the Commission as Exhibit 10 (iv) to the Trust's Annual Report on Form 10-K for the year ended December 31, 1980 is incorporated herein by reference thereto.</w:t>
      </w:r>
    </w:p>
    <w:p>
      <w:pPr>
        <w:spacing w:after="0" w:line="162" w:lineRule="exact"/>
        <w:rPr>
          <w:rFonts w:ascii="Courier New" w:cs="Courier New" w:eastAsia="Courier New" w:hAnsi="Courier New"/>
          <w:sz w:val="14"/>
          <w:szCs w:val="14"/>
          <w:color w:val="auto"/>
        </w:rPr>
      </w:pPr>
    </w:p>
    <w:p>
      <w:pPr>
        <w:ind w:left="421" w:right="341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1985 Non-Qualified Stock Option Plan, adopted on September 13, 1985, filed with the Commission as a portion of Exhibit 10 to the Trust's Annual Report on Form 10-K for the year ended December 31, 1985 is incorporated herein by reference thereto.</w:t>
      </w:r>
    </w:p>
    <w:p>
      <w:pPr>
        <w:spacing w:after="0" w:line="162" w:lineRule="exact"/>
        <w:rPr>
          <w:rFonts w:ascii="Courier New" w:cs="Courier New" w:eastAsia="Courier New" w:hAnsi="Courier New"/>
          <w:sz w:val="14"/>
          <w:szCs w:val="14"/>
          <w:color w:val="auto"/>
        </w:rPr>
      </w:pPr>
    </w:p>
    <w:p>
      <w:pPr>
        <w:ind w:left="421" w:right="333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Consultancy Agreement with Samuel J. Gorlitz, filed as a portion of Exhibit 10 to the Trust's Annual Report on Form 10-K for the year ended December 31, 1988 is incorporated herein by reference thereto.</w:t>
      </w:r>
    </w:p>
    <w:p>
      <w:pPr>
        <w:spacing w:after="0" w:line="162" w:lineRule="exact"/>
        <w:rPr>
          <w:rFonts w:ascii="Courier New" w:cs="Courier New" w:eastAsia="Courier New" w:hAnsi="Courier New"/>
          <w:sz w:val="14"/>
          <w:szCs w:val="14"/>
          <w:color w:val="auto"/>
        </w:rPr>
      </w:pPr>
    </w:p>
    <w:p>
      <w:pPr>
        <w:ind w:left="421" w:right="351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62" w:lineRule="exact"/>
        <w:rPr>
          <w:rFonts w:ascii="Courier New" w:cs="Courier New" w:eastAsia="Courier New" w:hAnsi="Courier New"/>
          <w:sz w:val="14"/>
          <w:szCs w:val="14"/>
          <w:color w:val="auto"/>
        </w:rPr>
      </w:pPr>
    </w:p>
    <w:p>
      <w:pPr>
        <w:ind w:left="421" w:right="333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ind w:left="421" w:right="341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ind w:left="421" w:right="3339" w:firstLine="10"/>
        <w:spacing w:after="0" w:line="252" w:lineRule="auto"/>
        <w:tabs>
          <w:tab w:leader="none" w:pos="111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October 1, 1992, to Voting Trust Agreement dated as of March 3, 1989 by and between I. Wolford Berman and Dennis L. Berman filed as an exhibit to the Trust's Annual Report on Form 10-K for the year ended</w:t>
      </w:r>
    </w:p>
    <w:p>
      <w:pPr>
        <w:spacing w:after="0" w:line="162"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9800"/>
          </w:cols>
          <w:pgMar w:left="659" w:top="616" w:right="1440" w:bottom="1440" w:gutter="0" w:footer="0" w:header="0"/>
        </w:sectPr>
      </w:pPr>
    </w:p>
    <w:bookmarkStart w:id="40" w:name="page41"/>
    <w:bookmarkEnd w:id="40"/>
    <w:p>
      <w:pPr>
        <w:ind w:left="860"/>
        <w:spacing w:after="0"/>
        <w:rPr>
          <w:sz w:val="20"/>
          <w:szCs w:val="20"/>
          <w:color w:val="auto"/>
        </w:rPr>
      </w:pPr>
      <w:r>
        <w:rPr>
          <w:rFonts w:ascii="Courier New" w:cs="Courier New" w:eastAsia="Courier New" w:hAnsi="Courier New"/>
          <w:sz w:val="14"/>
          <w:szCs w:val="14"/>
          <w:color w:val="auto"/>
        </w:rPr>
        <w:t>December 31, 1992 is incorporated herein by reference thereto.</w:t>
      </w:r>
    </w:p>
    <w:p>
      <w:pPr>
        <w:spacing w:after="0" w:line="173" w:lineRule="exact"/>
        <w:rPr>
          <w:sz w:val="20"/>
          <w:szCs w:val="20"/>
          <w:color w:val="auto"/>
        </w:rPr>
      </w:pPr>
    </w:p>
    <w:p>
      <w:pPr>
        <w:ind w:left="860" w:right="3339" w:firstLine="10"/>
        <w:spacing w:after="0" w:line="251" w:lineRule="auto"/>
        <w:tabs>
          <w:tab w:leader="none" w:pos="154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as amended on October 6, 1997 and further amended on May 6, 1998 , filed with the Commission as portions of Item 10 to the Trust's Annual Report on Form 10-K for the year ended December 31, 1998, is incorporated herein by reference thereto.</w:t>
      </w:r>
    </w:p>
    <w:p>
      <w:pPr>
        <w:spacing w:after="0" w:line="165"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 ended September 30, 1993 are incorporated herein by reference thereto:</w:t>
      </w:r>
    </w:p>
    <w:p>
      <w:pPr>
        <w:spacing w:after="0" w:line="163" w:lineRule="exact"/>
        <w:rPr>
          <w:sz w:val="20"/>
          <w:szCs w:val="20"/>
          <w:color w:val="auto"/>
        </w:rPr>
      </w:pPr>
    </w:p>
    <w:p>
      <w:pPr>
        <w:ind w:left="860" w:right="3519" w:firstLine="10"/>
        <w:spacing w:after="0" w:line="255" w:lineRule="auto"/>
        <w:tabs>
          <w:tab w:leader="none" w:pos="154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28, 1993 between Federal Realty Investment Trust and Citibank, N.A.</w:t>
      </w:r>
    </w:p>
    <w:p>
      <w:pPr>
        <w:spacing w:after="0" w:line="159" w:lineRule="exact"/>
        <w:rPr>
          <w:rFonts w:ascii="Courier New" w:cs="Courier New" w:eastAsia="Courier New" w:hAnsi="Courier New"/>
          <w:sz w:val="14"/>
          <w:szCs w:val="14"/>
          <w:color w:val="auto"/>
        </w:rPr>
      </w:pPr>
    </w:p>
    <w:p>
      <w:pPr>
        <w:ind w:left="860" w:right="3419" w:firstLine="10"/>
        <w:spacing w:after="0" w:line="251" w:lineRule="auto"/>
        <w:tabs>
          <w:tab w:leader="none" w:pos="154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thereto.</w:t>
      </w:r>
    </w:p>
    <w:p>
      <w:pPr>
        <w:spacing w:after="0" w:line="164" w:lineRule="exact"/>
        <w:rPr>
          <w:rFonts w:ascii="Courier New" w:cs="Courier New" w:eastAsia="Courier New" w:hAnsi="Courier New"/>
          <w:sz w:val="14"/>
          <w:szCs w:val="14"/>
          <w:color w:val="auto"/>
        </w:rPr>
      </w:pPr>
    </w:p>
    <w:p>
      <w:pPr>
        <w:ind w:left="860" w:right="3419" w:firstLine="10"/>
        <w:spacing w:after="0" w:line="251" w:lineRule="auto"/>
        <w:tabs>
          <w:tab w:leader="none" w:pos="154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64" w:lineRule="exact"/>
        <w:rPr>
          <w:rFonts w:ascii="Courier New" w:cs="Courier New" w:eastAsia="Courier New" w:hAnsi="Courier New"/>
          <w:sz w:val="14"/>
          <w:szCs w:val="14"/>
          <w:color w:val="auto"/>
        </w:rPr>
      </w:pPr>
    </w:p>
    <w:p>
      <w:pPr>
        <w:ind w:left="860" w:right="3339" w:firstLine="10"/>
        <w:spacing w:after="0" w:line="251" w:lineRule="auto"/>
        <w:tabs>
          <w:tab w:leader="none" w:pos="154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Severance Agreement between Federal Realty Investment Trust and Certain of its Officers dated December 31, 1994, filed with the Commission as a portion of Exhibit 10 to the Trust's Annual Report on Form 10-K for the year ended December 31, 1994, is incorporated herein by reference thereto.</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filed with the Commission as portions of Exhibit 10 to the Trust's Annual Report on Form 10-K for the year ended December 31, 1997, are incorporated herein by reference thereto:</w:t>
      </w:r>
    </w:p>
    <w:p>
      <w:pPr>
        <w:spacing w:after="0" w:line="163" w:lineRule="exact"/>
        <w:rPr>
          <w:sz w:val="20"/>
          <w:szCs w:val="20"/>
          <w:color w:val="auto"/>
        </w:rPr>
      </w:pPr>
    </w:p>
    <w:p>
      <w:pPr>
        <w:ind w:left="860" w:right="3339" w:firstLine="10"/>
        <w:spacing w:after="0" w:line="251" w:lineRule="auto"/>
        <w:tabs>
          <w:tab w:leader="none" w:pos="154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December 19, 1997 by and among Federal Realty Investment Trust, as Borrower, The Financial Institutions Party Thereto and Their Assignees Under Section 13.5.(a), as Lenders, Corestates Bank, N.A., as Syndication Agent, First Union National Bank, as Administrative Agent and as Arranger, and Wells Fargo Bank, as Documentation Agent and as Co- Arranger.</w:t>
      </w:r>
    </w:p>
    <w:p>
      <w:pPr>
        <w:spacing w:after="0" w:line="164" w:lineRule="exact"/>
        <w:rPr>
          <w:rFonts w:ascii="Courier New" w:cs="Courier New" w:eastAsia="Courier New" w:hAnsi="Courier New"/>
          <w:sz w:val="14"/>
          <w:szCs w:val="14"/>
          <w:color w:val="auto"/>
        </w:rPr>
      </w:pPr>
    </w:p>
    <w:p>
      <w:pPr>
        <w:ind w:left="860" w:right="3859" w:firstLine="10"/>
        <w:spacing w:after="0" w:line="255" w:lineRule="auto"/>
        <w:tabs>
          <w:tab w:leader="none" w:pos="154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between Federal Realty Investment Trust and Steven J. Guttman, as of January 1, 1998.</w:t>
      </w:r>
    </w:p>
    <w:p>
      <w:pPr>
        <w:spacing w:after="0" w:line="159" w:lineRule="exact"/>
        <w:rPr>
          <w:rFonts w:ascii="Courier New" w:cs="Courier New" w:eastAsia="Courier New" w:hAnsi="Courier New"/>
          <w:sz w:val="14"/>
          <w:szCs w:val="14"/>
          <w:color w:val="auto"/>
        </w:rPr>
      </w:pPr>
    </w:p>
    <w:p>
      <w:pPr>
        <w:ind w:left="860" w:right="3339" w:firstLine="10"/>
        <w:spacing w:after="0" w:line="255" w:lineRule="auto"/>
        <w:tabs>
          <w:tab w:leader="none" w:pos="154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Amended and Restated Restricted Share Award Agreements between Federal Realty Investment Trust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1" w:name="page42"/>
    <w:bookmarkEnd w:id="41"/>
    <w:p>
      <w:pPr>
        <w:ind w:left="860"/>
        <w:spacing w:after="0"/>
        <w:rPr>
          <w:sz w:val="20"/>
          <w:szCs w:val="20"/>
          <w:color w:val="auto"/>
        </w:rPr>
      </w:pPr>
      <w:r>
        <w:rPr>
          <w:rFonts w:ascii="Courier New" w:cs="Courier New" w:eastAsia="Courier New" w:hAnsi="Courier New"/>
          <w:sz w:val="14"/>
          <w:szCs w:val="14"/>
          <w:color w:val="auto"/>
        </w:rPr>
        <w:t>and Steven J. Guttman for the years 1998 through 2002.</w:t>
      </w:r>
    </w:p>
    <w:p>
      <w:pPr>
        <w:spacing w:after="0" w:line="173" w:lineRule="exact"/>
        <w:rPr>
          <w:sz w:val="20"/>
          <w:szCs w:val="20"/>
          <w:color w:val="auto"/>
        </w:rPr>
      </w:pPr>
    </w:p>
    <w:p>
      <w:pPr>
        <w:ind w:left="860" w:right="367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Agreements between Federal Realty Investment Trust and Ron D. Kaplan, as of January 1, 1998.</w:t>
      </w:r>
    </w:p>
    <w:p>
      <w:pPr>
        <w:spacing w:after="0" w:line="159" w:lineRule="exact"/>
        <w:rPr>
          <w:rFonts w:ascii="Courier New" w:cs="Courier New" w:eastAsia="Courier New" w:hAnsi="Courier New"/>
          <w:sz w:val="14"/>
          <w:szCs w:val="14"/>
          <w:color w:val="auto"/>
        </w:rPr>
      </w:pPr>
    </w:p>
    <w:p>
      <w:pPr>
        <w:ind w:left="860" w:right="377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 Award Agreements between Federal Realty Investment Trust and Ron D. Kaplan, as of January 1, 1998.</w:t>
      </w:r>
    </w:p>
    <w:p>
      <w:pPr>
        <w:spacing w:after="0" w:line="159" w:lineRule="exact"/>
        <w:rPr>
          <w:rFonts w:ascii="Courier New" w:cs="Courier New" w:eastAsia="Courier New" w:hAnsi="Courier New"/>
          <w:sz w:val="14"/>
          <w:szCs w:val="14"/>
          <w:color w:val="auto"/>
        </w:rPr>
      </w:pPr>
    </w:p>
    <w:p>
      <w:pPr>
        <w:ind w:left="860" w:right="351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Employment Agreement between the Trust and Steven J. Guttman as of March 6, 1998.</w:t>
      </w:r>
    </w:p>
    <w:p>
      <w:pPr>
        <w:spacing w:after="0" w:line="159" w:lineRule="exact"/>
        <w:rPr>
          <w:rFonts w:ascii="Courier New" w:cs="Courier New" w:eastAsia="Courier New" w:hAnsi="Courier New"/>
          <w:sz w:val="14"/>
          <w:szCs w:val="14"/>
          <w:color w:val="auto"/>
        </w:rPr>
      </w:pPr>
    </w:p>
    <w:p>
      <w:pPr>
        <w:ind w:left="860" w:right="359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Executive Agreement between the Trust and Steven J. Guttman as of March 6, 1998.</w:t>
      </w:r>
    </w:p>
    <w:p>
      <w:pPr>
        <w:spacing w:after="0" w:line="159" w:lineRule="exact"/>
        <w:rPr>
          <w:rFonts w:ascii="Courier New" w:cs="Courier New" w:eastAsia="Courier New" w:hAnsi="Courier New"/>
          <w:sz w:val="14"/>
          <w:szCs w:val="14"/>
          <w:color w:val="auto"/>
        </w:rPr>
      </w:pPr>
    </w:p>
    <w:p>
      <w:pPr>
        <w:ind w:left="860" w:right="333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Ron D. Kaplan as of March 6, 1998.</w:t>
      </w:r>
    </w:p>
    <w:p>
      <w:pPr>
        <w:spacing w:after="0" w:line="159" w:lineRule="exact"/>
        <w:rPr>
          <w:rFonts w:ascii="Courier New" w:cs="Courier New" w:eastAsia="Courier New" w:hAnsi="Courier New"/>
          <w:sz w:val="14"/>
          <w:szCs w:val="14"/>
          <w:color w:val="auto"/>
        </w:rPr>
      </w:pPr>
    </w:p>
    <w:p>
      <w:pPr>
        <w:ind w:left="860" w:right="359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Severance Agreement between the Trust and Ron D. Kaplan as of March 6, 1998.</w:t>
      </w:r>
    </w:p>
    <w:p>
      <w:pPr>
        <w:spacing w:after="0" w:line="159" w:lineRule="exact"/>
        <w:rPr>
          <w:rFonts w:ascii="Courier New" w:cs="Courier New" w:eastAsia="Courier New" w:hAnsi="Courier New"/>
          <w:sz w:val="14"/>
          <w:szCs w:val="14"/>
          <w:color w:val="auto"/>
        </w:rPr>
      </w:pPr>
    </w:p>
    <w:p>
      <w:pPr>
        <w:ind w:left="860" w:right="3519" w:firstLine="10"/>
        <w:spacing w:after="0" w:line="255" w:lineRule="auto"/>
        <w:tabs>
          <w:tab w:leader="none" w:pos="16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Agreement between the Trust and Catherine R. Mack as of March 6, 1998.</w:t>
      </w:r>
    </w:p>
    <w:p>
      <w:pPr>
        <w:spacing w:after="0" w:line="160" w:lineRule="exact"/>
        <w:rPr>
          <w:sz w:val="20"/>
          <w:szCs w:val="20"/>
          <w:color w:val="auto"/>
        </w:rPr>
      </w:pPr>
    </w:p>
    <w:p>
      <w:pPr>
        <w:ind w:right="3779" w:firstLine="86"/>
        <w:spacing w:after="0" w:line="252" w:lineRule="auto"/>
        <w:rPr>
          <w:sz w:val="20"/>
          <w:szCs w:val="20"/>
          <w:color w:val="auto"/>
        </w:rPr>
      </w:pPr>
      <w:r>
        <w:rPr>
          <w:rFonts w:ascii="Courier New" w:cs="Courier New" w:eastAsia="Courier New" w:hAnsi="Courier New"/>
          <w:sz w:val="14"/>
          <w:szCs w:val="14"/>
          <w:color w:val="auto"/>
        </w:rPr>
        <w:t>The following filed with the Commission as portions of Exhibit 10 to the Trust's Annual Report on Form 10-K for the year ended December 31, 1998, is incorporated herein by reference thereto:</w:t>
      </w:r>
    </w:p>
    <w:p>
      <w:pPr>
        <w:spacing w:after="0" w:line="163" w:lineRule="exact"/>
        <w:rPr>
          <w:sz w:val="20"/>
          <w:szCs w:val="20"/>
          <w:color w:val="auto"/>
        </w:rPr>
      </w:pPr>
    </w:p>
    <w:p>
      <w:pPr>
        <w:ind w:left="860" w:right="3339" w:firstLine="10"/>
        <w:spacing w:after="0" w:line="251" w:lineRule="auto"/>
        <w:tabs>
          <w:tab w:leader="none" w:pos="16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Agreement, dated as of December 22, 1998 by and among Federal Realty Investment Trust, as Borrower, the Financial Institutions Party Thereto and Their Assignees Under Section 13.5.(d), as Lenders, Commerzbank Aktiengesellschaft, New York Branch as Syndication Agent, PNC, National Association, as Administrative Agent and Fleet National Bank, as documentation agent.</w:t>
      </w:r>
    </w:p>
    <w:p>
      <w:pPr>
        <w:spacing w:after="0" w:line="164" w:lineRule="exact"/>
        <w:rPr>
          <w:sz w:val="20"/>
          <w:szCs w:val="20"/>
          <w:color w:val="auto"/>
        </w:rPr>
      </w:pPr>
    </w:p>
    <w:p>
      <w:pPr>
        <w:ind w:right="3779" w:firstLine="86"/>
        <w:spacing w:after="0" w:line="252" w:lineRule="auto"/>
        <w:rPr>
          <w:sz w:val="20"/>
          <w:szCs w:val="20"/>
          <w:color w:val="auto"/>
        </w:rPr>
      </w:pPr>
      <w:r>
        <w:rPr>
          <w:rFonts w:ascii="Courier New" w:cs="Courier New" w:eastAsia="Courier New" w:hAnsi="Courier New"/>
          <w:sz w:val="14"/>
          <w:szCs w:val="14"/>
          <w:color w:val="auto"/>
        </w:rPr>
        <w:t>The following filed with the Commission as portions of Exhibit 10 to the Trust's Annual Report on Form 10-K for the year ended December 31, 1999, is incorporated herein by reference thereto:</w:t>
      </w:r>
    </w:p>
    <w:p>
      <w:pPr>
        <w:spacing w:after="0" w:line="163" w:lineRule="exact"/>
        <w:rPr>
          <w:sz w:val="20"/>
          <w:szCs w:val="20"/>
          <w:color w:val="auto"/>
        </w:rPr>
      </w:pPr>
    </w:p>
    <w:p>
      <w:pPr>
        <w:ind w:left="860" w:right="3599" w:firstLine="10"/>
        <w:spacing w:after="0" w:line="255"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Severance Agreement between the Trust and Nancy J. Herman as of December 27, 1999.</w:t>
      </w:r>
    </w:p>
    <w:p>
      <w:pPr>
        <w:spacing w:after="0" w:line="159" w:lineRule="exact"/>
        <w:rPr>
          <w:rFonts w:ascii="Courier New" w:cs="Courier New" w:eastAsia="Courier New" w:hAnsi="Courier New"/>
          <w:sz w:val="14"/>
          <w:szCs w:val="14"/>
          <w:color w:val="auto"/>
        </w:rPr>
      </w:pPr>
    </w:p>
    <w:p>
      <w:pPr>
        <w:ind w:left="860" w:right="3679" w:firstLine="10"/>
        <w:spacing w:after="0" w:line="255"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dated as of February 9, 2000 between the Trust and Donald C. Wood.</w:t>
      </w:r>
    </w:p>
    <w:p>
      <w:pPr>
        <w:spacing w:after="0" w:line="159" w:lineRule="exact"/>
        <w:rPr>
          <w:rFonts w:ascii="Courier New" w:cs="Courier New" w:eastAsia="Courier New" w:hAnsi="Courier New"/>
          <w:sz w:val="14"/>
          <w:szCs w:val="14"/>
          <w:color w:val="auto"/>
        </w:rPr>
      </w:pPr>
    </w:p>
    <w:p>
      <w:pPr>
        <w:ind w:left="860" w:right="3339" w:firstLine="10"/>
        <w:spacing w:after="0" w:line="255"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 Award Agreement dated as of February 9, 2000 between the Trust and Donald C. Wood.</w:t>
      </w:r>
    </w:p>
    <w:p>
      <w:pPr>
        <w:spacing w:after="0" w:line="159" w:lineRule="exact"/>
        <w:rPr>
          <w:rFonts w:ascii="Courier New" w:cs="Courier New" w:eastAsia="Courier New" w:hAnsi="Courier New"/>
          <w:sz w:val="14"/>
          <w:szCs w:val="14"/>
          <w:color w:val="auto"/>
        </w:rPr>
      </w:pPr>
    </w:p>
    <w:p>
      <w:pPr>
        <w:ind w:left="860" w:right="3519" w:firstLine="10"/>
        <w:spacing w:after="0" w:line="252" w:lineRule="auto"/>
        <w:tabs>
          <w:tab w:leader="none" w:pos="16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Performance Share Award Agreement dated as of February 25, 2000 between Federal Realty Investment Trust and Steven J. Guttman.</w:t>
      </w:r>
    </w:p>
    <w:p>
      <w:pPr>
        <w:spacing w:after="0" w:line="162" w:lineRule="exact"/>
        <w:rPr>
          <w:rFonts w:ascii="Courier New" w:cs="Courier New" w:eastAsia="Courier New" w:hAnsi="Courier New"/>
          <w:sz w:val="14"/>
          <w:szCs w:val="14"/>
          <w:color w:val="auto"/>
        </w:rPr>
      </w:pPr>
    </w:p>
    <w:p>
      <w:pPr>
        <w:ind w:left="1640" w:hanging="770"/>
        <w:spacing w:after="0"/>
        <w:tabs>
          <w:tab w:leader="none" w:pos="16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Performance Share Award Agreements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2" w:name="page43"/>
    <w:bookmarkEnd w:id="42"/>
    <w:p>
      <w:pPr>
        <w:ind w:left="860" w:right="3339"/>
        <w:spacing w:after="0" w:line="255" w:lineRule="auto"/>
        <w:rPr>
          <w:sz w:val="20"/>
          <w:szCs w:val="20"/>
          <w:color w:val="auto"/>
        </w:rPr>
      </w:pPr>
      <w:r>
        <w:rPr>
          <w:rFonts w:ascii="Courier New" w:cs="Courier New" w:eastAsia="Courier New" w:hAnsi="Courier New"/>
          <w:sz w:val="14"/>
          <w:szCs w:val="14"/>
          <w:color w:val="auto"/>
        </w:rPr>
        <w:t>dated as of February 25, 2000 between Federal Realty Investment Trust and Ron D. Kaplan.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filed as exhibits hereto:</w:t>
      </w:r>
    </w:p>
    <w:p>
      <w:pPr>
        <w:spacing w:after="0" w:line="173" w:lineRule="exact"/>
        <w:rPr>
          <w:sz w:val="20"/>
          <w:szCs w:val="20"/>
          <w:color w:val="auto"/>
        </w:rPr>
      </w:pPr>
    </w:p>
    <w:p>
      <w:pPr>
        <w:ind w:left="760" w:right="3419" w:firstLine="10"/>
        <w:spacing w:after="0" w:line="255"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Restricted Share Award Agreement dated December 8, 2000 between Federal Realty Investment Trust and Ron D. Kaplan.</w:t>
      </w:r>
    </w:p>
    <w:p>
      <w:pPr>
        <w:spacing w:after="0" w:line="159" w:lineRule="exact"/>
        <w:rPr>
          <w:rFonts w:ascii="Courier New" w:cs="Courier New" w:eastAsia="Courier New" w:hAnsi="Courier New"/>
          <w:sz w:val="14"/>
          <w:szCs w:val="14"/>
          <w:color w:val="auto"/>
        </w:rPr>
      </w:pPr>
    </w:p>
    <w:p>
      <w:pPr>
        <w:ind w:left="760" w:right="3419" w:firstLine="10"/>
        <w:spacing w:after="0" w:line="255"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Restricted Share Award Agreement dated December 8, 2000 between Federal Realty Investment Trust and Ron D. Kaplan.</w:t>
      </w:r>
    </w:p>
    <w:p>
      <w:pPr>
        <w:spacing w:after="0" w:line="159" w:lineRule="exact"/>
        <w:rPr>
          <w:rFonts w:ascii="Courier New" w:cs="Courier New" w:eastAsia="Courier New" w:hAnsi="Courier New"/>
          <w:sz w:val="14"/>
          <w:szCs w:val="14"/>
          <w:color w:val="auto"/>
        </w:rPr>
      </w:pPr>
    </w:p>
    <w:p>
      <w:pPr>
        <w:ind w:left="760" w:right="3419" w:firstLine="10"/>
        <w:spacing w:after="0" w:line="255"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Restricted Share Award Agreement dated December 8, 2000 between Federal Realty Investment Trust and Don C. Wood.</w:t>
      </w:r>
    </w:p>
    <w:p>
      <w:pPr>
        <w:spacing w:after="0" w:line="159" w:lineRule="exact"/>
        <w:rPr>
          <w:rFonts w:ascii="Courier New" w:cs="Courier New" w:eastAsia="Courier New" w:hAnsi="Courier New"/>
          <w:sz w:val="14"/>
          <w:szCs w:val="14"/>
          <w:color w:val="auto"/>
        </w:rPr>
      </w:pPr>
    </w:p>
    <w:p>
      <w:pPr>
        <w:ind w:left="760" w:right="3779" w:firstLine="10"/>
        <w:spacing w:after="0" w:line="252"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Dollar Life Insurance Agreement dated May 20, 1998 between Federal Realty Investment Trust and The Ronald D. Kaplan Family Trust.</w:t>
      </w:r>
    </w:p>
    <w:p>
      <w:pPr>
        <w:spacing w:after="0" w:line="162" w:lineRule="exact"/>
        <w:rPr>
          <w:rFonts w:ascii="Courier New" w:cs="Courier New" w:eastAsia="Courier New" w:hAnsi="Courier New"/>
          <w:sz w:val="14"/>
          <w:szCs w:val="14"/>
          <w:color w:val="auto"/>
        </w:rPr>
      </w:pPr>
    </w:p>
    <w:p>
      <w:pPr>
        <w:ind w:left="760" w:right="3599" w:firstLine="10"/>
        <w:spacing w:after="0" w:line="252"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Dollar Life Insurance Agreement dated June 7, 1998 between Federal Realty Investment Trust and The Guttman Family 1998 Trust.</w:t>
      </w:r>
    </w:p>
    <w:p>
      <w:pPr>
        <w:spacing w:after="0" w:line="162" w:lineRule="exact"/>
        <w:rPr>
          <w:rFonts w:ascii="Courier New" w:cs="Courier New" w:eastAsia="Courier New" w:hAnsi="Courier New"/>
          <w:sz w:val="14"/>
          <w:szCs w:val="14"/>
          <w:color w:val="auto"/>
        </w:rPr>
      </w:pPr>
    </w:p>
    <w:p>
      <w:pPr>
        <w:ind w:left="760" w:right="3519" w:firstLine="10"/>
        <w:spacing w:after="0" w:line="255"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Dollar Life Insurance Agreement dated August 12, 1998 between Federal Realty Investment Trust and Donald C. Wood.</w:t>
      </w:r>
    </w:p>
    <w:p>
      <w:pPr>
        <w:spacing w:after="0" w:line="159" w:lineRule="exact"/>
        <w:rPr>
          <w:rFonts w:ascii="Courier New" w:cs="Courier New" w:eastAsia="Courier New" w:hAnsi="Courier New"/>
          <w:sz w:val="14"/>
          <w:szCs w:val="14"/>
          <w:color w:val="auto"/>
        </w:rPr>
      </w:pPr>
    </w:p>
    <w:p>
      <w:pPr>
        <w:ind w:left="760" w:right="3419" w:firstLine="10"/>
        <w:spacing w:after="0" w:line="252" w:lineRule="auto"/>
        <w:tabs>
          <w:tab w:leader="none" w:pos="153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Dollar Life Insurance Agreement dated November 2, 2000 between Federal Realty Investment Trust and The Nancy J. Herman Insurance Trust.</w:t>
      </w:r>
    </w:p>
    <w:p>
      <w:pPr>
        <w:spacing w:after="0" w:line="329"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(12) Statements regarding computation of ratios.......</w:t>
      </w:r>
    </w:p>
    <w:p>
      <w:pPr>
        <w:spacing w:after="0" w:line="173" w:lineRule="exact"/>
        <w:rPr>
          <w:sz w:val="20"/>
          <w:szCs w:val="20"/>
          <w:color w:val="auto"/>
        </w:rPr>
      </w:pPr>
    </w:p>
    <w:p>
      <w:pPr>
        <w:ind w:left="760" w:hanging="421"/>
        <w:spacing w:after="0"/>
        <w:tabs>
          <w:tab w:leader="none" w:pos="7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7" w:lineRule="exact"/>
        <w:rPr>
          <w:rFonts w:ascii="Courier New" w:cs="Courier New" w:eastAsia="Courier New" w:hAnsi="Courier New"/>
          <w:sz w:val="14"/>
          <w:szCs w:val="14"/>
          <w:color w:val="auto"/>
        </w:rPr>
      </w:pPr>
    </w:p>
    <w:p>
      <w:pPr>
        <w:ind w:left="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Filed as an exhibit hereto.</w:t>
      </w:r>
    </w:p>
    <w:p>
      <w:pPr>
        <w:spacing w:after="0" w:line="173" w:lineRule="exact"/>
        <w:rPr>
          <w:sz w:val="20"/>
          <w:szCs w:val="20"/>
          <w:color w:val="auto"/>
        </w:rPr>
      </w:pPr>
    </w:p>
    <w:p>
      <w:pPr>
        <w:ind w:left="760" w:hanging="421"/>
        <w:spacing w:after="0"/>
        <w:tabs>
          <w:tab w:leader="none" w:pos="7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Grant Thornton LLP....................</w:t>
      </w:r>
    </w:p>
    <w:p>
      <w:pPr>
        <w:spacing w:after="0" w:line="338" w:lineRule="exact"/>
        <w:rPr>
          <w:rFonts w:ascii="Courier New" w:cs="Courier New" w:eastAsia="Courier New" w:hAnsi="Courier New"/>
          <w:sz w:val="14"/>
          <w:szCs w:val="14"/>
          <w:color w:val="auto"/>
        </w:rPr>
      </w:pPr>
    </w:p>
    <w:p>
      <w:pPr>
        <w:ind w:left="3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w:t>
      </w:r>
    </w:p>
    <w:p>
      <w:pPr>
        <w:sectPr>
          <w:pgSz w:w="11900" w:h="16838" w:orient="portrait"/>
          <w:cols w:equalWidth="0" w:num="1">
            <w:col w:w="10139"/>
          </w:cols>
          <w:pgMar w:left="320" w:top="616" w:right="1440" w:bottom="1440" w:gutter="0" w:footer="0" w:header="0"/>
        </w:sectPr>
      </w:pPr>
    </w:p>
    <w:bookmarkStart w:id="43" w:name="page44"/>
    <w:bookmarkEnd w:id="43"/>
    <w:p>
      <w:pPr>
        <w:ind w:left="440" w:hanging="432"/>
        <w:spacing w:after="0"/>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Last Quarter</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Form 8-K, dated November 3, 2000, was filed in response to Item 5.</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Form 8-K, dated February 14, 2001 was filed in response to Item 5.</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 Edgar filing only.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44" w:name="page45"/>
    <w:bookmarkEnd w:id="44"/>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By:Steven J. Guttman</w:t>
      </w:r>
    </w:p>
    <w:p>
      <w:pPr>
        <w:spacing w:after="0" w:line="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440" w:space="340"/>
            <w:col w:w="2720" w:space="720"/>
            <w:col w:w="6019"/>
          </w:cols>
          <w:pgMar w:left="220" w:top="616" w:right="1440" w:bottom="1440" w:gutter="0" w:footer="0" w:header="0"/>
          <w:type w:val="continuous"/>
        </w:sectPr>
      </w:pPr>
    </w:p>
    <w:p>
      <w:pPr>
        <w:ind w:left="4480"/>
        <w:spacing w:after="0"/>
        <w:rPr>
          <w:sz w:val="20"/>
          <w:szCs w:val="20"/>
          <w:color w:val="auto"/>
        </w:rPr>
      </w:pPr>
      <w:r>
        <w:rPr>
          <w:rFonts w:ascii="Courier New" w:cs="Courier New" w:eastAsia="Courier New" w:hAnsi="Courier New"/>
          <w:sz w:val="14"/>
          <w:szCs w:val="14"/>
          <w:color w:val="auto"/>
        </w:rPr>
        <w:t>Steven J. Guttman</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Title</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w:t>
            </w:r>
          </w:p>
        </w:tc>
        <w:tc>
          <w:tcPr>
            <w:tcW w:w="172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and Chief Executive</w:t>
            </w:r>
          </w:p>
        </w:tc>
        <w:tc>
          <w:tcPr>
            <w:tcW w:w="172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Officer</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President and</w:t>
            </w:r>
          </w:p>
        </w:tc>
        <w:tc>
          <w:tcPr>
            <w:tcW w:w="172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Chief Operating Officer</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Vice-President,</w:t>
            </w:r>
          </w:p>
        </w:tc>
        <w:tc>
          <w:tcPr>
            <w:tcW w:w="172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Chief Financial Officer</w:t>
            </w:r>
          </w:p>
        </w:tc>
        <w:tc>
          <w:tcPr>
            <w:tcW w:w="17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And Treasurer (Chief</w:t>
            </w:r>
          </w:p>
        </w:tc>
        <w:tc>
          <w:tcPr>
            <w:tcW w:w="172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Accounting Officer)</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Trustee</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Trustee</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Trustee</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Trustee</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2440" w:type="dxa"/>
            <w:vAlign w:val="bottom"/>
          </w:tcPr>
          <w:p>
            <w:pPr>
              <w:ind w:left="120"/>
              <w:spacing w:after="0"/>
              <w:rPr>
                <w:sz w:val="20"/>
                <w:szCs w:val="20"/>
                <w:color w:val="auto"/>
              </w:rPr>
            </w:pPr>
            <w:r>
              <w:rPr>
                <w:rFonts w:ascii="Courier New" w:cs="Courier New" w:eastAsia="Courier New" w:hAnsi="Courier New"/>
                <w:sz w:val="14"/>
                <w:szCs w:val="14"/>
                <w:color w:val="auto"/>
              </w:rPr>
              <w:t>Trustee</w:t>
            </w:r>
          </w:p>
        </w:tc>
        <w:tc>
          <w:tcPr>
            <w:tcW w:w="1720" w:type="dxa"/>
            <w:vAlign w:val="bottom"/>
          </w:tcPr>
          <w:p>
            <w:pPr>
              <w:ind w:left="360"/>
              <w:spacing w:after="0"/>
              <w:rPr>
                <w:sz w:val="20"/>
                <w:szCs w:val="20"/>
                <w:color w:val="auto"/>
              </w:rPr>
            </w:pPr>
            <w:r>
              <w:rPr>
                <w:rFonts w:ascii="Courier New" w:cs="Courier New" w:eastAsia="Courier New" w:hAnsi="Courier New"/>
                <w:sz w:val="14"/>
                <w:szCs w:val="14"/>
                <w:color w:val="auto"/>
              </w:rPr>
              <w:t>March 15, 2001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24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300" w:type="dxa"/>
            <w:vAlign w:val="bottom"/>
          </w:tcPr>
          <w:p>
            <w:pPr>
              <w:spacing w:after="0"/>
              <w:rPr>
                <w:sz w:val="24"/>
                <w:szCs w:val="24"/>
                <w:color w:val="auto"/>
              </w:rPr>
            </w:pPr>
          </w:p>
        </w:tc>
        <w:tc>
          <w:tcPr>
            <w:tcW w:w="2440" w:type="dxa"/>
            <w:vAlign w:val="bottom"/>
          </w:tcPr>
          <w:p>
            <w:pPr>
              <w:ind w:left="1060"/>
              <w:spacing w:after="0"/>
              <w:rPr>
                <w:sz w:val="20"/>
                <w:szCs w:val="20"/>
                <w:color w:val="auto"/>
              </w:rPr>
            </w:pPr>
            <w:r>
              <w:rPr>
                <w:rFonts w:ascii="Courier New" w:cs="Courier New" w:eastAsia="Courier New" w:hAnsi="Courier New"/>
                <w:sz w:val="14"/>
                <w:szCs w:val="14"/>
                <w:color w:val="auto"/>
              </w:rPr>
              <w:t>45</w:t>
            </w:r>
          </w:p>
        </w:tc>
        <w:tc>
          <w:tcPr>
            <w:tcW w:w="17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45" w:name="page46"/>
    <w:bookmarkEnd w:id="45"/>
    <w:p>
      <w:pPr>
        <w:jc w:val="center"/>
        <w:ind w:right="4739"/>
        <w:spacing w:after="0"/>
        <w:rPr>
          <w:sz w:val="20"/>
          <w:szCs w:val="20"/>
          <w:color w:val="auto"/>
        </w:rPr>
      </w:pPr>
      <w:r>
        <w:rPr>
          <w:rFonts w:ascii="Courier New" w:cs="Courier New" w:eastAsia="Courier New" w:hAnsi="Courier New"/>
          <w:sz w:val="14"/>
          <w:szCs w:val="14"/>
          <w:color w:val="auto"/>
        </w:rPr>
        <w:t>FINANCIAL STATEMENTS</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9019"/>
          </w:cols>
          <w:pgMar w:left="1440" w:top="61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REPORT OF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Trustees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Federal Realty Investment Trust (a Maryland real estate investment trust) and subsidiaries as of December 31, 2000 and 1999 and the related consolidated statements of operations, common shareholders' equity, and cash flows for each of the years in the two year period ended December 31, 2000. These financial statements are the responsibility of the Trust's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Federal Realty Investment Trust and subsidiaries as of December 31, 2000 and 1999 and the results of their operations and their cash flows for each of the years in the two year period ended December 31, 2000 in conformity with accounting principles generally accepted in the United States.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audit was made for the purpose of forming an opinion on the basic consolidated financial statements taken as a whole. The financial statement schedules included on pages F-28 through F-33 of the Form 10-K are presented for purposes of complying with the Securities and Exchange Commission's rules and are not a required part of the basic consolidated financial statements. These schedules have been subjected to the auditing procedures applied in our audit of the basic consolidated financial statements and, in our opinion, are fairly stated in all material respects in relation to the basic consolidated financial statements taken as a whole.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Vienna,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13, 2001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REPORT OF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CERTIFIED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statement of operations, shareholders' equity and cash flows of Federal Realty Investment Trust for the period ended December 31, 1998. These financial statements are the responsibility of the Trust's management. Our responsibility is to express an opinion on these financial statements based on our audits.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results of Federal Realty Investment Trust operations and its consolidated cash flows for the year ended December 31, 1998 in conformity with generally accepted accounting principles.</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connection with our audits of the consolidated financial statements referred to above, we have also audited Schedules III and IV for the year ended December 31, 1998. In our opinion, these schedules present fairly, in all material respects, the information required to be set forth therein.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331"/>
        </w:trPr>
        <w:tc>
          <w:tcPr>
            <w:tcW w:w="6980" w:type="dxa"/>
            <w:vAlign w:val="bottom"/>
          </w:tcPr>
          <w:p>
            <w:pPr>
              <w:ind w:left="3020"/>
              <w:spacing w:after="0"/>
              <w:rPr>
                <w:sz w:val="20"/>
                <w:szCs w:val="20"/>
                <w:color w:val="auto"/>
              </w:rPr>
            </w:pPr>
            <w:r>
              <w:rPr>
                <w:rFonts w:ascii="Courier New" w:cs="Courier New" w:eastAsia="Courier New" w:hAnsi="Courier New"/>
                <w:sz w:val="14"/>
                <w:szCs w:val="14"/>
                <w:color w:val="auto"/>
              </w:rPr>
              <w:t>ASSETS</w:t>
            </w:r>
          </w:p>
        </w:tc>
        <w:tc>
          <w:tcPr>
            <w:tcW w:w="1640" w:type="dxa"/>
            <w:vAlign w:val="bottom"/>
          </w:tcPr>
          <w:p>
            <w:pPr>
              <w:spacing w:after="0"/>
              <w:rPr>
                <w:sz w:val="24"/>
                <w:szCs w:val="24"/>
                <w:color w:val="auto"/>
              </w:rPr>
            </w:pPr>
          </w:p>
        </w:tc>
        <w:tc>
          <w:tcPr>
            <w:tcW w:w="22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$1,854,913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$1,721,459</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(351,258)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(317,921)</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spacing w:after="0"/>
              <w:rPr>
                <w:sz w:val="24"/>
                <w:szCs w:val="2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1,503,655</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1,403,538</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11,357</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11,738</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47,360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53,495</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Accounts and notes receivable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13,092</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23,130</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w:t>
            </w: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6980" w:type="dxa"/>
            <w:vAlign w:val="bottom"/>
          </w:tcPr>
          <w:p>
            <w:pPr>
              <w:ind w:left="360"/>
              <w:spacing w:after="0"/>
              <w:rPr>
                <w:sz w:val="20"/>
                <w:szCs w:val="20"/>
                <w:color w:val="auto"/>
              </w:rPr>
            </w:pPr>
            <w:r>
              <w:rPr>
                <w:rFonts w:ascii="Courier New" w:cs="Courier New" w:eastAsia="Courier New" w:hAnsi="Courier New"/>
                <w:sz w:val="14"/>
                <w:szCs w:val="14"/>
                <w:color w:val="auto"/>
              </w:rPr>
              <w:t>property taxes and lease commissions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38,140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36,807</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Debt issue costs, net of accumulated amortization</w:t>
            </w: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6980" w:type="dxa"/>
            <w:vAlign w:val="bottom"/>
          </w:tcPr>
          <w:p>
            <w:pPr>
              <w:ind w:left="360"/>
              <w:spacing w:after="0"/>
              <w:rPr>
                <w:sz w:val="20"/>
                <w:szCs w:val="20"/>
                <w:color w:val="auto"/>
              </w:rPr>
            </w:pPr>
            <w:r>
              <w:rPr>
                <w:rFonts w:ascii="Courier New" w:cs="Courier New" w:eastAsia="Courier New" w:hAnsi="Courier New"/>
                <w:sz w:val="14"/>
                <w:szCs w:val="14"/>
                <w:color w:val="auto"/>
              </w:rPr>
              <w:t>of 3,982 and 3,885, repsectively</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7,475</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5,340</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$1,621,079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ind w:left="1740"/>
              <w:spacing w:after="0"/>
              <w:rPr>
                <w:sz w:val="20"/>
                <w:szCs w:val="20"/>
                <w:color w:val="auto"/>
              </w:rPr>
            </w:pPr>
            <w:r>
              <w:rPr>
                <w:rFonts w:ascii="Courier New" w:cs="Courier New" w:eastAsia="Courier New" w:hAnsi="Courier New"/>
                <w:sz w:val="14"/>
                <w:szCs w:val="14"/>
                <w:color w:val="auto"/>
              </w:rPr>
              <w:t>LIABILITIES AND SHAREHOLDERS' EQUITY</w:t>
            </w: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121,611</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122,026</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202,300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50,547</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225,246</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162,768</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36,810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34,974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19,892</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19,431</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5,537</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5,068</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Prepaid rents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6,788</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410,000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510,000</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47,921</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45,330</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authorized 15,000,000 shares, $.01 par 7.95% Series A</w:t>
            </w: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6980" w:type="dxa"/>
            <w:vAlign w:val="bottom"/>
          </w:tcPr>
          <w:p>
            <w:pPr>
              <w:ind w:left="440"/>
              <w:spacing w:after="0"/>
              <w:rPr>
                <w:sz w:val="20"/>
                <w:szCs w:val="20"/>
                <w:color w:val="auto"/>
              </w:rPr>
            </w:pPr>
            <w:r>
              <w:rPr>
                <w:rFonts w:ascii="Courier New" w:cs="Courier New" w:eastAsia="Courier New" w:hAnsi="Courier New"/>
                <w:sz w:val="14"/>
                <w:szCs w:val="14"/>
                <w:color w:val="auto"/>
              </w:rPr>
              <w:t>Cumulative Redeemable Preferred Shares, (stated at</w:t>
            </w: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6980" w:type="dxa"/>
            <w:vAlign w:val="bottom"/>
          </w:tcPr>
          <w:p>
            <w:pPr>
              <w:ind w:left="440"/>
              <w:spacing w:after="0"/>
              <w:rPr>
                <w:sz w:val="20"/>
                <w:szCs w:val="20"/>
                <w:color w:val="auto"/>
              </w:rPr>
            </w:pPr>
            <w:r>
              <w:rPr>
                <w:rFonts w:ascii="Courier New" w:cs="Courier New" w:eastAsia="Courier New" w:hAnsi="Courier New"/>
                <w:sz w:val="14"/>
                <w:szCs w:val="14"/>
                <w:color w:val="auto"/>
              </w:rPr>
              <w:t>liquidation preference $25 per share), 4,000,000 shares issued in 1997</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of beneficial interest, $.01 par , 100,000,000 shares</w:t>
            </w: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6980" w:type="dxa"/>
            <w:vAlign w:val="bottom"/>
          </w:tcPr>
          <w:p>
            <w:pPr>
              <w:ind w:left="440"/>
              <w:spacing w:after="0"/>
              <w:rPr>
                <w:sz w:val="20"/>
                <w:szCs w:val="20"/>
                <w:color w:val="auto"/>
              </w:rPr>
            </w:pPr>
            <w:r>
              <w:rPr>
                <w:rFonts w:ascii="Courier New" w:cs="Courier New" w:eastAsia="Courier New" w:hAnsi="Courier New"/>
                <w:sz w:val="14"/>
                <w:szCs w:val="14"/>
                <w:color w:val="auto"/>
              </w:rPr>
              <w:t>authorized, 40,910,972 and 40,418,766 issued, respectively</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 in capital</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723,078</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713,354</w:t>
            </w:r>
          </w:p>
        </w:tc>
      </w:tr>
      <w:tr>
        <w:trPr>
          <w:trHeight w:val="166"/>
        </w:trPr>
        <w:tc>
          <w:tcPr>
            <w:tcW w:w="6980" w:type="dxa"/>
            <w:vAlign w:val="bottom"/>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(306,287)</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(286,348)</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spacing w:after="0"/>
              <w:rPr>
                <w:sz w:val="24"/>
                <w:szCs w:val="2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517,201</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527,410</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Less:1,441,594 and 217,644 common shares in treasury - at cost, respectively</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(27,753)</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r>
      <w:tr>
        <w:trPr>
          <w:trHeight w:val="166"/>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(17,254)</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(15,219)</w:t>
            </w:r>
          </w:p>
        </w:tc>
      </w:tr>
      <w:tr>
        <w:trPr>
          <w:trHeight w:val="166"/>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Notes receivable from employee stock  plans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(4,540)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(6,030)</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spacing w:after="0"/>
              <w:rPr>
                <w:sz w:val="24"/>
                <w:szCs w:val="2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467,654</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501,827</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spacing w:after="0"/>
              <w:rPr>
                <w:sz w:val="24"/>
                <w:szCs w:val="2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$1,621,079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6980" w:type="dxa"/>
            <w:vAlign w:val="bottom"/>
          </w:tcPr>
          <w:p>
            <w:pPr>
              <w:spacing w:after="0"/>
              <w:rPr>
                <w:sz w:val="14"/>
                <w:szCs w:val="14"/>
                <w:color w:val="auto"/>
              </w:rPr>
            </w:pPr>
          </w:p>
        </w:tc>
        <w:tc>
          <w:tcPr>
            <w:tcW w:w="16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860"/>
          </w:cols>
          <w:pgMar w:left="220" w:top="616" w:right="81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8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$260,684</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$245,833</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$222,186</w:t>
            </w: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7,532</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7,649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5,945</w:t>
            </w: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11,065</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11,231</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10,347</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279,281</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264,713</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238,478</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56,280</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53,677</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49,490</w:t>
            </w: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26,620</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25,021</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23,271</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66,418</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61,492</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55,125</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4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13,318</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15,120</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16,461</w:t>
            </w: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53,259</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50,011</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46,047</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215,895</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205,321</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190,394</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before investors' share</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of operations</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and gain (loss) on sale of real estate</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63,386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59,392</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48,084</w:t>
            </w:r>
          </w:p>
        </w:tc>
      </w:tr>
      <w:tr>
        <w:trPr>
          <w:trHeight w:val="331"/>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(6,544)</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(3,899)</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(3,124)</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56,842</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55,493</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r>
      <w:tr>
        <w:trPr>
          <w:trHeight w:val="331"/>
        </w:trPr>
        <w:tc>
          <w:tcPr>
            <w:tcW w:w="5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Gain (loss) on sale of real estate</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3,681</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(7,050)</w:t>
            </w:r>
          </w:p>
        </w:tc>
        <w:tc>
          <w:tcPr>
            <w:tcW w:w="340" w:type="dxa"/>
            <w:vAlign w:val="bottom"/>
          </w:tcPr>
          <w:p>
            <w:pPr>
              <w:spacing w:after="0"/>
              <w:rPr>
                <w:sz w:val="24"/>
                <w:szCs w:val="2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60,523</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48,443</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$ 52,573</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$ 40,493</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$ 37,010</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0.94</w:t>
            </w:r>
          </w:p>
        </w:tc>
      </w:tr>
      <w:tr>
        <w:trPr>
          <w:trHeight w:val="166"/>
        </w:trPr>
        <w:tc>
          <w:tcPr>
            <w:tcW w:w="5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(0.18)</w:t>
            </w:r>
          </w:p>
        </w:tc>
        <w:tc>
          <w:tcPr>
            <w:tcW w:w="3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0.94</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38,796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39,574</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39,174</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0.94</w:t>
            </w:r>
          </w:p>
        </w:tc>
      </w:tr>
      <w:tr>
        <w:trPr>
          <w:trHeight w:val="166"/>
        </w:trPr>
        <w:tc>
          <w:tcPr>
            <w:tcW w:w="5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w:t>
            </w:r>
          </w:p>
        </w:tc>
        <w:tc>
          <w:tcPr>
            <w:tcW w:w="3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0.94</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39,910</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40,638</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40,080</w:t>
            </w:r>
          </w:p>
        </w:tc>
      </w:tr>
      <w:tr>
        <w:trPr>
          <w:trHeight w:val="166"/>
        </w:trPr>
        <w:tc>
          <w:tcPr>
            <w:tcW w:w="1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6" w:right="1440" w:bottom="1440" w:gutter="0" w:footer="0" w:header="0"/>
        </w:sectPr>
      </w:pPr>
    </w:p>
    <w:bookmarkStart w:id="50" w:name="page51"/>
    <w:bookmarkEnd w:id="50"/>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COMMON SHAREHOLDERS'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4"/>
                <w:szCs w:val="14"/>
                <w:color w:val="auto"/>
              </w:rPr>
              <w:t>Year ended December 31,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11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72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Shares</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Additional</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Amount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Paid-in Capital</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Paid-in Capital</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40,418,766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$ 713,354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40,139,675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707,724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Adjustment to reflect change in par value</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(707,323)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$ 707,323</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67,684</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52,667</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153,713</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165,770</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3,566</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 net</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700"/>
              <w:spacing w:after="0"/>
              <w:rPr>
                <w:sz w:val="20"/>
                <w:szCs w:val="20"/>
                <w:color w:val="auto"/>
              </w:rPr>
            </w:pPr>
            <w:r>
              <w:rPr>
                <w:rFonts w:ascii="Courier New" w:cs="Courier New" w:eastAsia="Courier New" w:hAnsi="Courier New"/>
                <w:sz w:val="14"/>
                <w:szCs w:val="14"/>
                <w:color w:val="auto"/>
              </w:rPr>
              <w:t>of Restricted Shares retired</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270,809</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60,654</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1,373</w:t>
            </w: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40,910,972</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$ 723,078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40,418,766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$ 713,354</w:t>
            </w: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($286,348)</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($255,211)</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60,523</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48,443</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1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(72,512)</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(71,630)</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1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(7,950)</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($306,287)</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($286,348)</w:t>
            </w:r>
          </w:p>
        </w:tc>
        <w:tc>
          <w:tcPr>
            <w:tcW w:w="11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 in Treasury</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(217,644)</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($4,334)</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(59,425)</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forfeited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(38,550)</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(787)</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(17,719)</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(1,185,400)</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(22,632)</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(140,500)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(2,565)</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(1,441,594)</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($27,753)</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(217,644)</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c>
          <w:tcPr>
            <w:tcW w:w="11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(599,427)</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($15,219)</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(582,910)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($14,892)</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net of forfeitures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(218,771)</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(4,151)</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(31,660)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(730)</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Vesting of Performance and Restricted Shares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82,323</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2,116</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15,143</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403</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(735,875)</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($17,254)</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(599,427)</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($15,219)</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Subscriptions receivable from employee stock</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plans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(317,606)</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($6,030)</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(337,111)</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($6,298)</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Subscription loans issued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(9,083)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Subscription loans paid</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80,468</w:t>
            </w:r>
          </w:p>
        </w:tc>
        <w:tc>
          <w:tcPr>
            <w:tcW w:w="8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1,605</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28,588</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458</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(242,638)</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($4,540)</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(317,606)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($6,030)</w:t>
            </w: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497"/>
        </w:trPr>
        <w:tc>
          <w:tcPr>
            <w:tcW w:w="4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4960" w:type="dxa"/>
            <w:vAlign w:val="bottom"/>
            <w:gridSpan w:val="6"/>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Shares</w:t>
            </w:r>
          </w:p>
        </w:tc>
        <w:tc>
          <w:tcPr>
            <w:tcW w:w="12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Amount</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Paid-in Capital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39,200,201</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684,823</w:t>
            </w:r>
          </w:p>
        </w:tc>
        <w:tc>
          <w:tcPr>
            <w:tcW w:w="600" w:type="dxa"/>
            <w:vAlign w:val="bottom"/>
          </w:tcPr>
          <w:p>
            <w:pPr>
              <w:spacing w:after="0"/>
              <w:rPr>
                <w:sz w:val="14"/>
                <w:szCs w:val="14"/>
                <w:color w:val="auto"/>
              </w:rPr>
            </w:pPr>
          </w:p>
        </w:tc>
        <w:tc>
          <w:tcPr>
            <w:tcW w:w="1080" w:type="dxa"/>
            <w:vAlign w:val="bottom"/>
          </w:tcPr>
          <w:p>
            <w:pPr>
              <w:jc w:val="center"/>
              <w:ind w:right="64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Adjustment to reflect change in par value</w:t>
            </w: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center"/>
              <w:ind w:right="64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230,908</w:t>
            </w:r>
          </w:p>
        </w:tc>
        <w:tc>
          <w:tcPr>
            <w:tcW w:w="5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4,880</w:t>
            </w:r>
          </w:p>
        </w:tc>
        <w:tc>
          <w:tcPr>
            <w:tcW w:w="600" w:type="dxa"/>
            <w:vAlign w:val="bottom"/>
          </w:tcPr>
          <w:p>
            <w:pPr>
              <w:spacing w:after="0"/>
              <w:rPr>
                <w:sz w:val="14"/>
                <w:szCs w:val="14"/>
                <w:color w:val="auto"/>
              </w:rPr>
            </w:pPr>
          </w:p>
        </w:tc>
        <w:tc>
          <w:tcPr>
            <w:tcW w:w="1080" w:type="dxa"/>
            <w:vAlign w:val="bottom"/>
          </w:tcPr>
          <w:p>
            <w:pPr>
              <w:jc w:val="center"/>
              <w:ind w:right="64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167,511</w:t>
            </w:r>
          </w:p>
        </w:tc>
        <w:tc>
          <w:tcPr>
            <w:tcW w:w="5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3,990</w:t>
            </w:r>
          </w:p>
        </w:tc>
        <w:tc>
          <w:tcPr>
            <w:tcW w:w="600" w:type="dxa"/>
            <w:vAlign w:val="bottom"/>
          </w:tcPr>
          <w:p>
            <w:pPr>
              <w:spacing w:after="0"/>
              <w:rPr>
                <w:sz w:val="14"/>
                <w:szCs w:val="14"/>
                <w:color w:val="auto"/>
              </w:rPr>
            </w:pPr>
          </w:p>
        </w:tc>
        <w:tc>
          <w:tcPr>
            <w:tcW w:w="1080" w:type="dxa"/>
            <w:vAlign w:val="bottom"/>
          </w:tcPr>
          <w:p>
            <w:pPr>
              <w:jc w:val="center"/>
              <w:ind w:right="64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 net</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700"/>
              <w:spacing w:after="0"/>
              <w:rPr>
                <w:sz w:val="20"/>
                <w:szCs w:val="20"/>
                <w:color w:val="auto"/>
              </w:rPr>
            </w:pPr>
            <w:r>
              <w:rPr>
                <w:rFonts w:ascii="Courier New" w:cs="Courier New" w:eastAsia="Courier New" w:hAnsi="Courier New"/>
                <w:sz w:val="14"/>
                <w:szCs w:val="14"/>
                <w:color w:val="auto"/>
              </w:rPr>
              <w:t>of Restricted Shares retired</w:t>
            </w:r>
          </w:p>
        </w:tc>
        <w:tc>
          <w:tcPr>
            <w:tcW w:w="1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541,055</w:t>
            </w:r>
          </w:p>
        </w:tc>
        <w:tc>
          <w:tcPr>
            <w:tcW w:w="5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14,031</w:t>
            </w:r>
          </w:p>
        </w:tc>
        <w:tc>
          <w:tcPr>
            <w:tcW w:w="600" w:type="dxa"/>
            <w:vAlign w:val="bottom"/>
          </w:tcPr>
          <w:p>
            <w:pPr>
              <w:spacing w:after="0"/>
              <w:rPr>
                <w:sz w:val="14"/>
                <w:szCs w:val="14"/>
                <w:color w:val="auto"/>
              </w:rPr>
            </w:pPr>
          </w:p>
        </w:tc>
        <w:tc>
          <w:tcPr>
            <w:tcW w:w="1080" w:type="dxa"/>
            <w:vAlign w:val="bottom"/>
          </w:tcPr>
          <w:p>
            <w:pPr>
              <w:jc w:val="center"/>
              <w:ind w:right="64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40,139,675</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707,724</w:t>
            </w:r>
          </w:p>
        </w:tc>
        <w:tc>
          <w:tcPr>
            <w:tcW w:w="600" w:type="dxa"/>
            <w:vAlign w:val="bottom"/>
          </w:tcPr>
          <w:p>
            <w:pPr>
              <w:spacing w:after="0"/>
              <w:rPr>
                <w:sz w:val="24"/>
                <w:szCs w:val="24"/>
                <w:color w:val="auto"/>
              </w:rPr>
            </w:pPr>
          </w:p>
        </w:tc>
        <w:tc>
          <w:tcPr>
            <w:tcW w:w="1080" w:type="dxa"/>
            <w:vAlign w:val="bottom"/>
          </w:tcPr>
          <w:p>
            <w:pPr>
              <w:jc w:val="center"/>
              <w:ind w:right="64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($222,709)</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44,960</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(69,512)</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($255,211)</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 in Treasury</w:t>
      </w:r>
    </w:p>
    <w:p>
      <w:pPr>
        <w:sectPr>
          <w:pgSz w:w="11900" w:h="16877" w:orient="portrait"/>
          <w:cols w:equalWidth="0" w:num="1">
            <w:col w:w="11380"/>
          </w:cols>
          <w:pgMar w:left="220" w:top="616" w:right="29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(52,386)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($1,002)</w:t>
            </w: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w:t>
            </w: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Performance and Restricted Shares forfeited</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(1,023)</w:t>
            </w: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treasury shares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28"/>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Deferred Compensation on Restricted Shares</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Performance and Restricted Shares issued,</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net of</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forfeitures</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(576,055)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(14,679)</w:t>
            </w: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Vesting of Performance and Restricted Shares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w:t>
            </w:r>
          </w:p>
        </w:tc>
      </w:tr>
      <w:tr>
        <w:trPr>
          <w:trHeight w:val="166"/>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(582,910)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($14,892)</w:t>
            </w:r>
          </w:p>
        </w:tc>
      </w:tr>
      <w:tr>
        <w:trPr>
          <w:trHeight w:val="166"/>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Subscriptions receivable from employee stock plans</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(382,725)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($6,681)</w:t>
            </w: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Subscription loans issued</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(2,378)</w:t>
            </w:r>
          </w:p>
        </w:tc>
      </w:tr>
      <w:tr>
        <w:trPr>
          <w:trHeight w:val="166"/>
        </w:trPr>
        <w:tc>
          <w:tcPr>
            <w:tcW w:w="4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Subscription loans paid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156,728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Balance,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(337,111)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($6,298)</w:t>
            </w:r>
          </w:p>
        </w:tc>
      </w:tr>
      <w:tr>
        <w:trPr>
          <w:trHeight w:val="166"/>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14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2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2000</w:t>
            </w:r>
          </w:p>
        </w:tc>
        <w:tc>
          <w:tcPr>
            <w:tcW w:w="19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thousands)</w:t>
            </w:r>
          </w:p>
        </w:tc>
        <w:tc>
          <w:tcPr>
            <w:tcW w:w="1840" w:type="dxa"/>
            <w:vAlign w:val="bottom"/>
          </w:tcPr>
          <w:p>
            <w:pPr>
              <w:spacing w:after="0"/>
              <w:rPr>
                <w:sz w:val="14"/>
                <w:szCs w:val="14"/>
                <w:color w:val="auto"/>
              </w:rPr>
            </w:pPr>
          </w:p>
        </w:tc>
      </w:tr>
      <w:tr>
        <w:trPr>
          <w:trHeight w:val="331"/>
        </w:trPr>
        <w:tc>
          <w:tcPr>
            <w:tcW w:w="5660" w:type="dxa"/>
            <w:vAlign w:val="bottom"/>
          </w:tcPr>
          <w:p>
            <w:pPr>
              <w:jc w:val="right"/>
              <w:ind w:right="3848"/>
              <w:spacing w:after="0"/>
              <w:rPr>
                <w:sz w:val="20"/>
                <w:szCs w:val="20"/>
                <w:color w:val="auto"/>
              </w:rPr>
            </w:pPr>
            <w:r>
              <w:rPr>
                <w:rFonts w:ascii="Courier New" w:cs="Courier New" w:eastAsia="Courier New" w:hAnsi="Courier New"/>
                <w:sz w:val="14"/>
                <w:szCs w:val="14"/>
                <w:color w:val="auto"/>
              </w:rPr>
              <w:t>OPERATING ACTIVITIES</w:t>
            </w:r>
          </w:p>
        </w:tc>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$60,523</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$48,443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Items not requiring cash outlays</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53,259</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50,011</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46,047</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(3,681)</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7,050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1,634</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2,395</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2,301</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Changes in assets and liabilities</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accounts receivable</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(5,257)</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Increase in prepaid expenses and other</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(6,834)</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(2,183)</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(9,571)</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operating accounts payable,</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5660" w:type="dxa"/>
            <w:vAlign w:val="bottom"/>
          </w:tcPr>
          <w:p>
            <w:pPr>
              <w:ind w:left="520"/>
              <w:spacing w:after="0"/>
              <w:rPr>
                <w:sz w:val="20"/>
                <w:szCs w:val="20"/>
                <w:color w:val="auto"/>
              </w:rPr>
            </w:pPr>
            <w:r>
              <w:rPr>
                <w:rFonts w:ascii="Courier New" w:cs="Courier New" w:eastAsia="Courier New" w:hAnsi="Courier New"/>
                <w:sz w:val="14"/>
                <w:szCs w:val="14"/>
                <w:color w:val="auto"/>
              </w:rPr>
              <w:t>security deposits and prepaid rent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3,342</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(1,202)</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2,148</w:t>
            </w:r>
          </w:p>
        </w:tc>
      </w:tr>
      <w:tr>
        <w:trPr>
          <w:trHeight w:val="166"/>
        </w:trPr>
        <w:tc>
          <w:tcPr>
            <w:tcW w:w="566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accrued expenses</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(2,420)</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2,926</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3,664</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106,146</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102,183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90,427</w:t>
            </w:r>
          </w:p>
        </w:tc>
      </w:tr>
      <w:tr>
        <w:trPr>
          <w:trHeight w:val="331"/>
        </w:trPr>
        <w:tc>
          <w:tcPr>
            <w:tcW w:w="5660" w:type="dxa"/>
            <w:vAlign w:val="bottom"/>
          </w:tcPr>
          <w:p>
            <w:pPr>
              <w:jc w:val="right"/>
              <w:ind w:right="3848"/>
              <w:spacing w:after="0"/>
              <w:rPr>
                <w:sz w:val="20"/>
                <w:szCs w:val="20"/>
                <w:color w:val="auto"/>
              </w:rPr>
            </w:pPr>
            <w:r>
              <w:rPr>
                <w:rFonts w:ascii="Courier New" w:cs="Courier New" w:eastAsia="Courier New" w:hAnsi="Courier New"/>
                <w:sz w:val="14"/>
                <w:szCs w:val="14"/>
                <w:color w:val="auto"/>
              </w:rPr>
              <w:t>INVESTING ACTIVITIES</w:t>
            </w:r>
          </w:p>
        </w:tc>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real estate</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(23,554)</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(25,337)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(92,946)</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(145,838)</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(90,796)</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(73,030)</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Repayments (Issuance) of mortgage notes receivable, net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(21,375)</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real estate, net of costs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47,157</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19,161</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(121,741)</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(99,313)</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(187,646)</w:t>
            </w:r>
          </w:p>
        </w:tc>
      </w:tr>
      <w:tr>
        <w:trPr>
          <w:trHeight w:val="331"/>
        </w:trPr>
        <w:tc>
          <w:tcPr>
            <w:tcW w:w="5660" w:type="dxa"/>
            <w:vAlign w:val="bottom"/>
          </w:tcPr>
          <w:p>
            <w:pPr>
              <w:jc w:val="right"/>
              <w:ind w:right="3848"/>
              <w:spacing w:after="0"/>
              <w:rPr>
                <w:sz w:val="20"/>
                <w:szCs w:val="20"/>
                <w:color w:val="auto"/>
              </w:rPr>
            </w:pPr>
            <w:r>
              <w:rPr>
                <w:rFonts w:ascii="Courier New" w:cs="Courier New" w:eastAsia="Courier New" w:hAnsi="Courier New"/>
                <w:sz w:val="14"/>
                <w:szCs w:val="14"/>
                <w:color w:val="auto"/>
              </w:rPr>
              <w:t>FINANCING ACTIVITIES</w:t>
            </w:r>
          </w:p>
        </w:tc>
        <w:tc>
          <w:tcPr>
            <w:tcW w:w="1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Borrowing (repayment) of short-term debt, net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47,400</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(100,147)</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144,357</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mortgage and construction financing, net of costs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166,383</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(Repayment) issuance of senior notes, net of costs</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172,193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79,540</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shares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3,428</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5,310</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Common shares repurchased</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(22,632)</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(2,565)</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Payments on mortgages, capital leases and notes payable</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(2,169)</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(55,248)</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(77,499)</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(76,617)</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(74,284)</w:t>
            </w:r>
          </w:p>
        </w:tc>
      </w:tr>
      <w:tr>
        <w:trPr>
          <w:trHeight w:val="166"/>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minority interest, net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(2,318)</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(2,269)</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15,214</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(8,362)</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97,406</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ind w:left="100"/>
              <w:spacing w:after="0"/>
              <w:rPr>
                <w:sz w:val="20"/>
                <w:szCs w:val="20"/>
                <w:color w:val="auto"/>
              </w:rPr>
            </w:pPr>
            <w:r>
              <w:rPr>
                <w:rFonts w:ascii="Courier New" w:cs="Courier New" w:eastAsia="Courier New" w:hAnsi="Courier New"/>
                <w:sz w:val="14"/>
                <w:szCs w:val="14"/>
                <w:color w:val="auto"/>
              </w:rPr>
              <w:t>(Decrease) increase in cash</w:t>
            </w: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w:t>
            </w: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(5,492)</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w:t>
            </w:r>
          </w:p>
        </w:tc>
      </w:tr>
      <w:tr>
        <w:trPr>
          <w:trHeight w:val="331"/>
        </w:trPr>
        <w:tc>
          <w:tcPr>
            <w:tcW w:w="5660" w:type="dxa"/>
            <w:vAlign w:val="bottom"/>
          </w:tcPr>
          <w:p>
            <w:pPr>
              <w:ind w:left="100"/>
              <w:spacing w:after="0"/>
              <w:rPr>
                <w:sz w:val="20"/>
                <w:szCs w:val="20"/>
                <w:color w:val="auto"/>
              </w:rPr>
            </w:pPr>
            <w:r>
              <w:rPr>
                <w:rFonts w:ascii="Courier New" w:cs="Courier New" w:eastAsia="Courier New" w:hAnsi="Courier New"/>
                <w:sz w:val="14"/>
                <w:szCs w:val="14"/>
                <w:color w:val="auto"/>
              </w:rPr>
              <w:t>Cash at beginning of year</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11,738</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17,230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tcPr>
          <w:p>
            <w:pPr>
              <w:jc w:val="right"/>
              <w:ind w:right="3848"/>
              <w:spacing w:after="0"/>
              <w:rPr>
                <w:sz w:val="20"/>
                <w:szCs w:val="20"/>
                <w:color w:val="auto"/>
              </w:rPr>
            </w:pPr>
            <w:r>
              <w:rPr>
                <w:rFonts w:ascii="Courier New" w:cs="Courier New" w:eastAsia="Courier New" w:hAnsi="Courier New"/>
                <w:sz w:val="14"/>
                <w:szCs w:val="14"/>
                <w:color w:val="auto"/>
              </w:rPr>
              <w:t>Cash at end of year</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$11,357</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$11,738</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$17,230</w:t>
            </w:r>
          </w:p>
        </w:tc>
      </w:tr>
      <w:tr>
        <w:trPr>
          <w:trHeight w:val="166"/>
        </w:trPr>
        <w:tc>
          <w:tcPr>
            <w:tcW w:w="566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1200"/>
          </w:cols>
          <w:pgMar w:left="220" w:top="616" w:right="47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 1999, and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Federal Realty Investment Trust (the "Trust") is a full-service real estate company, which owns and operates community and neighborhood shopping centers and which owns and develops main street retail properties, retail buildings and mixed-use properties located in densely developed urban and suburban areas.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for federal income tax purposes. A trust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of the Trust include the accounts of the Trust, its wholly owned corporate subsidiaries, several corporations where the Trust has a majority ownership, numerous partnerships and a joint venture, all of which it controls. The equity interests of other investors are reflected as investors' interest in consolidated assets. All significant intercompany transactions and balances are eliminated in consolidation.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 Recognition. Leases with tenants are classified as operating leases. Minimum rents are recognized on a straight-line basis over the terms of the related leases net of valuation adjustments based on management's assessment of credit, collection and other business risk. Percentage rents, which represent additional rents based on gross tenant sales, are recognized at the end of the lease year or other period in which tenant sales' volumes have been reached and the percentage rents are due. Real estate tax and other cost reimbursements are recognized on an accrual basis over the periods in which the expenditures occurred.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Real Estate. Land, buildings and real estate under development are recorded at cost. Depreciation is computed using the straight-line method. Estimated useful lives range from three to 25 years on apartment buildings and improvements, and from three to 35 years on retail properties and improvements. Maintenance and repair costs are charged to operations as incurred. Tenant work and other major improvements are capitalized and depreciated over the life of the lease and their estimated useful life, respectively. The gain or loss resulting from the sale of properties is included in net income at the time of sale. Upon termination of a lease, undepreciated tenant improvement costs are charged to operations if the assets are replaced and the asset and the corresponding accumulated depreciation are retired.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54" w:name="page55"/>
    <w:bookmarkEnd w:id="54"/>
    <w:p>
      <w:pPr>
        <w:ind w:right="3339"/>
        <w:spacing w:after="0" w:line="251" w:lineRule="auto"/>
        <w:rPr>
          <w:sz w:val="20"/>
          <w:szCs w:val="20"/>
          <w:color w:val="auto"/>
        </w:rPr>
      </w:pPr>
      <w:r>
        <w:rPr>
          <w:rFonts w:ascii="Courier New" w:cs="Courier New" w:eastAsia="Courier New" w:hAnsi="Courier New"/>
          <w:sz w:val="14"/>
          <w:szCs w:val="14"/>
          <w:color w:val="auto"/>
        </w:rPr>
        <w:t>The Trust evaluates the carrying value of its long-lived assets in accordance with Statement of Financial Accounting Standard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fair market value.</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Trust, when applicable as lessee, classifies its leases of land and buildings as operating or capital leases in accordance with the provisions of SFAS No. 13, "Accounting for Leases".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external and internal costs directly related to the development, redevelopment and leasing of real estate including applicable salaries and their related direct costs are capitalized. The capitalized costs associated with developments, redevelopments and leasing are depreciated or amortized over the life of the improvement and lease, respectively. Unamortized leasing costs are charged to operations if the applicable tenant vacates before the expiration of their lease. Through March 1998, internal costs of preacquisition activities incurred in connection with the acquisition of an operating property were capitalized. On March 19, 1998 the Emerging Issues Task Force ("EITF") of the Financial Accounting Standards Board reached a consensus opinion on issue #97-11, "Accounting for Internal Costs Relating to Real Estate Property Acquisitions" which requires that the internal costs of preacquisition activities incurred in connection with the acquisition of an operating property be expensed as incurred. Consequently, the Trust has been expensing these costs since March 1998.</w:t>
      </w:r>
    </w:p>
    <w:p>
      <w:pPr>
        <w:spacing w:after="0" w:line="32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Interest costs on developments and major redevelopments are capitalized as part of the development and redevelopment.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Debt Issue Costs. Costs related to the issuance of debt instruments are capitalized and are amortized as interest expense over the life of the related issue using the effective interest method. Upon conversion or in the event of redemption, applicable unamortized costs are charged to shareholders' equity or to operations, respectively.</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Cash and Cash Equivalents. The Trust defines cash as cash on hand, demand deposits with financial institutions and short term liquid investments with an initial maturity under three months. Cash balances in individual banks may exceed insurable amounts from time to time.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Risk Management. The Trust has occasionally entered into derivative contracts prior to a scheduled financing or refinancing in order to minimize the risk of changes in interest rates. The derivative contracts are designated as hedges when acquired. The gain or loss on these transactions is recognized as a component of interest expense over the life of the financing.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440" w:gutter="0" w:footer="0" w:header="0"/>
        </w:sectPr>
      </w:pPr>
    </w:p>
    <w:bookmarkStart w:id="55" w:name="page56"/>
    <w:bookmarkEnd w:id="55"/>
    <w:p>
      <w:pPr>
        <w:ind w:right="3339"/>
        <w:spacing w:after="0" w:line="251" w:lineRule="auto"/>
        <w:rPr>
          <w:sz w:val="20"/>
          <w:szCs w:val="20"/>
          <w:color w:val="auto"/>
        </w:rPr>
      </w:pPr>
      <w:r>
        <w:rPr>
          <w:rFonts w:ascii="Courier New" w:cs="Courier New" w:eastAsia="Courier New" w:hAnsi="Courier New"/>
          <w:sz w:val="14"/>
          <w:szCs w:val="14"/>
          <w:color w:val="auto"/>
        </w:rPr>
        <w:t>The Trust does not use derivative financial instruments for trading or speculative purposes. There were no open derivative contracts at December 31, 2000 or 1999. In June 1998, SFAS No. 133 "Accounting for Derivative Instruments and Hedging Activities" was issued. This statement established accounting and reporting standards for derivative instruments, including certain derivative instruments embedded in other contracts and for hedging activities. It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SFAS No. 137 "Deferral of Effective Date of SFAS No. 133" was issued and delayed the effective date of SFAS No. 133. SFAS No. 133 is effective January 1, 2001 for the Trust. As previously stated, the Trust has no derivatives as of December 31, 2000 and as a result, there is no related transition adjustment upon transition.</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Acquisition, Development and Construction Loan Arrangements. The Trust has made certain mortgage loans that, because of their nature, qualify as loan receivables. At the time the loans were made the Trust did not intend for the arrangement to be anything other than a financing and did not contemplate a real estate investment. Using guidance set forth in the Third Notice to Practitioners issued by the AICPA in February 1986 entitled "ADC Arrangements" ("the Third Notice"), the Trust evaluates each investment to determine whether the loan arrangement qualifies under the Third Notice as a loan, joint venture or real estate investment and the appropriate accounting thereon; such determination affects the Trust's balance sheet classification of these investments and the recognition of interest income derived therefrom. Generally, the Trust receives additional interest on these loans, however the Trust never receives in excess of 50% of the residual profit in the project (as defined in the Third Notice) and because the borrower has either a substantial investment in the project or has guaranteed all or a portion of the Trust's loan (or a combination thereof) the loans qualify for loan accounting. The amounts under ADC arrangements at December 31, 2000 and 1999 are $47.4 million and $53.5 million, respectively and interest income recognized thereon was $5.0 million and $5.7 million, respectively.</w:t>
      </w:r>
    </w:p>
    <w:p>
      <w:pPr>
        <w:spacing w:after="0" w:line="3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periods. These estimates are prepared using management's best judgment, after considering past and current events. Actual results could differ from these estimates.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Comprehensive Income. The Trust has no comprehensive income and therefore does not require separate reporting in the accompanying consolidated statements of operations.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56" w:name="page57"/>
    <w:bookmarkEnd w:id="56"/>
    <w:p>
      <w:pPr>
        <w:ind w:right="3339"/>
        <w:spacing w:after="0" w:line="251" w:lineRule="auto"/>
        <w:rPr>
          <w:sz w:val="20"/>
          <w:szCs w:val="20"/>
          <w:color w:val="auto"/>
        </w:rPr>
      </w:pPr>
      <w:r>
        <w:rPr>
          <w:rFonts w:ascii="Courier New" w:cs="Courier New" w:eastAsia="Courier New" w:hAnsi="Courier New"/>
          <w:sz w:val="14"/>
          <w:szCs w:val="14"/>
          <w:color w:val="auto"/>
        </w:rPr>
        <w:t>Earnings Per Share. The Trust calculates basic and diluted earnings per share in accordance with SFAS No. 128, "Earnings Per Share". Basic EPS excludes dilution and is computed by dividing net income available for common shareholders by the weighted number of common shares outstanding for the period. Diluted EPS reflects the potential dilution that could occur if securities or other contracts to issue common shares were exercised or converted into common shares and then shared in the earnings of the Trust.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EPS (in thousands):</w:t>
      </w:r>
    </w:p>
    <w:p>
      <w:pPr>
        <w:spacing w:after="0" w:line="173" w:lineRule="exact"/>
        <w:rPr>
          <w:sz w:val="20"/>
          <w:szCs w:val="20"/>
          <w:color w:val="auto"/>
        </w:rPr>
      </w:pPr>
    </w:p>
    <w:p>
      <w:pPr>
        <w:ind w:left="3980"/>
        <w:spacing w:after="0"/>
        <w:tabs>
          <w:tab w:leader="none" w:pos="4900" w:val="left"/>
          <w:tab w:leader="none" w:pos="58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Numerator</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shareholders - basic</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$52,573</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$37,010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operating partnership units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1,311</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r>
      <w:tr>
        <w:trPr>
          <w:trHeight w:val="166"/>
        </w:trPr>
        <w:tc>
          <w:tcPr>
            <w:tcW w:w="32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ind w:left="100"/>
              <w:spacing w:after="0"/>
              <w:rPr>
                <w:sz w:val="20"/>
                <w:szCs w:val="20"/>
                <w:color w:val="auto"/>
              </w:rPr>
            </w:pPr>
            <w:r>
              <w:rPr>
                <w:rFonts w:ascii="Courier New" w:cs="Courier New" w:eastAsia="Courier New" w:hAnsi="Courier New"/>
                <w:sz w:val="14"/>
                <w:szCs w:val="14"/>
                <w:color w:val="auto"/>
              </w:rPr>
              <w:t>Net income available for common</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shareholders - diluted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$53,884</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$37,588</w:t>
            </w:r>
          </w:p>
        </w:tc>
      </w:tr>
      <w:tr>
        <w:trPr>
          <w:trHeight w:val="166"/>
        </w:trPr>
        <w:tc>
          <w:tcPr>
            <w:tcW w:w="32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Denominator for basic EPS-</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shares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38,796</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39,174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Stock options and awards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Operating partnership units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959</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614</w:t>
            </w:r>
          </w:p>
        </w:tc>
      </w:tr>
      <w:tr>
        <w:trPr>
          <w:trHeight w:val="166"/>
        </w:trPr>
        <w:tc>
          <w:tcPr>
            <w:tcW w:w="32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Weighted average shares - diluted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39,910</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40,080</w:t>
            </w:r>
          </w:p>
        </w:tc>
      </w:tr>
      <w:tr>
        <w:trPr>
          <w:trHeight w:val="166"/>
        </w:trPr>
        <w:tc>
          <w:tcPr>
            <w:tcW w:w="32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Stock options are accounted for in accordance with APB 25, whereby if options are priced at fair market value or above at the date of grant, no compensation expense is recognized.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NOTE 1: REAL ESTATE AND ENCUMBRANCES</w:t>
      </w:r>
    </w:p>
    <w:p>
      <w:pPr>
        <w:spacing w:after="0" w:line="173" w:lineRule="exact"/>
        <w:rPr>
          <w:sz w:val="20"/>
          <w:szCs w:val="20"/>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A summary of the Trust's properties at December 31, 2000 and 1999 is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depreciation and</w:t>
            </w:r>
          </w:p>
        </w:tc>
        <w:tc>
          <w:tcPr>
            <w:tcW w:w="1120" w:type="dxa"/>
            <w:vAlign w:val="bottom"/>
          </w:tcPr>
          <w:p>
            <w:pPr>
              <w:spacing w:after="0"/>
              <w:rPr>
                <w:sz w:val="14"/>
                <w:szCs w:val="14"/>
                <w:color w:val="auto"/>
              </w:rPr>
            </w:pPr>
          </w:p>
        </w:tc>
      </w:tr>
      <w:tr>
        <w:trPr>
          <w:trHeight w:val="166"/>
        </w:trPr>
        <w:tc>
          <w:tcPr>
            <w:tcW w:w="13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2000</w:t>
            </w:r>
          </w:p>
        </w:tc>
        <w:tc>
          <w:tcPr>
            <w:tcW w:w="1600" w:type="dxa"/>
            <w:vAlign w:val="bottom"/>
          </w:tcPr>
          <w:p>
            <w:pPr>
              <w:ind w:left="1040"/>
              <w:spacing w:after="0"/>
              <w:rPr>
                <w:sz w:val="20"/>
                <w:szCs w:val="20"/>
                <w:color w:val="auto"/>
              </w:rPr>
            </w:pPr>
            <w:r>
              <w:rPr>
                <w:rFonts w:ascii="Courier New" w:cs="Courier New" w:eastAsia="Courier New" w:hAnsi="Courier New"/>
                <w:sz w:val="14"/>
                <w:szCs w:val="14"/>
                <w:color w:val="auto"/>
              </w:rPr>
              <w:t>Cost</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amortization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Encumbrances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$1,633,448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$276,982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$ 202,300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214,805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68,564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121,611</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4"/>
                <w:szCs w:val="2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$1,854,913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$351,258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$323,911</w:t>
            </w:r>
          </w:p>
        </w:tc>
      </w:tr>
      <w:tr>
        <w:trPr>
          <w:trHeight w:val="166"/>
        </w:trPr>
        <w:tc>
          <w:tcPr>
            <w:tcW w:w="20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$1,506,684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$251,946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$ 50,547</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208,135</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60,487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122,026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6,640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4"/>
                <w:szCs w:val="2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$1,721,459</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$317,921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$172,573</w:t>
            </w:r>
          </w:p>
        </w:tc>
      </w:tr>
      <w:tr>
        <w:trPr>
          <w:trHeight w:val="166"/>
        </w:trPr>
        <w:tc>
          <w:tcPr>
            <w:tcW w:w="20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During 2000, the Trust expended cash of $23.6 million to acquire real estate and an additional $145.8 million to improve, redevelop and develop its existing real estate. The Trust purchased the 75,000 square foot Greenlawn Plaza in Greenlawn, New York for $6.2 million. Control of a parcel of land for future development in Hillsboro, Oregon was acquired for $11.7 million; an additional $1.6 million will be owed if certain cash flow criteria are met during the first ten years of operations. Other acquisitions include a parcel of land in Bethesda, Maryland for $461,000; an additional property for the Trust's Houston Street project in San Antonio, Texas for cash of $1.2 million and the assumption of a $345,000 mortgage; a retail building in Santa Monica, California in satisfaction of a $5.2 million mortgage note receivable and cash of $1.7 million; and the $2.3 million redemption of 100,000 operating partnership units which had been issued in connection with the purchase of Courthouse Square and Magruders Shopping Centers.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Of the $145.8 million spent in 2000 on the Trust's existing real estate portfolio, approximately $82.1 million was invested in development projects in Bethesda, Maryland; San Jose, California; and in Arlington, Virginia. The remaining $63.7 million of capital expenditures relates to improvements to common areas, tenant work and various redevelopments, including the renovation of Greenlawn Plaza, the office expansion and retenanting of Willow Lawn Shopping Center, the renovation of Brunswick Shopping Center, and the redevelopment of retail buildings in Forest Hills, New York, San Antonio, Texas and southern California.</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Trust, which held the 1% general partnership interest, obtained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58" w:name="page59"/>
    <w:bookmarkEnd w:id="58"/>
    <w:p>
      <w:pPr>
        <w:ind w:right="3339"/>
        <w:spacing w:after="0" w:line="252" w:lineRule="auto"/>
        <w:rPr>
          <w:sz w:val="20"/>
          <w:szCs w:val="20"/>
          <w:color w:val="auto"/>
        </w:rPr>
      </w:pPr>
      <w:r>
        <w:rPr>
          <w:rFonts w:ascii="Courier New" w:cs="Courier New" w:eastAsia="Courier New" w:hAnsi="Courier New"/>
          <w:sz w:val="14"/>
          <w:szCs w:val="14"/>
          <w:color w:val="auto"/>
        </w:rPr>
        <w:t>an additional 98% general partnership interest in the future operations of Loehmann's Plaza. The minority partner received 190,000 partnership units valued at $3.6 million and the satisfaction of amounts due the Trust from the partnership.</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Trust's 123 retail properties at December 31, 2000 are located in 15 states and the District of Columbia. There are approximately 2,100 tenants providing a wide range of retail products and services. These tenants range from sole proprietorships to national retailers; no one tenant or corporate group of tenants accounts for more than 2.1% of revenue.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Mortgage notes receivable of $47.4 million are due over various terms from January 2001 to May 2021 and have an average weighted interest rate of 10.0%. Under the terms of certain of these mortgages, the Trust will receive additional interest based upon the gross income of the secured properties and, upon sale of the properties, the Trust will share in the appreciation of the properties.</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 June 30, 2000, the Trust sold the 296,000 square foot Peninsula Shopping Center located in Palos Verdes, California for $48.6 million resulting in a gain of $3.7 million.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During the second quarter of 1999,the Trust recorded a $7.1 million charge, representing the estimated loss on the potential sale of certain assets, principally Northeast Plaza in Atlanta, Georgia. On October 18, 1999 the Trust sold Northeast Plaza for $19.6 million, realizing a loss of $6.3 million.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Mortgages payable and capital lease obligations are due in installments over various terms extending to 2016 and 2060, respectively, with interest rates ranging from 5.5% to 11.25%. Certain of the capital lease obligations require additional interest payments based upon property performance. There were no maturing mortgages in 2000 or 1999. In 1998 the Trust paid off maturing mortgages totaling $53.5 million.</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On October 23, 2000, the Trust obtained a $152 million mortgage loan which is secured by five shopping centers. The mortgage, which bears interest at</w:t>
      </w:r>
    </w:p>
    <w:p>
      <w:pPr>
        <w:spacing w:after="0" w:line="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7.95%, matures November 1, 2015 and required an up-front fee of $988,000. The loan provides for interest only payments for the initial three years, then monthly principal and interest payments based on a twenty-seven year amortization schedule until the maturity date. The proceeds from the mortgage loan were used to pay down the Trust's syndicated credit facility.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anticipation of the mortgage loan placement in the third quarter of 2000, the Trust purchased a Treasury Yield Hedge (notional amount of $140 million) to hedge the risk of changes in interest rates. The hedge was terminated on June 30, 2000 at a gain of $165,000 which is being recognized as a reduction of interest expense over the term of the mortgage loan.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16" w:right="1440" w:bottom="1440" w:gutter="0" w:footer="0" w:header="0"/>
        </w:sectPr>
      </w:pPr>
    </w:p>
    <w:bookmarkStart w:id="59" w:name="page60"/>
    <w:bookmarkEnd w:id="59"/>
    <w:p>
      <w:pPr>
        <w:ind w:right="3599" w:firstLine="431"/>
        <w:spacing w:after="0" w:line="255" w:lineRule="auto"/>
        <w:rPr>
          <w:sz w:val="20"/>
          <w:szCs w:val="20"/>
          <w:color w:val="auto"/>
        </w:rPr>
      </w:pPr>
      <w:r>
        <w:rPr>
          <w:rFonts w:ascii="Courier New" w:cs="Courier New" w:eastAsia="Courier New" w:hAnsi="Courier New"/>
          <w:sz w:val="14"/>
          <w:szCs w:val="14"/>
          <w:color w:val="auto"/>
        </w:rPr>
        <w:t>Scheduled principal payments on mortgage indebtedness as of December 31, 2000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30,696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1,725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1,886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167,786</w:t>
            </w:r>
          </w:p>
        </w:tc>
      </w:tr>
      <w:tr>
        <w:trPr>
          <w:trHeight w:val="166"/>
        </w:trPr>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202,300</w:t>
            </w:r>
          </w:p>
        </w:tc>
      </w:tr>
      <w:tr>
        <w:trPr>
          <w:trHeight w:val="166"/>
        </w:trPr>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2000,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11,458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11,673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11,673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504,161</w:t>
            </w:r>
          </w:p>
        </w:tc>
      </w:tr>
      <w:tr>
        <w:trPr>
          <w:trHeight w:val="166"/>
        </w:trPr>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562,229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(440,618)</w:t>
            </w:r>
          </w:p>
        </w:tc>
      </w:tr>
      <w:tr>
        <w:trPr>
          <w:trHeight w:val="166"/>
        </w:trPr>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Present value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121,611</w:t>
            </w:r>
          </w:p>
        </w:tc>
      </w:tr>
      <w:tr>
        <w:trPr>
          <w:trHeight w:val="166"/>
        </w:trPr>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Arrangements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Trust's leases with retail property and apartment tenants are classified as operating leases. Leases on apartments are generally for a period of one year, whereas retail property leases generally range from three to 10 years (certain leases with anchor tenants may be longer), and usually provide for contingent rentals based on sales and sharing of certain operating costs.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rental income are as follows (in thousands):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2420"/>
        <w:spacing w:after="0"/>
        <w:tabs>
          <w:tab w:leader="none" w:pos="3440" w:val="left"/>
          <w:tab w:leader="none" w:pos="446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Minimum rents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$208,474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$197,299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$178,936</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Cost reimbursements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43,056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34,897</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Percentage rent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6,364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5,766</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Apartments - rents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2,587</w:t>
            </w:r>
          </w:p>
        </w:tc>
      </w:tr>
      <w:tr>
        <w:trPr>
          <w:trHeight w:val="166"/>
        </w:trPr>
        <w:tc>
          <w:tcPr>
            <w:tcW w:w="19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$260,684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$245,833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$222,186</w:t>
            </w:r>
          </w:p>
        </w:tc>
      </w:tr>
      <w:tr>
        <w:trPr>
          <w:trHeight w:val="166"/>
        </w:trPr>
        <w:tc>
          <w:tcPr>
            <w:tcW w:w="19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F13</w:t>
            </w: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The components of rental expense are as follows (in thousands):</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2600"/>
        <w:spacing w:after="0"/>
        <w:tabs>
          <w:tab w:leader="none" w:pos="3520" w:val="left"/>
          <w:tab w:leader="none" w:pos="46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Repairs and maintenance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$16,590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$13,942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Management fees and costs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9,510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7,625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Payroll - properties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4,510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3,775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Ground rent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2,829</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2,610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operating</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11,163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9,199</w:t>
            </w:r>
          </w:p>
        </w:tc>
      </w:tr>
      <w:tr>
        <w:trPr>
          <w:trHeight w:val="166"/>
        </w:trPr>
        <w:tc>
          <w:tcPr>
            <w:tcW w:w="2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$56,280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$49,490</w:t>
            </w:r>
          </w:p>
        </w:tc>
      </w:tr>
      <w:tr>
        <w:trPr>
          <w:trHeight w:val="166"/>
        </w:trPr>
        <w:tc>
          <w:tcPr>
            <w:tcW w:w="23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Minimum future retail property rentals on noncancelable operating leases, before any reserve for uncollectible amounts, on operating properties as of December 31, 2000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32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  201,753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188,629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169,579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148,357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127,460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713,263</w:t>
            </w:r>
          </w:p>
        </w:tc>
      </w:tr>
      <w:tr>
        <w:trPr>
          <w:trHeight w:val="166"/>
        </w:trPr>
        <w:tc>
          <w:tcPr>
            <w:tcW w:w="26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$1,549,041</w:t>
            </w:r>
          </w:p>
        </w:tc>
      </w:tr>
      <w:tr>
        <w:trPr>
          <w:trHeight w:val="166"/>
        </w:trPr>
        <w:tc>
          <w:tcPr>
            <w:tcW w:w="26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4"/>
                <w:szCs w:val="24"/>
                <w:color w:val="auto"/>
              </w:rPr>
            </w:pP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F14</w:t>
            </w:r>
          </w:p>
        </w:tc>
      </w:tr>
    </w:tbl>
    <w:p>
      <w:pPr>
        <w:sectPr>
          <w:pgSz w:w="11900" w:h="16838" w:orient="portrait"/>
          <w:cols w:equalWidth="0" w:num="1">
            <w:col w:w="10239"/>
          </w:cols>
          <w:pgMar w:left="22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NOTE 2. FAIR VALUE OF FINANCIAL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mortgage notes receivable and payable, using the Trust's estimate of current interest rates for similar notes;</w:t>
      </w:r>
    </w:p>
    <w:p>
      <w:pPr>
        <w:spacing w:after="0" w:line="3" w:lineRule="exact"/>
        <w:rPr>
          <w:sz w:val="20"/>
          <w:szCs w:val="20"/>
          <w:color w:val="auto"/>
        </w:rPr>
      </w:pP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carrying amounts in the balance sheet approximate fair value for cash,</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payable, accrued expenses and short term borrowings. Notes receivable from officers are excluded from fair value estimation since they have been issued in connection with employee stock ownership programs.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 31, 2000</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1999</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Fair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17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Value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780" w:type="dxa"/>
            <w:vAlign w:val="bottom"/>
          </w:tcPr>
          <w:p>
            <w:pPr>
              <w:spacing w:after="0"/>
              <w:rPr>
                <w:sz w:val="14"/>
                <w:szCs w:val="1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Cash &amp; equivalents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$11,357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$11,357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$11,738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2,403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Mortgage notes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receivable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47,360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48,039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54,174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Mortgages and notes</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payable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427,546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427,937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213,315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213,579</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debentures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75,289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71,058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75,289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71,058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410,000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411,934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488,355</w:t>
            </w:r>
          </w:p>
        </w:tc>
      </w:tr>
      <w:tr>
        <w:trPr>
          <w:trHeight w:val="331"/>
        </w:trPr>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F15</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NOTE 3. NOTES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Trust's notes consist of the following (in thousands):</w:t>
      </w:r>
    </w:p>
    <w:p>
      <w:pPr>
        <w:spacing w:after="0" w:line="173" w:lineRule="exact"/>
        <w:rPr>
          <w:sz w:val="20"/>
          <w:szCs w:val="20"/>
          <w:color w:val="auto"/>
        </w:rPr>
      </w:pPr>
    </w:p>
    <w:p>
      <w:pPr>
        <w:ind w:left="3020"/>
        <w:spacing w:after="0"/>
        <w:tabs>
          <w:tab w:leader="none" w:pos="41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Revolving credit facilities</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$ 78,000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$ 34,000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Term note with banks</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Construction loan</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16,241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3,768</w:t>
            </w:r>
          </w:p>
        </w:tc>
      </w:tr>
      <w:tr>
        <w:trPr>
          <w:trHeight w:val="166"/>
        </w:trPr>
        <w:tc>
          <w:tcPr>
            <w:tcW w:w="254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4"/>
                <w:szCs w:val="2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$225,246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$162,768</w:t>
            </w:r>
          </w:p>
        </w:tc>
      </w:tr>
      <w:tr>
        <w:trPr>
          <w:trHeight w:val="166"/>
        </w:trPr>
        <w:tc>
          <w:tcPr>
            <w:tcW w:w="254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December 1997 the Trust obtained a five year syndicated revolving credit facility for $300 million due December 2002. The syndicated facility requires fees and has various covenants including the maintenance of a minimum shareholders' equity and a maximum ratio of debt to net worth.</w:t>
      </w:r>
    </w:p>
    <w:p>
      <w:pPr>
        <w:spacing w:after="0" w:line="162"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In December 1998 the Trust obtained a four year loan of $125 million from five institutional lenders. The loan, due December 2002, requires fees and has the same covenants as the syndicated credit facility.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June 2000, the Trust modified certain covenants and extended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maturity date to December 19, 2003 of its syndicated credit facility and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 million term loan. Fees paid for this extension totaled $1.0 million.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is in compliance with all covenants.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July 2000, citing the Trust's pursuit of development and the resulting capital requirements, Standard and Poor's lowered the rating on the Trust's senior notes from BBB+ to BBB flat with a positive outlook. Under the terms of the syndicated credit facility, this lowered rating resulted in an increase in the Trust's borrowing rate from LIBOR plus 65 basis points to LIBOR plus 80 basis points. The interest rate on the term loan increased from LIBOR plus 75 basis points to LIBOR plus 95 basis points.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maximum drawn under these facilities during 2000, 1999 and 1998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$343.1 million, $330.0 million and $259.1 million, respectively. In 2000,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1998 the weighted average interest rate on borrowings was 7.2%, 5.9%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 respectively, and the average amount outstanding was $283.2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$296.4 million and $163.6 million, respectively.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29, 2000, the Trust obtained a construction loan for up to $24.5 million in connection with the Trust's Woodmont East development in Bethesda, Maryland. The loan, which has a floating interest rate of LIBOR plus 1.2% to 1.5%, depending on occupancy levels, matures August 29, 2002 with two one-year extension options. At December 31, 2000, the outstanding balance on the construction loan was $16.2 million. No principal payments are due until maturity. The property secures the construction loan facility.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63" w:name="page64"/>
    <w:bookmarkEnd w:id="63"/>
    <w:p>
      <w:pPr>
        <w:ind w:right="3339" w:firstLine="431"/>
        <w:spacing w:after="0" w:line="252" w:lineRule="auto"/>
        <w:rPr>
          <w:sz w:val="20"/>
          <w:szCs w:val="20"/>
          <w:color w:val="auto"/>
        </w:rPr>
      </w:pPr>
      <w:r>
        <w:rPr>
          <w:rFonts w:ascii="Courier New" w:cs="Courier New" w:eastAsia="Courier New" w:hAnsi="Courier New"/>
          <w:sz w:val="14"/>
          <w:szCs w:val="14"/>
          <w:color w:val="auto"/>
        </w:rPr>
        <w:t>In connection with the land held for future development in Hillsboro, Oregon, the Trust issued a $3.4 million note which is due June 30, 2001. The loan bears interest at LIBOR plus 1.25%. The property secures the loan facility.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5 1/4% CONVERTIBLE SUBORDINATED DEBENTURES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At December 2000 and 1999 the Trust had outstanding $289,000 of 5 1/4% convertible subordinated debentures due 2002. The debentures which are convertible into shares of beneficial interest at $30.625 were not registered under the Securities Act of 1933 and were not publicly distributed within the United States.</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Trust is in compliance with the terms of these borrowings. No principal is due on these notes prior to maturity.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SENIOR NOTES AND DEBENTURES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Unsecured senior notes and debentures at December 31, 2000 and 1999 consist of the following (in thousands):</w:t>
      </w:r>
    </w:p>
    <w:p>
      <w:pPr>
        <w:spacing w:after="0" w:line="160" w:lineRule="exact"/>
        <w:rPr>
          <w:sz w:val="20"/>
          <w:szCs w:val="20"/>
          <w:color w:val="auto"/>
        </w:rPr>
      </w:pPr>
    </w:p>
    <w:p>
      <w:pPr>
        <w:ind w:left="4320"/>
        <w:spacing w:after="0"/>
        <w:tabs>
          <w:tab w:leader="none" w:pos="50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8.875% Notes due January 15, 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8% Notes due April 21, 2002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6.74%</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 2004</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39,500</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6.625% Notes due December 1, 2005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6.99%</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 2006</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40,500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6.82%</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August 1, 2027,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redeemable at par by holder August 1, 2007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7.48%</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Debentures due August 15, 2026,</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redeemable at par by holder August 15, 2008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8.75%</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Notes due December 1, 2009</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175,000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175,000</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410,000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$510,000</w:t>
            </w:r>
          </w:p>
        </w:tc>
      </w:tr>
      <w:tr>
        <w:trPr>
          <w:trHeight w:val="166"/>
        </w:trPr>
        <w:tc>
          <w:tcPr>
            <w:tcW w:w="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On January 17, 2000 the Trust's $100 million of 8.875% Notes matured and were paid with borrowings from the Trust's syndicated credit facilities.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loan agreements contain various covenants, including limitations on the amount of debt and minimum debt service coverage ratios. The Trust is in compliance with all covenants. No principal is due on these notes prior to maturity.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616" w:right="1440" w:bottom="1440" w:gutter="0" w:footer="0" w:header="0"/>
        </w:sectPr>
      </w:pPr>
    </w:p>
    <w:bookmarkStart w:id="64" w:name="page65"/>
    <w:bookmarkEnd w:id="64"/>
    <w:p>
      <w:pPr>
        <w:ind w:right="3339" w:firstLine="431"/>
        <w:spacing w:after="0" w:line="252" w:lineRule="auto"/>
        <w:rPr>
          <w:sz w:val="20"/>
          <w:szCs w:val="20"/>
          <w:color w:val="auto"/>
        </w:rPr>
      </w:pPr>
      <w:r>
        <w:rPr>
          <w:rFonts w:ascii="Courier New" w:cs="Courier New" w:eastAsia="Courier New" w:hAnsi="Courier New"/>
          <w:sz w:val="14"/>
          <w:szCs w:val="14"/>
          <w:color w:val="auto"/>
        </w:rPr>
        <w:t>In September 1998 the Trust filed a $500 million shelf registration statement with the Securities and Exchange Commission which allows the issuance of debt securities, preferred shares and common shares. As of December 31, 2000, $325 million is available under the shelf registration.</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NOTE 6. DIVIDENDS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November 2, 2000 the Trustees declared a quarterly cash dividend of $.47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common share, payable January 15, 2001 to common shareholders of record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 2001. For the years ended December 31, 2000, 1999 and 1998,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and $.31 of dividends paid per common share, respectively, represented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of capital.</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On November 2, 2000 the Trustees declared a quarterly cash dividend of $.49687 per share on its Series A Cumulative Redeemable Preferred Shares, payable on January 31, 2001 to shareholders of record on January 15, 2001.</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For the year ended December 31, 2000, $.04 of dividends paid per common share and per preferred share represent a capital gain. There were no capital gains in 1999 or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COMMITMENTS AND 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residential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they anticipate they will incur as a result of defaults under the contract.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and the Trust does not believe that there will be any material impairment on the project as a result of the schedule delays.</w:t>
      </w:r>
    </w:p>
    <w:p>
      <w:pPr>
        <w:spacing w:after="0" w:line="338"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In addition, the Trust is involved in various other lawsuits and environmental matters arising in the normal course of business. Management believes that such matters will not have a material effect on the financial condition or results of operations of the Trust.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65" w:name="page66"/>
    <w:bookmarkEnd w:id="65"/>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provisions of the Congressional Plaza partnership agreement, in the event of the exercise of put options by another partner, which are currently exercisable and have no expiration date, the Trust would be required to purchase a 37.5% interest at Congressional Plaza at its then fair market value. Based on management's current estimate of fair market value, the Trust's estimated liability upon exercise of the put option is approximately $27 million.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six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limited partners of two partnerships, owning street retail properties in southern California, have exercised their rights under these agreements. The Trust purchased their interests in March 2001 for approximately $18 million, approximately $7 million in common shares of the Trust and the balance in cash.</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certain other partnership agreements, the partners may exchange their 904,589 operating partnership units for cash or exchange into the same number of common shares of the Trust, at the option of the Trust. During the third quarter of 2000 the Trust redeemed 100,000 operating units for cash of $2.3 million</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As of December 31, 2000 in connection with renovation and development projects, the Trust has contractual obligations of approximately $46 million.</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Trust is obligated under ground lease agreements on several shopping centers requiring minimum annual payments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$4,095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4,321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4,398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4,409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4,463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278,608</w:t>
            </w:r>
          </w:p>
        </w:tc>
      </w:tr>
      <w:tr>
        <w:trPr>
          <w:trHeight w:val="166"/>
        </w:trPr>
        <w:tc>
          <w:tcPr>
            <w:tcW w:w="264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$300,294</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SHAREHOLDERS'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May 1999, the Trust reorganized as a Maryland real estate investment trust by amending and restating its declaration of trust and bylaws. The Amended Declaration of Trust changed the number of authorized shares of common and preferred shares from unlimited to 100,000,000 and 15,000,000, respectively. In addition, all common shares of beneficial</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66" w:name="page67"/>
    <w:bookmarkEnd w:id="66"/>
    <w:p>
      <w:pPr>
        <w:ind w:right="3339"/>
        <w:spacing w:after="0" w:line="251" w:lineRule="auto"/>
        <w:rPr>
          <w:sz w:val="20"/>
          <w:szCs w:val="20"/>
          <w:color w:val="auto"/>
        </w:rPr>
      </w:pPr>
      <w:r>
        <w:rPr>
          <w:rFonts w:ascii="Courier New" w:cs="Courier New" w:eastAsia="Courier New" w:hAnsi="Courier New"/>
          <w:sz w:val="14"/>
          <w:szCs w:val="14"/>
          <w:color w:val="auto"/>
        </w:rPr>
        <w:t>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October 6, 1997 the Trust issued four million 7.95% Series A Cumulative Redeemable Preferred Shares at $25 per share in a public offering, realizing cash proceeds of approximately $96.6 million after costs of $3.4 million. The Series A Preferred Shares are not redeemable prior to October 6, 2002.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Dividends on the Preferred Shares are payable quarterly in arrears on the last day of January, April, July and October.</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Trust has a Dividend Reinvestment Plan, whereby shareholders may use their dividends and make optional cash payments to purchase shares. In 2000, 1999, and 1998, 153,713 shares, 165,770 shares, and 167,511 shares, respectively, were issued under the Plan.</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December 1999, the Trustees authorized a share repurchase program for calendar year 2000 of up to an aggregate of 4 million of the Trust's common shares. A total of 1,325,900 shares were repurchased, at a cost of $25.2 million. The Trust does not expect to repurchase shares in 2001.</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2000, 270,809 common shares were awarded to the Trust's president and other key employees under various incentive compensation programs designed to directly link a significant portion of their current and long term compensation to the prosperity of the Trust and its shareholders. The shares vest over terms from 3 to 8 years.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1999, 65,660 common shares were awarded, and 5,006 shares were forfeited and retired, to the Trust's president and other key employees under various incentive compensation programs. Fifteen thousand shares vested upon award, and the balance vest over terms from 5 to 13 years.</w:t>
      </w:r>
    </w:p>
    <w:p>
      <w:pPr>
        <w:spacing w:after="0" w:line="162"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In 1998, 576,055 common shares, of which 35,000 were issued from treasury shares, were awarded to the Trust's president and certain other officers under various incentive compensation programs. Ten thousand shares vested upon award, 491,055 shares vest over terms from 5 to 13 years, and 75,000 shares vest upon the obtainment of certain performance criteria.</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January 1994 under the terms of the 1993 Long Term Incentive Plan, an officer of the Trust purchased 40,000 common shares at $25 per share with the assistance of a $1.0 million loan from the Trust. The loan, which has a term of 12 years and a current balance of $562,500, bears interest at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16" w:right="1440" w:bottom="1440" w:gutter="0" w:footer="0" w:header="0"/>
        </w:sectPr>
      </w:pPr>
    </w:p>
    <w:bookmarkStart w:id="67" w:name="page68"/>
    <w:bookmarkEnd w:id="67"/>
    <w:p>
      <w:pPr>
        <w:ind w:right="3339"/>
        <w:spacing w:after="0" w:line="252" w:lineRule="auto"/>
        <w:rPr>
          <w:sz w:val="20"/>
          <w:szCs w:val="20"/>
          <w:color w:val="auto"/>
        </w:rPr>
      </w:pPr>
      <w:r>
        <w:rPr>
          <w:rFonts w:ascii="Courier New" w:cs="Courier New" w:eastAsia="Courier New" w:hAnsi="Courier New"/>
          <w:sz w:val="14"/>
          <w:szCs w:val="14"/>
          <w:color w:val="auto"/>
        </w:rPr>
        <w:t>6.24%. Forgiveness of up to 75% of the loan is subject to the future performance of the Trust. One eighth of the loan was forgiven on January 31, 1995 and an additional one sixteenth has been forgiven each January 31 since then as certain performance criteria of the Trust were met.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has been forgiven during each year of the plan. At December 31, 2000 the Trust has outstanding purchase loans to participants of $1.4 million. The purchase loans bear interest at 9.39%. The shares purchased under the plan may not be sold, pledged or assigned until both the purchase and tax loans associated with the plan are satisfied and the term has expired, without the consent of the Compensation Committee of the Board of Trustees.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Tax loans with a balance of $2.2 million in 2000, $1.3 million in 1999 and $1.1 million in 1998 have been made in connection with restricted share grants to the Trust's President, Chief Investment Officer and Chief Operating Officer and in connection with the Share Purchase Plans. The loans, which bear interest ranging from 6.36% to 9.39%, are due over periods ranging from 8 to 13 years from the date of the loan.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April 13, 1999, the Shareholder Rights Plan adopted in 1989 expired. On March 11, 1999 the Trust entered into an Amended and Restated Rights Agreement with American Stock Transfer and Trust Company, pursuant to which (i)the expiration date of the Trust's shareholder rights plan was extended for an additional ten years to April 24, 2009, (ii)the beneficial ownership percentage at which a person becomes an "Acquiring Person" under the plan was reduced from 20% to 15%, and (iii)certain other amendments were made.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STOCK OPTION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1993 Long Term Incentive Plan ("Plan") has been amended to authorize the grant of options and other stock based awards for up to 5.5 million shares. Options granted under the Plan have ten year terms and vest in one to five years. Under the Plan, on each annual meeting date during the term of the Plan, each nonemployee Trustee will be awarded 2,500 options.</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option price to acquire shares under the 1993 Plan and previous plans is required to be at least the fair market value at the date of grant. As a result of the exercise of options, the Trust had outstanding from its officers and employees notes for $2.6 million, $3.6 million and $3.4</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16" w:right="1440" w:bottom="1440" w:gutter="0" w:footer="0" w:header="0"/>
        </w:sectPr>
      </w:pPr>
    </w:p>
    <w:bookmarkStart w:id="68" w:name="page69"/>
    <w:bookmarkEnd w:id="68"/>
    <w:p>
      <w:pPr>
        <w:ind w:right="3419"/>
        <w:spacing w:after="0" w:line="250" w:lineRule="auto"/>
        <w:rPr>
          <w:sz w:val="20"/>
          <w:szCs w:val="20"/>
          <w:color w:val="auto"/>
        </w:rPr>
      </w:pPr>
      <w:r>
        <w:rPr>
          <w:rFonts w:ascii="Courier New" w:cs="Courier New" w:eastAsia="Courier New" w:hAnsi="Courier New"/>
          <w:sz w:val="14"/>
          <w:szCs w:val="14"/>
          <w:color w:val="auto"/>
        </w:rPr>
        <w:t>million at December 31, 2000, 1999 and 1998, respectively. The notes issued under the 1993 Plan bear interest at the dividend rate on the date of exercise divided by the purchase price of such shares. The notes issued under the previous plans bear interest at the lesser of (i) the Trust's borrowing rate or</w:t>
      </w:r>
    </w:p>
    <w:p>
      <w:pPr>
        <w:spacing w:after="0" w:line="2" w:lineRule="exact"/>
        <w:rPr>
          <w:sz w:val="20"/>
          <w:szCs w:val="20"/>
          <w:color w:val="auto"/>
        </w:rPr>
      </w:pPr>
    </w:p>
    <w:p>
      <w:pPr>
        <w:ind w:right="3419" w:firstLine="8"/>
        <w:spacing w:after="0" w:line="252" w:lineRule="auto"/>
        <w:tabs>
          <w:tab w:leader="none" w:pos="43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indicated annual dividend rate on the shares acquired pursuant to the option, divided by the purchase price of such shares. The notes are collateralized by the shares and are with recourse. The loans have a term extending to the employee's or officer's retirement date.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SFAS Statement No. 123, "Accounting for Stock-Based Compensation" requires pro forma information regarding net income and earnings per share as if the Trust accounted for its stock options under the fair value method of that Statement. The fair value for options issued in 2000, 1999, and 1998 has been estimated as $549,000, $434,000, and $2.6 million, respectively, as of the date of grant, using a binomial model with the following weighted-average assumptions for 2000, 1999 and 1998, respectively: risk-free interest rates of 5.2%,</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5.4%,and 5.7%; volatility factors of the expected market price of the Trust's shares of 14%, 15%, and 19%; and a weighted average expected life of the option of 5.7 years, 6.6 years, and 6.3 years.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 vesting period. The pro forma information is as follows (in thousands except for earnings per share):</w:t>
      </w:r>
    </w:p>
    <w:p>
      <w:pPr>
        <w:spacing w:after="0" w:line="163" w:lineRule="exact"/>
        <w:rPr>
          <w:sz w:val="20"/>
          <w:szCs w:val="20"/>
          <w:color w:val="auto"/>
        </w:rPr>
      </w:pPr>
    </w:p>
    <w:p>
      <w:pPr>
        <w:ind w:left="3280"/>
        <w:spacing w:after="0"/>
        <w:tabs>
          <w:tab w:leader="none" w:pos="4120" w:val="left"/>
          <w:tab w:leader="none" w:pos="49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$59,445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$46,368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$43,179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basic</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diluted</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331"/>
        </w:trPr>
        <w:tc>
          <w:tcPr>
            <w:tcW w:w="3200" w:type="dxa"/>
            <w:vAlign w:val="bottom"/>
          </w:tcPr>
          <w:p>
            <w:pPr>
              <w:spacing w:after="0"/>
              <w:rPr>
                <w:sz w:val="24"/>
                <w:szCs w:val="24"/>
                <w:color w:val="auto"/>
              </w:rPr>
            </w:pP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F22</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9" w:name="page70"/>
    <w:bookmarkEnd w:id="69"/>
    <w:p>
      <w:pPr>
        <w:ind w:right="3339" w:firstLine="431"/>
        <w:spacing w:after="0" w:line="255" w:lineRule="auto"/>
        <w:rPr>
          <w:sz w:val="20"/>
          <w:szCs w:val="20"/>
          <w:color w:val="auto"/>
        </w:rPr>
      </w:pPr>
      <w:r>
        <w:rPr>
          <w:rFonts w:ascii="Courier New" w:cs="Courier New" w:eastAsia="Courier New" w:hAnsi="Courier New"/>
          <w:sz w:val="14"/>
          <w:szCs w:val="14"/>
          <w:color w:val="auto"/>
        </w:rPr>
        <w:t>A summary of the Trust's stock option activity for the years ended December 31,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Option</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January 1, 1998</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2,848,342</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1,293,500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25.06</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(228,908)</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21.14</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(304,118)</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31, 1998</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3,608,816</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720,000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21.12</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(52,667)</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20.73</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(380,635)</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25.29</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31, 1999</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3,895,514</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24.31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737,500</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19.75</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(67,684)</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20.50</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(847,049)</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24.27</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31, 2000</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3,718,281</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23.46</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bl>
    <w:p>
      <w:pPr>
        <w:spacing w:after="0" w:line="17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At December 31, 2000 and 1999, options for 2.3 million and 1.9 million shares, respectively, were exercisable. The average remaining contractual life of options outstanding at December 31, 2000 and 1999 was 8.1 years and 6.7 years, respectively. The weighted average grant date fair value per option for options granted in 2000 and 1999 was $.72 and $.65, respectively. The exercise price of options outstanding at December 31, 2000 ranged from $18.00 per share to $27.13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SAVINGS AND RETIREMENT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Trust has a savings and retirement plan in accordance with the provisions of Section 401(k) of the Internal Revenue Code. Employees' contributions range, at the discretion of each employee, from 1% to 20% of compensation up to a maximum of $10,500. Under the plan, the Trust, out of its current net income, contributes 50% of each employee's first 5% of contributions. In addition, the Trust may make discretionary contributions within the limits of deductibility set forth by the Code. Employees of the Trust are immediately eligible to become plan participants. Employees are not eligible to receive matching contributions until their first anniversary of employment. The Trust's expense for the years ended December 31, 2000, 1999 and 1998 was $216,000, $223,000 and $218,000, respectively.</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nonqualified deferred compensation plan for Trust officers was established in 1994. The plan allows the officers to defer future income until the earlier of age 65 or termination of employment with the Trust. As of December 31, 2000, the Trust is liable to participants for approximately $2.4 million under this plan. Although this is an unfunded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16" w:right="1440" w:bottom="1440" w:gutter="0" w:footer="0" w:header="0"/>
        </w:sectPr>
      </w:pPr>
    </w:p>
    <w:bookmarkStart w:id="70" w:name="page71"/>
    <w:bookmarkEnd w:id="70"/>
    <w:p>
      <w:pPr>
        <w:ind w:right="3859"/>
        <w:spacing w:after="0" w:line="255" w:lineRule="auto"/>
        <w:rPr>
          <w:sz w:val="20"/>
          <w:szCs w:val="20"/>
          <w:color w:val="auto"/>
        </w:rPr>
      </w:pPr>
      <w:r>
        <w:rPr>
          <w:rFonts w:ascii="Courier New" w:cs="Courier New" w:eastAsia="Courier New" w:hAnsi="Courier New"/>
          <w:sz w:val="14"/>
          <w:szCs w:val="14"/>
          <w:color w:val="auto"/>
        </w:rPr>
        <w:t>plan, the Trust has purchased certain investments with which to match this obligation.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Trust incurred interest expense totaling $79.7 million, $68.4 million and $60.2 million in 2000, 1999 and 1998, respectively, of which $13.3 million, $6.9 million, and $5.1 million respectively, was capitalized. Interest paid was $83.1 million in 2000, $67.0 million in 1999, and $57.8 million in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ADMINISTRATIVE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1999 while exploring strategic alternatives to maximize shareholder value, the Trust considered spinning off certain of its assets (primarily those related to the development and operation of its main street retail program) in a taxable transaction to shareholders. Shortly thereafter, the remaining assets of the Trust were to be merged with another publicly traded shopping center company in exchange for cash and stock consideration. On September 24, 1999, the Trust announced that merger negotiations were terminated and that the spin-off was being reevaluated.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preparing for these transactions, the Trust incurred expenses of approximately $2.8 million related to legal, accounting, tax and other advisory services related to the spin-off and the merger. Such costs have been expensed and are reflected as administrative expenses in the accompanying consolidated statement of operations</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 September 30, 1998 the Trust recorded a $4.7 million charge related to a comprehensive restructuring program, the implementation of which was begun during the fourth quarter of 1998. All costs related to the reorganization have been expended as of December 31,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SUBSEQUENT EVENTS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a Restricted Share Agreement designed to link his compensation with the prosperity of the shareholders, the Trust's Chief Executive Officer elected to accept stock in lieu of cash for both his 2000 bonus and his 2001 salary. As a result, in 2001, 35,000 common shares were awarded to the Chief Executive Officer in lieu of his 2001 cash salary and 26,869 shares were awarded in lieu of his 2000 cash bonus. The shares vest at the end of five years if the Chief Executive Officer is still employed by the Trust.</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1999 Incentive Bonus Plan, vice presidents and certain key employees receive part of their 2000 bonus in Federal Realty shares which vest over three years. Consequently, on February 14, 2001, 23,390 shares were awarded under this plan.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616" w:right="1440" w:bottom="1440" w:gutter="0" w:footer="0" w:header="0"/>
        </w:sectPr>
      </w:pPr>
    </w:p>
    <w:bookmarkStart w:id="71" w:name="page72"/>
    <w:bookmarkEnd w:id="71"/>
    <w:p>
      <w:pPr>
        <w:ind w:right="3679" w:firstLine="431"/>
        <w:spacing w:after="0" w:line="251" w:lineRule="auto"/>
        <w:rPr>
          <w:sz w:val="20"/>
          <w:szCs w:val="20"/>
          <w:color w:val="auto"/>
        </w:rPr>
      </w:pPr>
      <w:r>
        <w:rPr>
          <w:rFonts w:ascii="Courier New" w:cs="Courier New" w:eastAsia="Courier New" w:hAnsi="Courier New"/>
          <w:sz w:val="14"/>
          <w:szCs w:val="14"/>
          <w:color w:val="auto"/>
        </w:rPr>
        <w:t>On February 16, 2001, the Trust bought the land underlying the capital lease obligation, thereby, terminating the capital lease on Brick Plaza in Brick, New Jersey for $28 million. Concurrent with this transaction, the mortgage note receivable of $3.2 million owed to the Trust by the lessor was repaid.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Trust traditionally operated its business as a single business segment. During the fourth quarter of 1998, however, the Trust completed a comprehensive restructuring program which, among other things, divided its portfolio of assets into three geographic operating regions: Northeast, Mid-Atlantic and West.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616" w:right="1440" w:bottom="1440" w:gutter="0" w:footer="0" w:header="0"/>
        </w:sectPr>
      </w:pPr>
    </w:p>
    <w:bookmarkStart w:id="72" w:name="page73"/>
    <w:bookmarkEnd w:id="72"/>
    <w:p>
      <w:pPr>
        <w:ind w:right="3700" w:firstLine="431"/>
        <w:spacing w:after="0" w:line="255" w:lineRule="auto"/>
        <w:rPr>
          <w:sz w:val="20"/>
          <w:szCs w:val="20"/>
          <w:color w:val="auto"/>
        </w:rPr>
      </w:pPr>
      <w:r>
        <w:rPr>
          <w:rFonts w:ascii="Courier New" w:cs="Courier New" w:eastAsia="Courier New" w:hAnsi="Courier New"/>
          <w:sz w:val="14"/>
          <w:szCs w:val="14"/>
          <w:color w:val="auto"/>
        </w:rPr>
        <w:t>A summary of the Trust's operations by geographic region is presented below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860" w:type="dxa"/>
            <w:vAlign w:val="bottom"/>
          </w:tcPr>
          <w:p>
            <w:pPr>
              <w:ind w:left="1000"/>
              <w:spacing w:after="0"/>
              <w:rPr>
                <w:sz w:val="20"/>
                <w:szCs w:val="20"/>
                <w:color w:val="auto"/>
              </w:rPr>
            </w:pPr>
            <w:r>
              <w:rPr>
                <w:rFonts w:ascii="Courier New" w:cs="Courier New" w:eastAsia="Courier New" w:hAnsi="Courier New"/>
                <w:sz w:val="14"/>
                <w:szCs w:val="14"/>
                <w:color w:val="auto"/>
              </w:rPr>
              <w:t>North</w:t>
            </w:r>
          </w:p>
        </w:tc>
        <w:tc>
          <w:tcPr>
            <w:tcW w:w="1540" w:type="dxa"/>
            <w:vAlign w:val="bottom"/>
          </w:tcPr>
          <w:p>
            <w:pPr>
              <w:ind w:left="680"/>
              <w:spacing w:after="0"/>
              <w:rPr>
                <w:sz w:val="20"/>
                <w:szCs w:val="20"/>
                <w:color w:val="auto"/>
              </w:rPr>
            </w:pPr>
            <w:r>
              <w:rPr>
                <w:rFonts w:ascii="Courier New" w:cs="Courier New" w:eastAsia="Courier New" w:hAnsi="Courier New"/>
                <w:sz w:val="14"/>
                <w:szCs w:val="14"/>
                <w:color w:val="auto"/>
              </w:rPr>
              <w:t>Mid</w:t>
            </w: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2000</w:t>
            </w:r>
          </w:p>
        </w:tc>
        <w:tc>
          <w:tcPr>
            <w:tcW w:w="1860" w:type="dxa"/>
            <w:vAlign w:val="bottom"/>
          </w:tcPr>
          <w:p>
            <w:pPr>
              <w:ind w:left="1000"/>
              <w:spacing w:after="0"/>
              <w:rPr>
                <w:sz w:val="20"/>
                <w:szCs w:val="20"/>
                <w:color w:val="auto"/>
              </w:rPr>
            </w:pPr>
            <w:r>
              <w:rPr>
                <w:rFonts w:ascii="Courier New" w:cs="Courier New" w:eastAsia="Courier New" w:hAnsi="Courier New"/>
                <w:sz w:val="14"/>
                <w:szCs w:val="14"/>
                <w:color w:val="auto"/>
              </w:rPr>
              <w:t>East</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Atlantic</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West</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$113,078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$114,371</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$ 33,235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260,684</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4,215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3,900</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2,950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11,065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(23,261)</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(24,766)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(8,253)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(56,280)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(14,347)</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(9,159)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(3,114)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(26,620)</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79,685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84,346</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24,818</w:t>
            </w: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188,849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7,532</w:t>
            </w: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(66,418)</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(66,418)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(13,318)</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(13,318)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(25,169)</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(21,915)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(5,242)</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(933)</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(53,259)</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$ 54,516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$ 62,431</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$ 19,576</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$(73,137)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63,386</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$ 38,696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$ 60,783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$ 83,205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_</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182,684</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$754,048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$720,208</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$380,657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_</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$1,854,913</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28"/>
        </w:trPr>
        <w:tc>
          <w:tcPr>
            <w:tcW w:w="290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North</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Mid</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900" w:type="dxa"/>
            <w:vAlign w:val="bottom"/>
          </w:tcPr>
          <w:p>
            <w:pPr>
              <w:ind w:left="1380"/>
              <w:spacing w:after="0"/>
              <w:rPr>
                <w:sz w:val="20"/>
                <w:szCs w:val="20"/>
                <w:color w:val="auto"/>
              </w:rPr>
            </w:pPr>
            <w:r>
              <w:rPr>
                <w:rFonts w:ascii="Courier New" w:cs="Courier New" w:eastAsia="Courier New" w:hAnsi="Courier New"/>
                <w:sz w:val="14"/>
                <w:szCs w:val="14"/>
                <w:color w:val="auto"/>
              </w:rPr>
              <w:t>1999</w:t>
            </w: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East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Atlantic</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West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Other</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$102,452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$111,624</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$ 31,757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245,833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5,672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1,656</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11,231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(20,702)</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(25,096)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(7,879)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(53,677)</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(13,146)</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(9,006)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(2,869)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(25,021)</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74,276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81,425</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22,665</w:t>
            </w: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178,366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7,649</w:t>
            </w: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(61,492)</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(61,492)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(15,120)</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(15,120)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(22,648)</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(22,473)</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(4,101)</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(789)</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(50,011)</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Loss on sale of real</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$ 51,628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$ 58,952</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$ 18,564</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$(69,752)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59,392</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$ 32,547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$ 26,444</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$ 62,512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121,503</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$715,772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$663,019</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$342,668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$1,721,459</w:t>
            </w:r>
          </w:p>
        </w:tc>
      </w:tr>
      <w:tr>
        <w:trPr>
          <w:trHeight w:val="166"/>
        </w:trPr>
        <w:tc>
          <w:tcPr>
            <w:tcW w:w="2900" w:type="dxa"/>
            <w:vAlign w:val="bottom"/>
          </w:tcPr>
          <w:p>
            <w:pPr>
              <w:spacing w:after="0"/>
              <w:rPr>
                <w:sz w:val="14"/>
                <w:szCs w:val="14"/>
                <w:color w:val="auto"/>
              </w:rPr>
            </w:pP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994"/>
        </w:trPr>
        <w:tc>
          <w:tcPr>
            <w:tcW w:w="290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North</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Mid</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900" w:type="dxa"/>
            <w:vAlign w:val="bottom"/>
          </w:tcPr>
          <w:p>
            <w:pPr>
              <w:ind w:left="1380"/>
              <w:spacing w:after="0"/>
              <w:rPr>
                <w:sz w:val="20"/>
                <w:szCs w:val="20"/>
                <w:color w:val="auto"/>
              </w:rPr>
            </w:pPr>
            <w:r>
              <w:rPr>
                <w:rFonts w:ascii="Courier New" w:cs="Courier New" w:eastAsia="Courier New" w:hAnsi="Courier New"/>
                <w:sz w:val="14"/>
                <w:szCs w:val="14"/>
                <w:color w:val="auto"/>
              </w:rPr>
              <w:t>1998</w:t>
            </w: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East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Atlantic</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West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Other</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$ 93,632</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$103,676</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$ 24,878</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222,186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5,768</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3,637</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942</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10,347</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(20,259)</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(22,826)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(6,405)</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(49,490)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(12,745)</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(8,422)</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(2,104)</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(23,271)</w:t>
            </w:r>
          </w:p>
        </w:tc>
      </w:tr>
      <w:tr>
        <w:trPr>
          <w:trHeight w:val="166"/>
        </w:trPr>
        <w:tc>
          <w:tcPr>
            <w:tcW w:w="29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66,396</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76,065</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17,311</w:t>
            </w: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159,772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5,945</w:t>
            </w:r>
          </w:p>
        </w:tc>
        <w:tc>
          <w:tcPr>
            <w:tcW w:w="5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(55,125)</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(55,125)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(11,796)</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(11,796)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Reorganization expense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(4,665)</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(4,665)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18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(20,224)</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(22,218)</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(955)</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(46,047)</w:t>
            </w:r>
          </w:p>
        </w:tc>
      </w:tr>
      <w:tr>
        <w:trPr>
          <w:trHeight w:val="166"/>
        </w:trPr>
        <w:tc>
          <w:tcPr>
            <w:tcW w:w="29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w:t>
            </w: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$ 46,172</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$ 53,847</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$ 14,661</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(66,596)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48,084</w:t>
            </w:r>
          </w:p>
        </w:tc>
      </w:tr>
      <w:tr>
        <w:trPr>
          <w:trHeight w:val="166"/>
        </w:trPr>
        <w:tc>
          <w:tcPr>
            <w:tcW w:w="29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$ 56,629</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$ 60,687</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$ 76,414</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193,730</w:t>
            </w:r>
          </w:p>
        </w:tc>
      </w:tr>
      <w:tr>
        <w:trPr>
          <w:trHeight w:val="166"/>
        </w:trPr>
        <w:tc>
          <w:tcPr>
            <w:tcW w:w="29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$684,318</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$676,842</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$280,976</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$1,642,136</w:t>
            </w:r>
          </w:p>
        </w:tc>
      </w:tr>
      <w:tr>
        <w:trPr>
          <w:trHeight w:val="166"/>
        </w:trPr>
        <w:tc>
          <w:tcPr>
            <w:tcW w:w="2900" w:type="dxa"/>
            <w:vAlign w:val="bottom"/>
          </w:tcPr>
          <w:p>
            <w:pPr>
              <w:spacing w:after="0"/>
              <w:rPr>
                <w:sz w:val="14"/>
                <w:szCs w:val="14"/>
                <w:color w:val="auto"/>
              </w:rPr>
            </w:pPr>
          </w:p>
        </w:tc>
        <w:tc>
          <w:tcPr>
            <w:tcW w:w="1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transactions between geographic areas.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600"/>
          </w:cols>
          <w:pgMar w:left="220" w:top="616" w:right="1079" w:bottom="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NOTE 15. QUARTERLY DATA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60" w:firstLine="431"/>
        <w:spacing w:after="0" w:line="255" w:lineRule="auto"/>
        <w:rPr>
          <w:sz w:val="20"/>
          <w:szCs w:val="20"/>
          <w:color w:val="auto"/>
        </w:rPr>
      </w:pPr>
      <w:r>
        <w:rPr>
          <w:rFonts w:ascii="Courier New" w:cs="Courier New" w:eastAsia="Courier New" w:hAnsi="Courier New"/>
          <w:sz w:val="14"/>
          <w:szCs w:val="14"/>
          <w:color w:val="auto"/>
        </w:rPr>
        <w:t>The following summary represents the results of operations for each quarter in 2000 and 1999 (in thousands, except per share data):</w:t>
      </w:r>
    </w:p>
    <w:p>
      <w:pPr>
        <w:spacing w:after="0" w:line="200" w:lineRule="exact"/>
        <w:rPr>
          <w:sz w:val="20"/>
          <w:szCs w:val="20"/>
          <w:color w:val="auto"/>
        </w:rPr>
      </w:pPr>
    </w:p>
    <w:p>
      <w:pPr>
        <w:spacing w:after="0" w:line="291" w:lineRule="exact"/>
        <w:rPr>
          <w:sz w:val="20"/>
          <w:szCs w:val="20"/>
          <w:color w:val="auto"/>
        </w:rPr>
      </w:pPr>
    </w:p>
    <w:p>
      <w:pPr>
        <w:jc w:val="both"/>
        <w:ind w:left="3200" w:right="700" w:firstLine="86"/>
        <w:spacing w:after="0" w:line="247" w:lineRule="auto"/>
        <w:rPr>
          <w:sz w:val="20"/>
          <w:szCs w:val="20"/>
          <w:color w:val="auto"/>
        </w:rPr>
      </w:pPr>
      <w:r>
        <w:rPr>
          <w:rFonts w:ascii="Courier New" w:cs="Courier New" w:eastAsia="Courier New" w:hAnsi="Courier New"/>
          <w:sz w:val="14"/>
          <w:szCs w:val="14"/>
          <w:color w:val="auto"/>
        </w:rPr>
        <w:t>First Second Third Fourth Quarter Quarter Quarter Quarter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$69,104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$68,806</w:t>
            </w:r>
          </w:p>
        </w:tc>
        <w:tc>
          <w:tcPr>
            <w:tcW w:w="6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$68,581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$72,790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for common shares</w:t>
            </w: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12,151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16,087</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12,433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11,902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 - basic</w:t>
            </w: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6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 - diluted</w:t>
            </w: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6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828"/>
        </w:trPr>
        <w:tc>
          <w:tcPr>
            <w:tcW w:w="2460" w:type="dxa"/>
            <w:vAlign w:val="bottom"/>
          </w:tcPr>
          <w:p>
            <w:pPr>
              <w:spacing w:after="0"/>
              <w:rPr>
                <w:sz w:val="24"/>
                <w:szCs w:val="24"/>
                <w:color w:val="auto"/>
              </w:rPr>
            </w:pPr>
          </w:p>
        </w:tc>
        <w:tc>
          <w:tcPr>
            <w:tcW w:w="2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First</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Second</w:t>
            </w:r>
          </w:p>
        </w:tc>
        <w:tc>
          <w:tcPr>
            <w:tcW w:w="680" w:type="dxa"/>
            <w:vAlign w:val="bottom"/>
          </w:tcPr>
          <w:p>
            <w:pPr>
              <w:spacing w:after="0"/>
              <w:rPr>
                <w:sz w:val="24"/>
                <w:szCs w:val="24"/>
                <w:color w:val="auto"/>
              </w:rPr>
            </w:pP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Third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Fourth</w:t>
            </w:r>
          </w:p>
        </w:tc>
      </w:tr>
      <w:tr>
        <w:trPr>
          <w:trHeight w:val="166"/>
        </w:trPr>
        <w:tc>
          <w:tcPr>
            <w:tcW w:w="2460" w:type="dxa"/>
            <w:vAlign w:val="bottom"/>
          </w:tcPr>
          <w:p>
            <w:pPr>
              <w:spacing w:after="0"/>
              <w:rPr>
                <w:sz w:val="14"/>
                <w:szCs w:val="14"/>
                <w:color w:val="auto"/>
              </w:rPr>
            </w:pP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Quarter</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Quarter</w:t>
            </w:r>
          </w:p>
        </w:tc>
        <w:tc>
          <w:tcPr>
            <w:tcW w:w="680" w:type="dxa"/>
            <w:vAlign w:val="bottom"/>
          </w:tcPr>
          <w:p>
            <w:pPr>
              <w:spacing w:after="0"/>
              <w:rPr>
                <w:sz w:val="14"/>
                <w:szCs w:val="14"/>
                <w:color w:val="auto"/>
              </w:rPr>
            </w:pP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Quarter</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00" w:type="dxa"/>
            <w:vAlign w:val="bottom"/>
          </w:tcPr>
          <w:p>
            <w:pPr>
              <w:spacing w:after="0"/>
              <w:rPr>
                <w:sz w:val="14"/>
                <w:szCs w:val="14"/>
                <w:color w:val="auto"/>
              </w:rPr>
            </w:pP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$63,583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$64,195</w:t>
            </w:r>
          </w:p>
        </w:tc>
        <w:tc>
          <w:tcPr>
            <w:tcW w:w="740" w:type="dxa"/>
            <w:vAlign w:val="bottom"/>
          </w:tcPr>
          <w:p>
            <w:pPr>
              <w:spacing w:after="0"/>
              <w:rPr>
                <w:sz w:val="14"/>
                <w:szCs w:val="14"/>
                <w:color w:val="auto"/>
              </w:rPr>
            </w:pPr>
          </w:p>
        </w:tc>
        <w:tc>
          <w:tcPr>
            <w:tcW w:w="17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$67,255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$69,680</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for common shares</w:t>
            </w:r>
          </w:p>
        </w:tc>
        <w:tc>
          <w:tcPr>
            <w:tcW w:w="1000" w:type="dxa"/>
            <w:vAlign w:val="bottom"/>
          </w:tcPr>
          <w:p>
            <w:pPr>
              <w:spacing w:after="0"/>
              <w:rPr>
                <w:sz w:val="14"/>
                <w:szCs w:val="14"/>
                <w:color w:val="auto"/>
              </w:rPr>
            </w:pP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11,566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4,828</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17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12,198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11,901</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share - basic</w:t>
            </w:r>
          </w:p>
        </w:tc>
        <w:tc>
          <w:tcPr>
            <w:tcW w:w="1000" w:type="dxa"/>
            <w:vAlign w:val="bottom"/>
          </w:tcPr>
          <w:p>
            <w:pPr>
              <w:spacing w:after="0"/>
              <w:rPr>
                <w:sz w:val="14"/>
                <w:szCs w:val="14"/>
                <w:color w:val="auto"/>
              </w:rPr>
            </w:pP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spacing w:after="0"/>
              <w:rPr>
                <w:sz w:val="14"/>
                <w:szCs w:val="14"/>
                <w:color w:val="auto"/>
              </w:rPr>
            </w:pPr>
          </w:p>
        </w:tc>
        <w:tc>
          <w:tcPr>
            <w:tcW w:w="17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share - diluted</w:t>
            </w:r>
          </w:p>
        </w:tc>
        <w:tc>
          <w:tcPr>
            <w:tcW w:w="10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(3)</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spacing w:after="0"/>
              <w:rPr>
                <w:sz w:val="14"/>
                <w:szCs w:val="14"/>
                <w:color w:val="auto"/>
              </w:rPr>
            </w:pPr>
          </w:p>
        </w:tc>
        <w:tc>
          <w:tcPr>
            <w:tcW w:w="17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335" w:lineRule="exact"/>
        <w:rPr>
          <w:sz w:val="20"/>
          <w:szCs w:val="20"/>
          <w:color w:val="auto"/>
        </w:rPr>
      </w:pPr>
    </w:p>
    <w:p>
      <w:pPr>
        <w:ind w:right="3360"/>
        <w:spacing w:after="0" w:line="255" w:lineRule="auto"/>
        <w:rPr>
          <w:sz w:val="20"/>
          <w:szCs w:val="20"/>
          <w:color w:val="auto"/>
        </w:rPr>
      </w:pPr>
      <w:r>
        <w:rPr>
          <w:rFonts w:ascii="Courier New" w:cs="Courier New" w:eastAsia="Courier New" w:hAnsi="Courier New"/>
          <w:sz w:val="14"/>
          <w:szCs w:val="14"/>
          <w:color w:val="auto"/>
        </w:rPr>
        <w:t>(1)Net income includes a $3.7 million gain on sale of real estate ($.10 gain per share - basic and $.09 gain per share - diluted).</w:t>
      </w:r>
    </w:p>
    <w:p>
      <w:pPr>
        <w:spacing w:after="0" w:line="160" w:lineRule="exact"/>
        <w:rPr>
          <w:sz w:val="20"/>
          <w:szCs w:val="20"/>
          <w:color w:val="auto"/>
        </w:rPr>
      </w:pPr>
    </w:p>
    <w:p>
      <w:pPr>
        <w:ind w:right="3620" w:firstLine="86"/>
        <w:spacing w:after="0" w:line="255" w:lineRule="auto"/>
        <w:rPr>
          <w:sz w:val="20"/>
          <w:szCs w:val="20"/>
          <w:color w:val="auto"/>
        </w:rPr>
      </w:pPr>
      <w:r>
        <w:rPr>
          <w:rFonts w:ascii="Courier New" w:cs="Courier New" w:eastAsia="Courier New" w:hAnsi="Courier New"/>
          <w:sz w:val="14"/>
          <w:szCs w:val="14"/>
          <w:color w:val="auto"/>
        </w:rPr>
        <w:t>(2)Net income includes a $7.1 million loss on sale of real estate ($.18 loss per share - basic and $.17 loss per share - diluted).</w:t>
      </w:r>
    </w:p>
    <w:p>
      <w:pPr>
        <w:spacing w:after="0" w:line="160" w:lineRule="exact"/>
        <w:rPr>
          <w:sz w:val="20"/>
          <w:szCs w:val="20"/>
          <w:color w:val="auto"/>
        </w:rPr>
      </w:pPr>
    </w:p>
    <w:p>
      <w:pPr>
        <w:ind w:right="3360" w:firstLine="86"/>
        <w:spacing w:after="0" w:line="255" w:lineRule="auto"/>
        <w:rPr>
          <w:sz w:val="20"/>
          <w:szCs w:val="20"/>
          <w:color w:val="auto"/>
        </w:rPr>
      </w:pPr>
      <w:r>
        <w:rPr>
          <w:rFonts w:ascii="Courier New" w:cs="Courier New" w:eastAsia="Courier New" w:hAnsi="Courier New"/>
          <w:sz w:val="14"/>
          <w:szCs w:val="14"/>
          <w:color w:val="auto"/>
        </w:rPr>
        <w:t>(3)The sum of quarterly earnings per common share - diluted, $1.01 differs from the annual earnings per common share - diluted, $1.02, due to rounding.</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60"/>
          </w:cols>
          <w:pgMar w:left="220" w:top="616" w:right="1419" w:bottom="1440" w:gutter="0" w:footer="0" w:header="0"/>
        </w:sectPr>
      </w:pPr>
    </w:p>
    <w:bookmarkStart w:id="74" w:name="page75"/>
    <w:bookmarkEnd w:id="74"/>
    <w:p>
      <w:pPr>
        <w:spacing w:after="0" w:line="41"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480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COLUMN B</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COLUMN C</w:t>
            </w:r>
          </w:p>
        </w:tc>
        <w:tc>
          <w:tcPr>
            <w:tcW w:w="126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COLUMN D</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COLUMN E</w:t>
            </w:r>
          </w:p>
        </w:tc>
        <w:tc>
          <w:tcPr>
            <w:tcW w:w="1200" w:type="dxa"/>
            <w:vAlign w:val="bottom"/>
          </w:tcPr>
          <w:p>
            <w:pPr>
              <w:spacing w:after="0"/>
              <w:rPr>
                <w:sz w:val="14"/>
                <w:szCs w:val="14"/>
                <w:color w:val="auto"/>
              </w:rPr>
            </w:pP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Initial cost to company</w:t>
            </w:r>
          </w:p>
        </w:tc>
        <w:tc>
          <w:tcPr>
            <w:tcW w:w="1540" w:type="dxa"/>
            <w:vAlign w:val="bottom"/>
          </w:tcPr>
          <w:p>
            <w:pPr>
              <w:spacing w:after="0"/>
              <w:rPr>
                <w:sz w:val="14"/>
                <w:szCs w:val="14"/>
                <w:color w:val="auto"/>
              </w:rPr>
            </w:pPr>
          </w:p>
        </w:tc>
        <w:tc>
          <w:tcPr>
            <w:tcW w:w="2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Gross amount at which carried</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Cost Capitalized</w:t>
            </w: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Building and</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Subsequent to</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Building and</w:t>
            </w:r>
          </w:p>
        </w:tc>
      </w:tr>
      <w:tr>
        <w:trPr>
          <w:trHeight w:val="166"/>
        </w:trPr>
        <w:tc>
          <w:tcPr>
            <w:tcW w:w="33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Descriptions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Encumbrance</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Land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Improvements</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Acquisition</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Land</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Improvements</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3,533,000</w:t>
            </w:r>
          </w:p>
        </w:tc>
        <w:tc>
          <w:tcPr>
            <w:tcW w:w="12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$ 3,920,000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342,000</w:t>
            </w:r>
          </w:p>
        </w:tc>
        <w:tc>
          <w:tcPr>
            <w:tcW w:w="1480" w:type="dxa"/>
            <w:vAlign w:val="bottom"/>
          </w:tcPr>
          <w:p>
            <w:pPr>
              <w:jc w:val="right"/>
              <w:ind w:right="1308"/>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$ 4,262,000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2,432,000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12,346,000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3,453,000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2,432,000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15,799,000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1,334,000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9,104,000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1,334,000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9,689,000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3,565,000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14,466,000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5,625,000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3,565,000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20,091,000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44,300,000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4,363,000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4,363,000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34,165,000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ROW (Maryland)</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12,576,000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2,157,000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20,821,000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21,668,000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2,171,000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42,475,000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26,966,000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29,922,000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8,453,000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38,375,000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21,362,000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24,715,000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25,103,000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49,818,000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3,856,000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15,959,000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1,523,000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3,856,000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17,482,000</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(New Jersey)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11,225,000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12,456,000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6,861,000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19,317,000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22,645,000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12,709,000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25,715,000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22,645,000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38,424,000</w:t>
            </w:r>
          </w:p>
        </w:tc>
      </w:tr>
      <w:tr>
        <w:trPr>
          <w:trHeight w:val="166"/>
        </w:trPr>
        <w:tc>
          <w:tcPr>
            <w:tcW w:w="33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(4)</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3,844,000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6,022,000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3,844,000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7,374,000</w:t>
            </w:r>
          </w:p>
        </w:tc>
      </w:tr>
      <w:tr>
        <w:trPr>
          <w:trHeight w:val="166"/>
        </w:trPr>
        <w:tc>
          <w:tcPr>
            <w:tcW w:w="33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11,685,000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9,181,000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5,089,000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11,685,000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14,270,000</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OTHER</w:t>
            </w:r>
          </w:p>
        </w:tc>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15,563,000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21,462,000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7,538,000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15,563,000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29,000,000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3,286,000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3,646,000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1,116,000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4,762,000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2,793,000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35,560,000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2,793,000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42,984,000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25,061,000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27,739,000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2,438,000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25,061,000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30,177,000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1,960,000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4,635,000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11,611,000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5,168,000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4,635,000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16,779,000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12,369,000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12,918,000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12,369,000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14,603,000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1,608,000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4,728,000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1,608,000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10,503,000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4,028,000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9,966,000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4,028,000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21,275,000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9,400,000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11,505,000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12,147,000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719,000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11,505,000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12,866,000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6,150,000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1,260,000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6,885,000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FALLS PLAZA - East (Virginia)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538,000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559,000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2,786,000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1,431,000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8,384,000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1,431,000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9,984,000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26,675,000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10,216,000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17,895,000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32,396,000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10,216,000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50,291,000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9,252,000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9,544,000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6,667,000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9,252,000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16,211,000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5,206,000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5,206,000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1,648,000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3,943,000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7,088,000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24,625,000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25,255,000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13,336,000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24,625,000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38,591,000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7,701,000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10,174,000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6,012,000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17,134,000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2,677,000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4,829,000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2,429,000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2,677,000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7,258,000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2,068,000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10,050,000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2,068,000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14,955,000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14,516,000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16,117,000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GREENLAWN (New York)</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2,294,000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3,907,000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2,294,000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7,771,000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4,871,000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2,174,000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7,579,000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HAUPPAUGE (New York)</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16,700,000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8,791,000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15,262,000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2,107,000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8,791,000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17,369,000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14,426,000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16,008,000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6,352,000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22,360,000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4,308,000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10,026,000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4,308,000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10,482,000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2,694,000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3,609,000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2,694,000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5,934,000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KINGS COURT (California)</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10,808,000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322,000</w:t>
            </w:r>
          </w:p>
        </w:tc>
        <w:tc>
          <w:tcPr>
            <w:tcW w:w="12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2,103,000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2,524,000</w:t>
            </w:r>
          </w:p>
        </w:tc>
        <w:tc>
          <w:tcPr>
            <w:tcW w:w="148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4,627,000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2,974,000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13,725,000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720,000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16,699,000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7,458,000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22,525,000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14,609,000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7,458,000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37,134,000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31,400,000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5,723,000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7,160,000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10,372,000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5,734,000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17,521,000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 (Virginia)</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9,900,000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8,184,000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866,000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8,184,000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11,588,000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13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1,237,000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15,096,000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8,589,000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1,248,000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23,674,000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COLUMN A</w:t>
            </w:r>
          </w:p>
        </w:tc>
        <w:tc>
          <w:tcPr>
            <w:tcW w:w="182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COLUMN F</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COLUMN G</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COLUMN H</w:t>
            </w:r>
          </w:p>
        </w:tc>
        <w:tc>
          <w:tcPr>
            <w:tcW w:w="21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COLUMN I</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close of period</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Life on which</w:t>
            </w:r>
          </w:p>
        </w:tc>
      </w:tr>
      <w:tr>
        <w:trPr>
          <w:trHeight w:val="166"/>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Accumulated</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c>
          <w:tcPr>
            <w:tcW w:w="1160" w:type="dxa"/>
            <w:vAlign w:val="bottom"/>
          </w:tcPr>
          <w:p>
            <w:pPr>
              <w:spacing w:after="0"/>
              <w:rPr>
                <w:sz w:val="14"/>
                <w:szCs w:val="14"/>
                <w:color w:val="auto"/>
              </w:rPr>
            </w:pP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Depreciation and</w:t>
            </w:r>
          </w:p>
        </w:tc>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of</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statements</w:t>
            </w:r>
          </w:p>
        </w:tc>
      </w:tr>
      <w:tr>
        <w:trPr>
          <w:trHeight w:val="166"/>
        </w:trPr>
        <w:tc>
          <w:tcPr>
            <w:tcW w:w="32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Descriptions</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Amortization</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Construction</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Acquired</w:t>
            </w: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is computed</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$ 4,262,000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$ 1,512,000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1958</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18,231,000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6,108,000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1953</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01/12/88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ARIZONA BUILDINGS (2)</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11,023,000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666,000</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1995-1998</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05/07/98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23,656,000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4,142,000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1955</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09/22/93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38,528,000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15,837,000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1958</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12/31/85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44,646,000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6,505,000</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1945-1999</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12/31/93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38,375,000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11,528,000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1959</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49,818,000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14,467,000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1958</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12/28/89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21,338,000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2,681,000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1959</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9/22/95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460" w:type="dxa"/>
            <w:vAlign w:val="bottom"/>
          </w:tcPr>
          <w:p>
            <w:pPr>
              <w:ind w:left="140"/>
              <w:spacing w:after="0"/>
              <w:rPr>
                <w:sz w:val="20"/>
                <w:szCs w:val="20"/>
                <w:color w:val="auto"/>
              </w:rPr>
            </w:pPr>
            <w:r>
              <w:rPr>
                <w:rFonts w:ascii="Courier New" w:cs="Courier New" w:eastAsia="Courier New" w:hAnsi="Courier New"/>
                <w:sz w:val="14"/>
                <w:szCs w:val="14"/>
                <w:color w:val="auto"/>
              </w:rPr>
              <w:t>(New Jersey)</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19,317,000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5,228,000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1957</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61,069,000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2,854,000</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1888-2000</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1996-2000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(4)</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11,218,000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155,000</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1888-1995</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1996-1997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25,955,000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1,086,000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1908</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10/23/97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(6)</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44,563,000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var</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1996-1999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4,762,000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1,532,000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1959</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45,777,000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17,920,000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1965</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04/01/65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55,238,000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4,714,000</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1900-1991</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1994-1996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171,000</w:t>
            </w:r>
          </w:p>
        </w:tc>
        <w:tc>
          <w:tcPr>
            <w:tcW w:w="1460" w:type="dxa"/>
            <w:vAlign w:val="bottom"/>
          </w:tcPr>
          <w:p>
            <w:pPr>
              <w:ind w:left="500"/>
              <w:spacing w:after="0"/>
              <w:rPr>
                <w:sz w:val="20"/>
                <w:szCs w:val="20"/>
                <w:color w:val="auto"/>
              </w:rPr>
            </w:pPr>
            <w:r>
              <w:rPr>
                <w:rFonts w:ascii="Courier New" w:cs="Courier New" w:eastAsia="Courier New" w:hAnsi="Courier New"/>
                <w:sz w:val="14"/>
                <w:szCs w:val="14"/>
                <w:color w:val="auto"/>
              </w:rPr>
              <w:t>1975</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12/17/97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years</w:t>
            </w:r>
          </w:p>
        </w:tc>
      </w:tr>
    </w:tbl>
    <w:p>
      <w:pPr>
        <w:sectPr>
          <w:pgSz w:w="11900" w:h="16880" w:orient="portrait"/>
          <w:cols w:equalWidth="0" w:num="1">
            <w:col w:w="11540"/>
          </w:cols>
          <w:pgMar w:left="220" w:top="616" w:right="1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CROSSROADS (Illinois)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21,414,000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3,823,000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1959</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07/19/93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DEDHAM PLAZA (Massachusetts)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26,972,000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3,269,000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1959</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12/31/93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EASTGATE (North Carolina)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12,111,000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5,266,000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1963</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12/18/86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ELLISBURG CIRCLE (New Jersey)</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25,303,000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7,547,000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1959</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10/16/92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24,371,000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1,482,000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1987</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12/31/96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FALLS PLAZA (Virginia)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8,145,000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1962</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09/30/67</w:t>
            </w:r>
          </w:p>
        </w:tc>
        <w:tc>
          <w:tcPr>
            <w:tcW w:w="13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9"/>
              </w:rPr>
              <w:t>22 3/4 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FALLS PLAZA - East (Virginia)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3,345,000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2,496,000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1960</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10/05/72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FEASTERVILLE (Pennsylvania)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11,415,000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4,149,000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07/23/80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FEDERAL PLAZA (Maryland)</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60,507,000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14,950,000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1970</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06/29/89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FINLEY SQUARE (Illinois)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25,463,000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3,432,000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1974</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04/27/95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FLORIDA RETAIL BUILDINGS (2)</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6,854,000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1920</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02/28/96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FLOURTOWN (Pennsylvania)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8,433,000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2,845,000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1957</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04/25/80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FRESH MEADOWS (New York)</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63,216,000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2,698,000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1946-1949</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12/05/97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23,146,000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4,741,000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1966</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04/22/93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9,935,000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1,275,000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07/28/94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17,023,000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8,404,000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1963</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10/01/85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GRATIOT PLAZA (Michigan)</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16,642,000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3,360,000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1964</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03/29/73</w:t>
            </w:r>
          </w:p>
        </w:tc>
        <w:tc>
          <w:tcPr>
            <w:tcW w:w="13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9"/>
              </w:rPr>
              <w:t>25 3/4 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GREENLAWN (New York)</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10,065,000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1975</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01/05/00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7,579,000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3,209,000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1961</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HAUPPAUGE (New York)</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26,160,000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1,086,000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1963</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08/06/98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22,360,000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7,935,000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1962</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12/12/88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14,790,000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2,071,000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1991</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04/15/94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ILLINOIS RETAIL BUILDINGS (3)</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8,628,000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791,000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1900-1927</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1995-1997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KINGS COURT (California)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10,808,000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928,000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1960</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08/24/98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4,627,000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3,838,000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04/24/80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17,419,000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5,295,000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1966</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01/31/85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44,592,000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15,918,000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1956</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08/15/86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23,255,000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12,498,000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1972</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07/23/80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LEESBURG PLAZA (Virginia)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19,772,000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765,000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1967</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09/15/98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24,922,000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1,045,000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1971</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07/21/83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497"/>
        </w:trPr>
        <w:tc>
          <w:tcPr>
            <w:tcW w:w="3020" w:type="dxa"/>
            <w:vAlign w:val="bottom"/>
          </w:tcPr>
          <w:p>
            <w:pPr>
              <w:spacing w:after="0"/>
              <w:rPr>
                <w:sz w:val="24"/>
                <w:szCs w:val="24"/>
                <w:color w:val="auto"/>
              </w:rPr>
            </w:pPr>
          </w:p>
        </w:tc>
        <w:tc>
          <w:tcPr>
            <w:tcW w:w="212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F28</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940"/>
          </w:cols>
          <w:pgMar w:left="220" w:top="141" w:right="7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ind w:left="1220"/>
              <w:spacing w:after="0"/>
              <w:rPr>
                <w:sz w:val="20"/>
                <w:szCs w:val="20"/>
                <w:color w:val="auto"/>
              </w:rPr>
            </w:pPr>
            <w:r>
              <w:rPr>
                <w:rFonts w:ascii="Courier New" w:cs="Courier New" w:eastAsia="Courier New" w:hAnsi="Courier New"/>
                <w:sz w:val="14"/>
                <w:szCs w:val="14"/>
                <w:color w:val="auto"/>
              </w:rPr>
              <w:t>COLUMN A</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COLUMN B</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COLUMN C</w:t>
            </w:r>
          </w:p>
        </w:tc>
        <w:tc>
          <w:tcPr>
            <w:tcW w:w="128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COLUMN D</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COLUMN E</w:t>
            </w:r>
          </w:p>
        </w:tc>
        <w:tc>
          <w:tcPr>
            <w:tcW w:w="15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5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Initial cost to company</w:t>
            </w:r>
          </w:p>
        </w:tc>
        <w:tc>
          <w:tcPr>
            <w:tcW w:w="1600" w:type="dxa"/>
            <w:vAlign w:val="bottom"/>
          </w:tcPr>
          <w:p>
            <w:pPr>
              <w:spacing w:after="0"/>
              <w:rPr>
                <w:sz w:val="14"/>
                <w:szCs w:val="14"/>
                <w:color w:val="auto"/>
              </w:rPr>
            </w:pPr>
          </w:p>
        </w:tc>
        <w:tc>
          <w:tcPr>
            <w:tcW w:w="2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Gross amount at which carried</w:t>
            </w:r>
          </w:p>
        </w:tc>
      </w:tr>
      <w:tr>
        <w:trPr>
          <w:trHeight w:val="166"/>
        </w:trPr>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Cost Capitalized</w:t>
            </w: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Building and</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Subsequent to</w:t>
            </w:r>
          </w:p>
        </w:tc>
        <w:tc>
          <w:tcPr>
            <w:tcW w:w="128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Building and</w:t>
            </w:r>
          </w:p>
        </w:tc>
      </w:tr>
      <w:tr>
        <w:trPr>
          <w:trHeight w:val="166"/>
        </w:trPr>
        <w:tc>
          <w:tcPr>
            <w:tcW w:w="3060" w:type="dxa"/>
            <w:vAlign w:val="bottom"/>
          </w:tcPr>
          <w:p>
            <w:pPr>
              <w:ind w:left="1040"/>
              <w:spacing w:after="0"/>
              <w:rPr>
                <w:sz w:val="20"/>
                <w:szCs w:val="20"/>
                <w:color w:val="auto"/>
              </w:rPr>
            </w:pPr>
            <w:r>
              <w:rPr>
                <w:rFonts w:ascii="Courier New" w:cs="Courier New" w:eastAsia="Courier New" w:hAnsi="Courier New"/>
                <w:sz w:val="14"/>
                <w:szCs w:val="14"/>
                <w:color w:val="auto"/>
              </w:rPr>
              <w:t>Descriptions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Encumbrance</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Land</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Improvements</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Acquisition</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Land</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30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4,554,000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4,554,000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5,270,000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1,873,000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1,884,000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231,000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1,873,000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2,115,000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10,041,000</w:t>
            </w:r>
          </w:p>
        </w:tc>
        <w:tc>
          <w:tcPr>
            <w:tcW w:w="130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10,335,000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6,308,000</w:t>
            </w:r>
          </w:p>
        </w:tc>
        <w:tc>
          <w:tcPr>
            <w:tcW w:w="128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16,643,000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1,056,000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2,522,000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7,541,000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7,912,000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10,492,000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7,541,000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18,404,000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1,152,000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10,596,000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9,315,000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1,153,000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19,910,000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2,782,000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8,604,000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1,558,000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2,782,000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10,162,000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998,000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3,405,000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4,403,000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3,420,000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2,765,000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25,561,000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3,420,000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28,326,000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8,694,000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12,929,000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2,604,000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8,694,000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15,533,000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4,840,000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6,319,000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539,000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4,840,000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6,858,000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2,800,000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6,461,000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14,627,000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21,088,000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9,709,000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547,000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9,709,000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23,346,000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3,319,000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8,457,000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2,873,000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3,319,000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11,330,000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3,197,000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6,216,000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2,928,000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14,434,000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552,000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2,246,000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3,862,000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6,088,000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13,003,000</w:t>
            </w:r>
          </w:p>
        </w:tc>
        <w:tc>
          <w:tcPr>
            <w:tcW w:w="130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14,429,000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1,388,000</w:t>
            </w:r>
          </w:p>
        </w:tc>
        <w:tc>
          <w:tcPr>
            <w:tcW w:w="128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15,817,000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4,383,000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8,291,000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296,000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4,383,000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8,587,000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9,761,000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14,808,000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4,995,000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9,816,000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19,748,000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TEXAS RETAIL BUILDINGS  (11)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14,680,000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1,976,000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16,529,000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14,680,000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18,505,000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7,170,000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10,518,000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147,000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7,129,000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10,706,000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3,126,000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5,193,000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11,925,000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3,126,000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17,118,000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453,000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2,292,000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2,658,000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10,257,000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5,846,000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295,000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10,257,000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6,141,000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27,600,000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9,111,000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1,061,000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5,400,000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9,111,000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6,461,000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2,758,000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7,160,000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3,602,000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2,758,000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10,762,000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6,643,000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17,279,000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23,922,000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3,192,000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7,723,000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48,099,000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7,790,000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51,224,000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32,000,000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8,055,000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13,759,000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12,052,000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8,055,000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25,811,000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DEVELOPMENT PROJECTS: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PENTAGON ROW (Virginia)</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2,955,000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36,854,000</w:t>
            </w:r>
          </w:p>
        </w:tc>
        <w:tc>
          <w:tcPr>
            <w:tcW w:w="128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39,809,000</w:t>
            </w: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WOODMONT EAST (Bethesda, MD)</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6,957,000</w:t>
            </w:r>
          </w:p>
        </w:tc>
        <w:tc>
          <w:tcPr>
            <w:tcW w:w="128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18,538,000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6,957,000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18,538,000</w:t>
            </w: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TANASBOURNE (Oregon)</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13,553,000</w:t>
            </w:r>
          </w:p>
        </w:tc>
        <w:tc>
          <w:tcPr>
            <w:tcW w:w="128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13,553,000</w:t>
            </w: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SANTANA ROW (California)</w:t>
            </w:r>
          </w:p>
        </w:tc>
        <w:tc>
          <w:tcPr>
            <w:tcW w:w="13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41,969,000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1,161,000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53,637,000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41,969,000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54,798,000</w:t>
            </w:r>
          </w:p>
        </w:tc>
      </w:tr>
      <w:tr>
        <w:trPr>
          <w:trHeight w:val="331"/>
        </w:trPr>
        <w:tc>
          <w:tcPr>
            <w:tcW w:w="306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$323,911,000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$422,560,000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$719,793,000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$712,560,000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$425,379,000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$1,429,534,000</w:t>
            </w:r>
          </w:p>
        </w:tc>
      </w:tr>
      <w:tr>
        <w:trPr>
          <w:trHeight w:val="166"/>
        </w:trPr>
        <w:tc>
          <w:tcPr>
            <w:tcW w:w="306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1220"/>
              <w:spacing w:after="0"/>
              <w:rPr>
                <w:sz w:val="20"/>
                <w:szCs w:val="20"/>
                <w:color w:val="auto"/>
              </w:rPr>
            </w:pPr>
            <w:r>
              <w:rPr>
                <w:rFonts w:ascii="Courier New" w:cs="Courier New" w:eastAsia="Courier New" w:hAnsi="Courier New"/>
                <w:sz w:val="14"/>
                <w:szCs w:val="14"/>
                <w:color w:val="auto"/>
              </w:rPr>
              <w:t>COLUMN A</w:t>
            </w:r>
          </w:p>
        </w:tc>
        <w:tc>
          <w:tcPr>
            <w:tcW w:w="134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COLUMN F</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COLUMN G</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COLUMN H</w:t>
            </w:r>
          </w:p>
        </w:tc>
        <w:tc>
          <w:tcPr>
            <w:tcW w:w="21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COLUMN I</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3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at close of period</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Life on which</w:t>
            </w:r>
          </w:p>
        </w:tc>
      </w:tr>
      <w:tr>
        <w:trPr>
          <w:trHeight w:val="166"/>
        </w:trPr>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Accumulated</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Date</w:t>
            </w:r>
          </w:p>
        </w:tc>
        <w:tc>
          <w:tcPr>
            <w:tcW w:w="1000" w:type="dxa"/>
            <w:vAlign w:val="bottom"/>
          </w:tcPr>
          <w:p>
            <w:pPr>
              <w:spacing w:after="0"/>
              <w:rPr>
                <w:sz w:val="14"/>
                <w:szCs w:val="14"/>
                <w:color w:val="auto"/>
              </w:rPr>
            </w:pP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and</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statements</w:t>
            </w:r>
          </w:p>
        </w:tc>
      </w:tr>
      <w:tr>
        <w:trPr>
          <w:trHeight w:val="166"/>
        </w:trPr>
        <w:tc>
          <w:tcPr>
            <w:tcW w:w="3240" w:type="dxa"/>
            <w:vAlign w:val="bottom"/>
          </w:tcPr>
          <w:p>
            <w:pPr>
              <w:ind w:left="1040"/>
              <w:spacing w:after="0"/>
              <w:rPr>
                <w:sz w:val="20"/>
                <w:szCs w:val="20"/>
                <w:color w:val="auto"/>
              </w:rPr>
            </w:pPr>
            <w:r>
              <w:rPr>
                <w:rFonts w:ascii="Courier New" w:cs="Courier New" w:eastAsia="Courier New" w:hAnsi="Courier New"/>
                <w:sz w:val="14"/>
                <w:szCs w:val="14"/>
                <w:color w:val="auto"/>
              </w:rPr>
              <w:t>Descriptions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Amortization</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Construction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Acquired</w:t>
            </w:r>
          </w:p>
        </w:tc>
        <w:tc>
          <w:tcPr>
            <w:tcW w:w="21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is computed</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9,824,000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466,000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1955</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12/17/97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3,988,000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382,000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1930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09/07/95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16,643,000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8,318,000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1963</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05/18/82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3,259,000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442,000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1940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08/16/95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25,945,000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921,000</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1937-1987</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12/16/97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21,063,000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9,185,000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1959</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08/30/83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12,944,000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1,935,000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1989</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04/27/94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5,041,000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2,825,000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1968</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06/15/76</w:t>
            </w:r>
          </w:p>
        </w:tc>
        <w:tc>
          <w:tcPr>
            <w:tcW w:w="21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31,746,000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1,426,000</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1997-1998</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10/22/97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24,227,000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4,853,000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1979</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02/05/93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11,698,000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1,131,000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1930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12/01/95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23,888,000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9,383,000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1963</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10/01/85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33,055,000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2,650,000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1968</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03/31/97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14,649,000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2,640,000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1967</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12/23/94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17,362,000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4,684,000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1975</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04/22/93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6,660,000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5,712,000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01/15/71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15,817,000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5,360,000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1973</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12/12/88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12,970,000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1,085,000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1976</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10/01/96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29,564,000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2,609,000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1940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12/21/95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TEXAS RETAIL BUILDINGS  (11)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33,185,000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34,000</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var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1998-1999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17,835,000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738,000</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1953-1960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08/24/98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20,244,000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9,725,000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1966</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07/23/80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3,133,000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2,171,000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1954</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01/17/78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16,398,000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615,000</w:t>
            </w:r>
          </w:p>
        </w:tc>
        <w:tc>
          <w:tcPr>
            <w:tcW w:w="1240" w:type="dxa"/>
            <w:vAlign w:val="bottom"/>
          </w:tcPr>
          <w:p>
            <w:pPr>
              <w:ind w:left="200"/>
              <w:spacing w:after="0"/>
              <w:rPr>
                <w:sz w:val="20"/>
                <w:szCs w:val="20"/>
                <w:color w:val="auto"/>
              </w:rPr>
            </w:pPr>
            <w:r>
              <w:rPr>
                <w:rFonts w:ascii="Courier New" w:cs="Courier New" w:eastAsia="Courier New" w:hAnsi="Courier New"/>
                <w:sz w:val="14"/>
                <w:szCs w:val="14"/>
                <w:color w:val="auto"/>
              </w:rPr>
              <w:t>1913-1959</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09/26/97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15,572,000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5,686,000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1958</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05/05/69</w:t>
            </w:r>
          </w:p>
        </w:tc>
        <w:tc>
          <w:tcPr>
            <w:tcW w:w="21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13,520,000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5,059,000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1961</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04/30/86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25,421,000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10,265,000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1953</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11/20/84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59,014,000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22,008,000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1957</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12/05/83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33,866,000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2,900,000</w:t>
            </w:r>
          </w:p>
        </w:tc>
        <w:tc>
          <w:tcPr>
            <w:tcW w:w="12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1948</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10/29/96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DEVELOPMENT PROJECTS:</w:t>
            </w: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PENTAGON ROW (Virginia)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39,809,000</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WOODMONT EAST (Bethesda, MD)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25,495,000</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06/03/97</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TANASBOURNE (Oregon)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13,553,000</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2000</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SANTANA ROW (California)</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96,767,000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585,000</w:t>
            </w:r>
          </w:p>
        </w:tc>
        <w:tc>
          <w:tcPr>
            <w:tcW w:w="124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03/05/97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r>
    </w:tbl>
    <w:p>
      <w:pPr>
        <w:sectPr>
          <w:pgSz w:w="11900" w:h="16838" w:orient="portrait"/>
          <w:cols w:equalWidth="0" w:num="1">
            <w:col w:w="11380"/>
          </w:cols>
          <w:pgMar w:left="220" w:top="947" w:right="29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2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$1,854,913,000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$351,258,000</w:t>
            </w:r>
          </w:p>
        </w:tc>
      </w:tr>
      <w:tr>
        <w:trPr>
          <w:trHeight w:val="166"/>
        </w:trPr>
        <w:tc>
          <w:tcPr>
            <w:tcW w:w="1860" w:type="dxa"/>
            <w:vAlign w:val="bottom"/>
          </w:tcPr>
          <w:p>
            <w:pPr>
              <w:spacing w:after="0"/>
              <w:rPr>
                <w:sz w:val="14"/>
                <w:szCs w:val="14"/>
                <w:color w:val="auto"/>
              </w:rPr>
            </w:pPr>
          </w:p>
        </w:tc>
        <w:tc>
          <w:tcPr>
            <w:tcW w:w="2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860" w:type="dxa"/>
            <w:vAlign w:val="bottom"/>
          </w:tcPr>
          <w:p>
            <w:pPr>
              <w:spacing w:after="0"/>
              <w:rPr>
                <w:sz w:val="24"/>
                <w:szCs w:val="24"/>
                <w:color w:val="auto"/>
              </w:rPr>
            </w:pPr>
          </w:p>
        </w:tc>
        <w:tc>
          <w:tcPr>
            <w:tcW w:w="2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F29</w:t>
            </w:r>
          </w:p>
        </w:tc>
        <w:tc>
          <w:tcPr>
            <w:tcW w:w="11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78" w:name="page79"/>
    <w:bookmarkEnd w:id="78"/>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1900"/>
              <w:spacing w:after="0"/>
              <w:rPr>
                <w:sz w:val="20"/>
                <w:szCs w:val="20"/>
                <w:color w:val="auto"/>
              </w:rPr>
            </w:pPr>
            <w:r>
              <w:rPr>
                <w:rFonts w:ascii="Courier New" w:cs="Courier New" w:eastAsia="Courier New" w:hAnsi="Courier New"/>
                <w:sz w:val="14"/>
                <w:szCs w:val="14"/>
                <w:color w:val="auto"/>
              </w:rPr>
              <w:t>Three Years Ended December 31, 2000</w:t>
            </w:r>
          </w:p>
        </w:tc>
        <w:tc>
          <w:tcPr>
            <w:tcW w:w="1680" w:type="dxa"/>
            <w:vAlign w:val="bottom"/>
          </w:tcPr>
          <w:p>
            <w:pPr>
              <w:spacing w:after="0"/>
              <w:rPr>
                <w:sz w:val="14"/>
                <w:szCs w:val="14"/>
                <w:color w:val="auto"/>
              </w:rPr>
            </w:pPr>
          </w:p>
        </w:tc>
      </w:tr>
      <w:tr>
        <w:trPr>
          <w:trHeight w:val="497"/>
        </w:trPr>
        <w:tc>
          <w:tcPr>
            <w:tcW w:w="5400" w:type="dxa"/>
            <w:vAlign w:val="bottom"/>
          </w:tcPr>
          <w:p>
            <w:pPr>
              <w:ind w:left="2160"/>
              <w:spacing w:after="0"/>
              <w:rPr>
                <w:sz w:val="20"/>
                <w:szCs w:val="20"/>
                <w:color w:val="auto"/>
              </w:rPr>
            </w:pPr>
            <w:r>
              <w:rPr>
                <w:rFonts w:ascii="Courier New" w:cs="Courier New" w:eastAsia="Courier New" w:hAnsi="Courier New"/>
                <w:sz w:val="14"/>
                <w:szCs w:val="14"/>
                <w:color w:val="auto"/>
              </w:rPr>
              <w:t>Reconciliation of Total Cost</w:t>
            </w:r>
          </w:p>
        </w:tc>
        <w:tc>
          <w:tcPr>
            <w:tcW w:w="1680" w:type="dxa"/>
            <w:vAlign w:val="bottom"/>
          </w:tcPr>
          <w:p>
            <w:pPr>
              <w:spacing w:after="0"/>
              <w:rPr>
                <w:sz w:val="24"/>
                <w:szCs w:val="24"/>
                <w:color w:val="auto"/>
              </w:rPr>
            </w:pPr>
          </w:p>
        </w:tc>
      </w:tr>
      <w:tr>
        <w:trPr>
          <w:trHeight w:val="166"/>
        </w:trPr>
        <w:tc>
          <w:tcPr>
            <w:tcW w:w="5400" w:type="dxa"/>
            <w:vAlign w:val="bottom"/>
          </w:tcPr>
          <w:p>
            <w:pPr>
              <w:ind w:left="19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663"/>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January 1, 1998</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$1,453,639,000</w:t>
            </w:r>
          </w:p>
        </w:tc>
      </w:tr>
      <w:tr>
        <w:trPr>
          <w:trHeight w:val="331"/>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1680" w:type="dxa"/>
            <w:vAlign w:val="bottom"/>
          </w:tcPr>
          <w:p>
            <w:pPr>
              <w:spacing w:after="0"/>
              <w:rPr>
                <w:sz w:val="24"/>
                <w:szCs w:val="24"/>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Acquisitions</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120,434,000</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73,296,000</w:t>
            </w: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Deduction during period - disposition</w:t>
            </w:r>
          </w:p>
        </w:tc>
        <w:tc>
          <w:tcPr>
            <w:tcW w:w="1680" w:type="dxa"/>
            <w:vAlign w:val="bottom"/>
          </w:tcPr>
          <w:p>
            <w:pPr>
              <w:spacing w:after="0"/>
              <w:rPr>
                <w:sz w:val="14"/>
                <w:szCs w:val="14"/>
                <w:color w:val="auto"/>
              </w:rPr>
            </w:pP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(5,233,000)</w:t>
            </w:r>
          </w:p>
        </w:tc>
      </w:tr>
      <w:tr>
        <w:trPr>
          <w:trHeight w:val="166"/>
        </w:trPr>
        <w:tc>
          <w:tcPr>
            <w:tcW w:w="540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1,642,136,000</w:t>
            </w:r>
          </w:p>
        </w:tc>
      </w:tr>
      <w:tr>
        <w:trPr>
          <w:trHeight w:val="331"/>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1680" w:type="dxa"/>
            <w:vAlign w:val="bottom"/>
          </w:tcPr>
          <w:p>
            <w:pPr>
              <w:spacing w:after="0"/>
              <w:rPr>
                <w:sz w:val="24"/>
                <w:szCs w:val="24"/>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Acquisitions</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26,355,000</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95,148,000</w:t>
            </w: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Deduction during period - disposition</w:t>
            </w:r>
          </w:p>
        </w:tc>
        <w:tc>
          <w:tcPr>
            <w:tcW w:w="1680" w:type="dxa"/>
            <w:vAlign w:val="bottom"/>
          </w:tcPr>
          <w:p>
            <w:pPr>
              <w:spacing w:after="0"/>
              <w:rPr>
                <w:sz w:val="14"/>
                <w:szCs w:val="14"/>
                <w:color w:val="auto"/>
              </w:rPr>
            </w:pP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of property and miscellaneous retirements and impairments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(42,180,000)</w:t>
            </w:r>
          </w:p>
        </w:tc>
      </w:tr>
      <w:tr>
        <w:trPr>
          <w:trHeight w:val="166"/>
        </w:trPr>
        <w:tc>
          <w:tcPr>
            <w:tcW w:w="540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1,721,459,000</w:t>
            </w:r>
          </w:p>
        </w:tc>
      </w:tr>
      <w:tr>
        <w:trPr>
          <w:trHeight w:val="331"/>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1680" w:type="dxa"/>
            <w:vAlign w:val="bottom"/>
          </w:tcPr>
          <w:p>
            <w:pPr>
              <w:spacing w:after="0"/>
              <w:rPr>
                <w:sz w:val="24"/>
                <w:szCs w:val="24"/>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Acquisitions</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26,794,000</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156,021,000</w:t>
            </w: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Deduction during period - disposition</w:t>
            </w:r>
          </w:p>
        </w:tc>
        <w:tc>
          <w:tcPr>
            <w:tcW w:w="1680" w:type="dxa"/>
            <w:vAlign w:val="bottom"/>
          </w:tcPr>
          <w:p>
            <w:pPr>
              <w:spacing w:after="0"/>
              <w:rPr>
                <w:sz w:val="14"/>
                <w:szCs w:val="14"/>
                <w:color w:val="auto"/>
              </w:rPr>
            </w:pP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(49,361,000)</w:t>
            </w:r>
          </w:p>
        </w:tc>
      </w:tr>
      <w:tr>
        <w:trPr>
          <w:trHeight w:val="166"/>
        </w:trPr>
        <w:tc>
          <w:tcPr>
            <w:tcW w:w="540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$1,854,913,000</w:t>
            </w:r>
          </w:p>
        </w:tc>
      </w:tr>
    </w:tbl>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2000</w:t>
      </w:r>
    </w:p>
    <w:p>
      <w:pPr>
        <w:spacing w:after="0" w:line="338" w:lineRule="exact"/>
        <w:rPr>
          <w:sz w:val="20"/>
          <w:szCs w:val="20"/>
          <w:color w:val="auto"/>
        </w:rPr>
      </w:pPr>
    </w:p>
    <w:p>
      <w:pPr>
        <w:ind w:left="440" w:right="4019" w:hanging="432"/>
        <w:spacing w:after="0" w:line="255"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cost basis is approximately $1,651,062,000 as of December 31, 2000.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616" w:right="1440" w:bottom="1440" w:gutter="0" w:footer="0" w:header="0"/>
        </w:sectPr>
      </w:pPr>
    </w:p>
    <w:bookmarkStart w:id="79" w:name="page80"/>
    <w:bookmarkEnd w:id="79"/>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ind w:left="1820"/>
              <w:spacing w:after="0"/>
              <w:rPr>
                <w:sz w:val="20"/>
                <w:szCs w:val="20"/>
                <w:color w:val="auto"/>
              </w:rPr>
            </w:pPr>
            <w:r>
              <w:rPr>
                <w:rFonts w:ascii="Courier New" w:cs="Courier New" w:eastAsia="Courier New" w:hAnsi="Courier New"/>
                <w:sz w:val="14"/>
                <w:szCs w:val="14"/>
                <w:color w:val="auto"/>
              </w:rPr>
              <w:t>Three Years Ended December 31, 2000</w:t>
            </w:r>
          </w:p>
        </w:tc>
        <w:tc>
          <w:tcPr>
            <w:tcW w:w="1460" w:type="dxa"/>
            <w:vAlign w:val="bottom"/>
          </w:tcPr>
          <w:p>
            <w:pPr>
              <w:spacing w:after="0"/>
              <w:rPr>
                <w:sz w:val="14"/>
                <w:szCs w:val="14"/>
                <w:color w:val="auto"/>
              </w:rPr>
            </w:pPr>
          </w:p>
        </w:tc>
      </w:tr>
      <w:tr>
        <w:trPr>
          <w:trHeight w:val="663"/>
        </w:trPr>
        <w:tc>
          <w:tcPr>
            <w:tcW w:w="6560" w:type="dxa"/>
            <w:vAlign w:val="bottom"/>
          </w:tcPr>
          <w:p>
            <w:pPr>
              <w:ind w:left="780"/>
              <w:spacing w:after="0"/>
              <w:rPr>
                <w:sz w:val="20"/>
                <w:szCs w:val="20"/>
                <w:color w:val="auto"/>
              </w:rPr>
            </w:pPr>
            <w:r>
              <w:rPr>
                <w:rFonts w:ascii="Courier New" w:cs="Courier New" w:eastAsia="Courier New" w:hAnsi="Courier New"/>
                <w:sz w:val="14"/>
                <w:szCs w:val="14"/>
                <w:color w:val="auto"/>
              </w:rPr>
              <w:t>Reconciliation of Accumulated Depreciation and Amortization</w:t>
            </w:r>
          </w:p>
        </w:tc>
        <w:tc>
          <w:tcPr>
            <w:tcW w:w="1460" w:type="dxa"/>
            <w:vAlign w:val="bottom"/>
          </w:tcPr>
          <w:p>
            <w:pPr>
              <w:spacing w:after="0"/>
              <w:rPr>
                <w:sz w:val="24"/>
                <w:szCs w:val="24"/>
                <w:color w:val="auto"/>
              </w:rPr>
            </w:pPr>
          </w:p>
        </w:tc>
      </w:tr>
      <w:tr>
        <w:trPr>
          <w:trHeight w:val="166"/>
        </w:trPr>
        <w:tc>
          <w:tcPr>
            <w:tcW w:w="6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663"/>
        </w:trPr>
        <w:tc>
          <w:tcPr>
            <w:tcW w:w="6560" w:type="dxa"/>
            <w:vAlign w:val="bottom"/>
          </w:tcPr>
          <w:p>
            <w:pPr>
              <w:spacing w:after="0"/>
              <w:rPr>
                <w:sz w:val="20"/>
                <w:szCs w:val="20"/>
                <w:color w:val="auto"/>
              </w:rPr>
            </w:pPr>
            <w:r>
              <w:rPr>
                <w:rFonts w:ascii="Courier New" w:cs="Courier New" w:eastAsia="Courier New" w:hAnsi="Courier New"/>
                <w:sz w:val="14"/>
                <w:szCs w:val="14"/>
                <w:color w:val="auto"/>
              </w:rPr>
              <w:t>Balance, January 1, 1998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$247,497,000</w:t>
            </w:r>
          </w:p>
        </w:tc>
      </w:tr>
      <w:tr>
        <w:trPr>
          <w:trHeight w:val="331"/>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1460" w:type="dxa"/>
            <w:vAlign w:val="bottom"/>
          </w:tcPr>
          <w:p>
            <w:pPr>
              <w:spacing w:after="0"/>
              <w:rPr>
                <w:sz w:val="24"/>
                <w:szCs w:val="24"/>
                <w:color w:val="auto"/>
              </w:rPr>
            </w:pPr>
          </w:p>
        </w:tc>
      </w:tr>
      <w:tr>
        <w:trPr>
          <w:trHeight w:val="166"/>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expense</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42,542,000</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46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property and miscellaneous retirements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(3,986,000)</w:t>
            </w:r>
          </w:p>
        </w:tc>
      </w:tr>
      <w:tr>
        <w:trPr>
          <w:trHeight w:val="166"/>
        </w:trPr>
        <w:tc>
          <w:tcPr>
            <w:tcW w:w="656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286,053,000</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1460" w:type="dxa"/>
            <w:vAlign w:val="bottom"/>
          </w:tcPr>
          <w:p>
            <w:pPr>
              <w:spacing w:after="0"/>
              <w:rPr>
                <w:sz w:val="14"/>
                <w:szCs w:val="14"/>
                <w:color w:val="auto"/>
              </w:rPr>
            </w:pPr>
          </w:p>
        </w:tc>
      </w:tr>
      <w:tr>
        <w:trPr>
          <w:trHeight w:val="166"/>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expense</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46,133,000</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46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property and miscellaneous retirements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(14,265,000)</w:t>
            </w:r>
          </w:p>
        </w:tc>
      </w:tr>
      <w:tr>
        <w:trPr>
          <w:trHeight w:val="166"/>
        </w:trPr>
        <w:tc>
          <w:tcPr>
            <w:tcW w:w="656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317,921,000</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1460" w:type="dxa"/>
            <w:vAlign w:val="bottom"/>
          </w:tcPr>
          <w:p>
            <w:pPr>
              <w:spacing w:after="0"/>
              <w:rPr>
                <w:sz w:val="14"/>
                <w:szCs w:val="14"/>
                <w:color w:val="auto"/>
              </w:rPr>
            </w:pPr>
          </w:p>
        </w:tc>
      </w:tr>
      <w:tr>
        <w:trPr>
          <w:trHeight w:val="166"/>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expense</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49,176,000</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Deductions during period - disposition of property,</w:t>
            </w:r>
          </w:p>
        </w:tc>
        <w:tc>
          <w:tcPr>
            <w:tcW w:w="146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miscellaneous retirements and acquisition of minority interest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(15,839,000)</w:t>
            </w:r>
          </w:p>
        </w:tc>
      </w:tr>
      <w:tr>
        <w:trPr>
          <w:trHeight w:val="166"/>
        </w:trPr>
        <w:tc>
          <w:tcPr>
            <w:tcW w:w="656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$351,258,000</w:t>
            </w:r>
          </w:p>
        </w:tc>
      </w:tr>
      <w:tr>
        <w:trPr>
          <w:trHeight w:val="166"/>
        </w:trPr>
        <w:tc>
          <w:tcPr>
            <w:tcW w:w="656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6560" w:type="dxa"/>
            <w:vAlign w:val="bottom"/>
          </w:tcPr>
          <w:p>
            <w:pPr>
              <w:ind w:left="3280"/>
              <w:spacing w:after="0"/>
              <w:rPr>
                <w:sz w:val="20"/>
                <w:szCs w:val="20"/>
                <w:color w:val="auto"/>
              </w:rPr>
            </w:pPr>
            <w:r>
              <w:rPr>
                <w:rFonts w:ascii="Courier New" w:cs="Courier New" w:eastAsia="Courier New" w:hAnsi="Courier New"/>
                <w:sz w:val="14"/>
                <w:szCs w:val="14"/>
                <w:color w:val="auto"/>
              </w:rPr>
              <w:t>F31</w:t>
            </w:r>
          </w:p>
        </w:tc>
        <w:tc>
          <w:tcPr>
            <w:tcW w:w="14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0" w:name="page81"/>
    <w:bookmarkEnd w:id="80"/>
    <w:p>
      <w:pPr>
        <w:jc w:val="center"/>
        <w:ind w:right="47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MORTGAGE LOANS ON REAL ESTATE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Year Ended December 31, 2000</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63"/>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Column A</w:t>
            </w:r>
          </w:p>
        </w:tc>
        <w:tc>
          <w:tcPr>
            <w:tcW w:w="1720" w:type="dxa"/>
            <w:vAlign w:val="bottom"/>
          </w:tcPr>
          <w:p>
            <w:pPr>
              <w:ind w:left="460"/>
              <w:spacing w:after="0"/>
              <w:rPr>
                <w:sz w:val="20"/>
                <w:szCs w:val="20"/>
                <w:color w:val="auto"/>
              </w:rPr>
            </w:pPr>
            <w:r>
              <w:rPr>
                <w:rFonts w:ascii="Courier New" w:cs="Courier New" w:eastAsia="Courier New" w:hAnsi="Courier New"/>
                <w:sz w:val="14"/>
                <w:szCs w:val="14"/>
                <w:color w:val="auto"/>
              </w:rPr>
              <w:t>Column B</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Column C</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Column D</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Column E</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Column F</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Column G</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Carrying</w:t>
            </w: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Periodic Payment</w:t>
            </w:r>
          </w:p>
        </w:tc>
        <w:tc>
          <w:tcPr>
            <w:tcW w:w="108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Face Amount</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Description of Lien</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Interest Rate</w:t>
            </w:r>
          </w:p>
        </w:tc>
        <w:tc>
          <w:tcPr>
            <w:tcW w:w="1720" w:type="dxa"/>
            <w:vAlign w:val="bottom"/>
          </w:tcPr>
          <w:p>
            <w:pPr>
              <w:ind w:left="220"/>
              <w:spacing w:after="0"/>
              <w:rPr>
                <w:sz w:val="20"/>
                <w:szCs w:val="20"/>
                <w:color w:val="auto"/>
              </w:rPr>
            </w:pPr>
            <w:r>
              <w:rPr>
                <w:rFonts w:ascii="Courier New" w:cs="Courier New" w:eastAsia="Courier New" w:hAnsi="Courier New"/>
                <w:sz w:val="14"/>
                <w:szCs w:val="14"/>
                <w:color w:val="auto"/>
              </w:rPr>
              <w:t>Maturity Date</w:t>
            </w: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Terms</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Prior Liens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Mortgages</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Mortgages(1)</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December 2003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Interest only</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$10,000,000 (2)</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monthly; $10,000,000</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balloon payment due</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at maturity</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Mortgages on retail</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February 2001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Interest only monthly;</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5,352,000</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5,352,000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buildings in</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balloon payment due</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Pennsylvania</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at maturity</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Land in San Jose,</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December 2003</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Interest only monthly;</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5,250,000</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5,250,000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balloon payment due</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at maturity</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March 2001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Interest only</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4,020,000</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3,227,000(3)</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monthly; balloon payment</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due at maturity</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Greater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May 2021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Interest only</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25,000,000</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11,112,000(4)</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buildings in</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prime plus</w:t>
            </w:r>
          </w:p>
        </w:tc>
        <w:tc>
          <w:tcPr>
            <w:tcW w:w="1720" w:type="dxa"/>
            <w:vAlign w:val="bottom"/>
          </w:tcPr>
          <w:p>
            <w:pPr>
              <w:spacing w:after="0"/>
              <w:rPr>
                <w:sz w:val="14"/>
                <w:szCs w:val="14"/>
                <w:color w:val="auto"/>
              </w:rPr>
            </w:pP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monthly; balloon payment</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2% or 10%</w:t>
            </w: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due at maturity</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 plus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May 2021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Interest only; balloon</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9,250,000</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9,250,000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buildings in</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participation</w:t>
            </w:r>
          </w:p>
        </w:tc>
        <w:tc>
          <w:tcPr>
            <w:tcW w:w="1720" w:type="dxa"/>
            <w:vAlign w:val="bottom"/>
          </w:tcPr>
          <w:p>
            <w:pPr>
              <w:spacing w:after="0"/>
              <w:rPr>
                <w:sz w:val="14"/>
                <w:szCs w:val="14"/>
                <w:color w:val="auto"/>
              </w:rPr>
            </w:pP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payment due at maturity</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 plus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July 2001</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None. Balloon and</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2,569,000</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3,169,000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Santa Monica,</w:t>
            </w: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participation</w:t>
            </w:r>
          </w:p>
        </w:tc>
        <w:tc>
          <w:tcPr>
            <w:tcW w:w="1720" w:type="dxa"/>
            <w:vAlign w:val="bottom"/>
          </w:tcPr>
          <w:p>
            <w:pPr>
              <w:spacing w:after="0"/>
              <w:rPr>
                <w:sz w:val="14"/>
                <w:szCs w:val="14"/>
                <w:color w:val="auto"/>
              </w:rPr>
            </w:pP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accrued interest due at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plus accrued</w:t>
            </w: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maturity</w:t>
            </w:r>
          </w:p>
        </w:tc>
        <w:tc>
          <w:tcPr>
            <w:tcW w:w="108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and</w:t>
            </w: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development cost</w:t>
            </w:r>
          </w:p>
        </w:tc>
        <w:tc>
          <w:tcPr>
            <w:tcW w:w="15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$61,441,000</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$47,360,000</w:t>
            </w:r>
          </w:p>
        </w:tc>
      </w:tr>
      <w:tr>
        <w:trPr>
          <w:trHeight w:val="166"/>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hanging="352"/>
        <w:spacing w:after="0"/>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tax basis is approximately</w:t>
      </w:r>
    </w:p>
    <w:p>
      <w:pPr>
        <w:spacing w:after="0" w:line="7" w:lineRule="exact"/>
        <w:rPr>
          <w:rFonts w:ascii="Courier New" w:cs="Courier New" w:eastAsia="Courier New" w:hAnsi="Courier New"/>
          <w:sz w:val="14"/>
          <w:szCs w:val="14"/>
          <w:color w:val="auto"/>
        </w:rPr>
      </w:pPr>
    </w:p>
    <w:p>
      <w:pPr>
        <w:ind w:left="360" w:right="498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$47,360,000 as of December 31, 2000. No payments are delinquent on these mortgages.</w:t>
      </w:r>
    </w:p>
    <w:p>
      <w:pPr>
        <w:ind w:left="360" w:right="4640" w:hanging="352"/>
        <w:spacing w:after="0" w:line="250"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extendable for up to 45 years with interest increasing to a maximum of 11%.</w:t>
      </w:r>
    </w:p>
    <w:p>
      <w:pPr>
        <w:ind w:left="360" w:right="5160" w:hanging="352"/>
        <w:spacing w:after="0" w:line="250"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$4,020,000. At December 31, 2000, $3,227,000 was outstanding.</w:t>
      </w:r>
    </w:p>
    <w:p>
      <w:pPr>
        <w:ind w:left="360" w:hanging="352"/>
        <w:spacing w:after="0"/>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$25,000,000.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1540"/>
          </w:cols>
          <w:pgMar w:left="220" w:top="616" w:right="139" w:bottom="1440" w:gutter="0" w:footer="0" w:header="0"/>
        </w:sectPr>
      </w:pPr>
    </w:p>
    <w:bookmarkStart w:id="81" w:name="page82"/>
    <w:bookmarkEnd w:id="81"/>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MORTGAGE LOANS ON REAL ESTATE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Three Years Ended December 31, 2000</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Reconciliation of Carrying Amount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17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January 1, 1998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38,360,000</w:t>
            </w:r>
          </w:p>
        </w:tc>
      </w:tr>
      <w:tr>
        <w:trPr>
          <w:trHeight w:val="331"/>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Issuance of loan</w:t>
            </w:r>
          </w:p>
        </w:tc>
        <w:tc>
          <w:tcPr>
            <w:tcW w:w="3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21,375,000</w:t>
            </w: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Deductions during period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Collection of loan</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(8,581,000)</w:t>
            </w:r>
          </w:p>
        </w:tc>
      </w:tr>
      <w:tr>
        <w:trPr>
          <w:trHeight w:val="166"/>
        </w:trPr>
        <w:tc>
          <w:tcPr>
            <w:tcW w:w="5400" w:type="dxa"/>
            <w:vAlign w:val="bottom"/>
          </w:tcPr>
          <w:p>
            <w:pPr>
              <w:spacing w:after="0"/>
              <w:rPr>
                <w:sz w:val="14"/>
                <w:szCs w:val="14"/>
                <w:color w:val="auto"/>
              </w:rPr>
            </w:pP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3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51,154,000</w:t>
            </w:r>
          </w:p>
        </w:tc>
      </w:tr>
      <w:tr>
        <w:trPr>
          <w:trHeight w:val="331"/>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Issuance of loan</w:t>
            </w:r>
          </w:p>
        </w:tc>
        <w:tc>
          <w:tcPr>
            <w:tcW w:w="3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2,516,000</w:t>
            </w: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Deductions during period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Collection of loan</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(175,000)</w:t>
            </w:r>
          </w:p>
        </w:tc>
      </w:tr>
      <w:tr>
        <w:trPr>
          <w:trHeight w:val="166"/>
        </w:trPr>
        <w:tc>
          <w:tcPr>
            <w:tcW w:w="5400" w:type="dxa"/>
            <w:vAlign w:val="bottom"/>
          </w:tcPr>
          <w:p>
            <w:pPr>
              <w:spacing w:after="0"/>
              <w:rPr>
                <w:sz w:val="14"/>
                <w:szCs w:val="14"/>
                <w:color w:val="auto"/>
              </w:rPr>
            </w:pP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3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53,495,000</w:t>
            </w:r>
          </w:p>
        </w:tc>
      </w:tr>
      <w:tr>
        <w:trPr>
          <w:trHeight w:val="331"/>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Additions during period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Issuance of loans</w:t>
            </w:r>
          </w:p>
        </w:tc>
        <w:tc>
          <w:tcPr>
            <w:tcW w:w="3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5,701,000</w:t>
            </w:r>
          </w:p>
        </w:tc>
      </w:tr>
      <w:tr>
        <w:trPr>
          <w:trHeight w:val="166"/>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Deductions during period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Collections and satisfaction of loans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(11,836,000)</w:t>
            </w:r>
          </w:p>
        </w:tc>
      </w:tr>
      <w:tr>
        <w:trPr>
          <w:trHeight w:val="166"/>
        </w:trPr>
        <w:tc>
          <w:tcPr>
            <w:tcW w:w="5400" w:type="dxa"/>
            <w:vAlign w:val="bottom"/>
          </w:tcPr>
          <w:p>
            <w:pPr>
              <w:spacing w:after="0"/>
              <w:rPr>
                <w:sz w:val="14"/>
                <w:szCs w:val="14"/>
                <w:color w:val="auto"/>
              </w:rPr>
            </w:pP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47,360,000</w:t>
            </w:r>
          </w:p>
        </w:tc>
      </w:tr>
      <w:tr>
        <w:trPr>
          <w:trHeight w:val="166"/>
        </w:trPr>
        <w:tc>
          <w:tcPr>
            <w:tcW w:w="5400" w:type="dxa"/>
            <w:vAlign w:val="bottom"/>
          </w:tcPr>
          <w:p>
            <w:pPr>
              <w:spacing w:after="0"/>
              <w:rPr>
                <w:sz w:val="14"/>
                <w:szCs w:val="14"/>
                <w:color w:val="auto"/>
              </w:rPr>
            </w:pP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5400" w:type="dxa"/>
            <w:vAlign w:val="bottom"/>
          </w:tcPr>
          <w:p>
            <w:pPr>
              <w:ind w:left="3280"/>
              <w:spacing w:after="0"/>
              <w:rPr>
                <w:sz w:val="20"/>
                <w:szCs w:val="20"/>
                <w:color w:val="auto"/>
              </w:rPr>
            </w:pPr>
            <w:r>
              <w:rPr>
                <w:rFonts w:ascii="Courier New" w:cs="Courier New" w:eastAsia="Courier New" w:hAnsi="Courier New"/>
                <w:sz w:val="14"/>
                <w:szCs w:val="14"/>
                <w:color w:val="auto"/>
              </w:rPr>
              <w:t>F33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2" w:name="page83"/>
    <w:bookmarkEnd w:id="82"/>
    <w:p>
      <w:pPr>
        <w:jc w:val="right"/>
        <w:ind w:right="3339"/>
        <w:spacing w:after="0"/>
        <w:rPr>
          <w:sz w:val="20"/>
          <w:szCs w:val="20"/>
          <w:color w:val="auto"/>
        </w:rPr>
      </w:pPr>
      <w:r>
        <w:rPr>
          <w:rFonts w:ascii="Courier New" w:cs="Courier New" w:eastAsia="Courier New" w:hAnsi="Courier New"/>
          <w:sz w:val="14"/>
          <w:szCs w:val="14"/>
          <w:color w:val="auto"/>
        </w:rPr>
        <w:t>Exhibit 10.xxxi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RESTRICTED SHARE AWARD AGREEMENT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AMENDMENT TO PROMISSORY NOTE</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This Amendment to Restricted Share Award Agreement and Amendment to Promissory Note (this "Amendment") is made as of December 8, 2000, between Federal Realty Investment Trust, a Maryland real estate investment trust (the "Trust"), and Ron D. Kaplan, an individual employee of the Trust (the "Key Employee").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Trust and the Key Employee entered into that certain Restricted Share Award Agreement dated as of January 1, 1998, setting forth the terms of the award by the Trust to the Key Employee under the Trust's Amended and Restated 1993 Long-Term Incentive Plan (the "Amended Plan") of a Restricted Share Award of 50,000 shares of beneficial interest of the Trust (such shares being hereinafter referred to as the "Restricted Shares" and such agreement being hereinafter referred to as the "Restricted Share Agreement"); and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Restricted Share Agreement provides for the Trust to make a Tax Loan to the Key Employee each time the Restriction Period lapses with regard to a number of Restricted Shares, in the amount of fifty percent of the aggregate value of such Restricted Shares, in order to enable the Key Employee to pay state and federal taxes on the income created by the lapsing of the Restriction Period on such Restricted Shares, and for such Tax Loan to be secured by all the Restricted Shares as to which the Restriction Period has lapsed (the "Vested Shares"); and</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"Committee") has determined that it is unnecessary for the Tax Loans to be secured by all of the Vested Shares and that the Trust's interests would be adequately protected by requiring each such Tax Loan to be secured instead by that number of shares having an aggregate value on the date of vesting equal to 125% of the amount of the Tax Loan.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679" w:firstLine="439"/>
        <w:spacing w:after="0" w:line="255" w:lineRule="auto"/>
        <w:tabs>
          <w:tab w:leader="none" w:pos="86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4 of the Restricted Share Agreement is hereby amended to read in its entirety as follows: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83" w:name="page84"/>
    <w:bookmarkEnd w:id="83"/>
    <w:p>
      <w:pPr>
        <w:ind w:left="860"/>
        <w:spacing w:after="0"/>
        <w:tabs>
          <w:tab w:leader="none" w:pos="1880" w:val="left"/>
          <w:tab w:leader="none" w:pos="2320" w:val="left"/>
        </w:tabs>
        <w:rPr>
          <w:sz w:val="20"/>
          <w:szCs w:val="20"/>
          <w:color w:val="auto"/>
        </w:rPr>
      </w:pPr>
      <w:r>
        <w:rPr>
          <w:rFonts w:ascii="Courier New" w:cs="Courier New" w:eastAsia="Courier New" w:hAnsi="Courier New"/>
          <w:sz w:val="14"/>
          <w:szCs w:val="14"/>
          <w:color w:val="auto"/>
        </w:rPr>
        <w:t>"Tax Loan.</w:t>
        <w:tab/>
        <w:t>(a)</w:t>
        <w:tab/>
        <w:t>The Trust shall extend loans to the Key Employee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339"/>
        <w:spacing w:after="0" w:line="250"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Restricted Shares except with respect to federal and state taxes incurred as a result of the lapsing of the Restriction Period with respect to Restricted Shares under Paragraph 3.3 ("Tax Loans"). The Key Employee will execute promissory notes in the form attached to this Agreement to evidence his obligation to repay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 As collateral to secure his obligation to repay any Tax Loan extended to him hereunder and any accrued but unpaid Interest on such Tax Loan, the Key Employee hereby</w:t>
      </w:r>
    </w:p>
    <w:p>
      <w:pPr>
        <w:spacing w:after="0" w:line="6" w:lineRule="exact"/>
        <w:rPr>
          <w:sz w:val="20"/>
          <w:szCs w:val="20"/>
          <w:color w:val="auto"/>
        </w:rPr>
      </w:pPr>
    </w:p>
    <w:p>
      <w:pPr>
        <w:ind w:left="860" w:right="3419" w:firstLine="10"/>
        <w:spacing w:after="0" w:line="251" w:lineRule="auto"/>
        <w:tabs>
          <w:tab w:leader="none" w:pos="1205"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to the Trust that number of Restricted Shares awarded to him hereunder as to which the Restriction Period has lapsed having an aggregate value which is equal on the date of the Tax Loan to 125% of the amount of such Tax Loan, and (ii) assigns to the Trust all quarterly cash or other dividends paid on such Restricted Shares.</w:t>
      </w:r>
    </w:p>
    <w:p>
      <w:pPr>
        <w:spacing w:after="0" w:line="164" w:lineRule="exact"/>
        <w:rPr>
          <w:rFonts w:ascii="Courier New" w:cs="Courier New" w:eastAsia="Courier New" w:hAnsi="Courier New"/>
          <w:sz w:val="14"/>
          <w:szCs w:val="14"/>
          <w:color w:val="auto"/>
        </w:rPr>
      </w:pPr>
    </w:p>
    <w:p>
      <w:pPr>
        <w:ind w:left="860" w:right="3339" w:firstLine="1043"/>
        <w:spacing w:after="0" w:line="250" w:lineRule="auto"/>
        <w:tabs>
          <w:tab w:leader="none" w:pos="2238"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4(a) and</w:t>
      </w:r>
    </w:p>
    <w:p>
      <w:pPr>
        <w:spacing w:after="0" w:line="1" w:lineRule="exact"/>
        <w:rPr>
          <w:rFonts w:ascii="Courier New" w:cs="Courier New" w:eastAsia="Courier New" w:hAnsi="Courier New"/>
          <w:sz w:val="14"/>
          <w:szCs w:val="14"/>
          <w:color w:val="auto"/>
        </w:rPr>
      </w:pPr>
    </w:p>
    <w:p>
      <w:pPr>
        <w:ind w:left="860" w:right="3519" w:firstLine="10"/>
        <w:spacing w:after="0" w:line="252" w:lineRule="auto"/>
        <w:tabs>
          <w:tab w:leader="none" w:pos="129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the Income Tax Payment (in accordance with Paragraph 3.3) (the "Change in Control Tax Loan"). The Key Employee will execute a promissory note in the form attached to this Agreement to evidence his obligation to repay such Change in Control Tax Loan."</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sentence of Paragraph 1 of the Tax Note dated March 31, 1998, made by the Key Employee in favor of the Trust is hereby amended to read in its entirety as follows: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performance of the Borrower's obligations hereunder is secured by</w:t>
      </w:r>
    </w:p>
    <w:p>
      <w:pPr>
        <w:spacing w:after="0" w:line="7" w:lineRule="exact"/>
        <w:rPr>
          <w:sz w:val="20"/>
          <w:szCs w:val="20"/>
          <w:color w:val="auto"/>
        </w:rPr>
      </w:pPr>
    </w:p>
    <w:p>
      <w:pPr>
        <w:ind w:left="1220" w:hanging="350"/>
        <w:spacing w:after="0"/>
        <w:tabs>
          <w:tab w:leader="none" w:pos="12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pledge of  that number of Shares as to which the Restriction</w:t>
      </w:r>
    </w:p>
    <w:p>
      <w:pPr>
        <w:spacing w:after="0" w:line="7"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has lapsed under the Restricted Share Award Agreement having an aggregate value which is equal, on the date a Loan is made, to 125% of the principal amount of the Loan, and (b) an assignment to Payee of all quarterly cash Dividends paid on such Shares sufficient to pay the Interest (as hereinafter defined) hereon."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84" w:name="page85"/>
    <w:bookmarkEnd w:id="84"/>
    <w:p>
      <w:pPr>
        <w:ind w:right="3339" w:firstLine="439"/>
        <w:spacing w:after="0" w:line="252"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Amendment, unless otherwise defined herein, have the respective meanings given to such terms in the Restricted Share Agreement.</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Restricted Share Agreement and Tax Note remain in full force and effect, and the Trust and the Key Employee hereby ratify and reaffirm each and all of the terms and provisions of the Restricted Share Agreement and Tax Note as modified hereby.</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multiple counterparts with the same effect as if each of the signing parties had signed the same document. All counterparts shall be construed together and constitute the same instrument.</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Trust has caused this Amendment to be duly executed and the Key Employee has hereunto set his hand effective as of the day and year first above written.</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7"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Name:</w:t>
        <w:tab/>
        <w:t>Mark S. Ordan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Chairman, Compensation Committee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Rockville, Maryland 20852</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RON D. KAPLAN</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7909 Greentree Road</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Bethesda, Maryland 20817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85" w:name="page86"/>
    <w:bookmarkEnd w:id="85"/>
    <w:p>
      <w:pPr>
        <w:jc w:val="right"/>
        <w:ind w:right="3339"/>
        <w:spacing w:after="0"/>
        <w:rPr>
          <w:sz w:val="20"/>
          <w:szCs w:val="20"/>
          <w:color w:val="auto"/>
        </w:rPr>
      </w:pPr>
      <w:r>
        <w:rPr>
          <w:rFonts w:ascii="Courier New" w:cs="Courier New" w:eastAsia="Courier New" w:hAnsi="Courier New"/>
          <w:sz w:val="14"/>
          <w:szCs w:val="14"/>
          <w:color w:val="auto"/>
        </w:rPr>
        <w:t>Exhibit 10.xxxii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RESTRICTED SHARE AWARD AGREEMENT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AMENDMENT TO PROMISSORY NOTE</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This Amendment to Restricted Share Award Agreement and Amendment to Promissory Note (this "Amendment") is made as of December 8, 2000, between Federal Realty Investment Trust, a Maryland real estate investment trust (the "Trust"), and Ron D. Kaplan, an individual employee of the Trust (the "Key Employee").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Trust and the Key Employee entered into that certain Restricted Share Award Agreement dated as of January 1, 1998, setting forth the terms of the award by the Trust to the Key Employee of a Restricted Share Award of 12,500 shares of beneficial interest of the Trust (such shares being hereinafter referred to as the "Restricted Shares" and such agreement being hereinafter referred to as the "Restricted Share Agreement"); and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Restricted Share Agreement provides for the Trust to make a Tax Loan to the Key Employee each time the Restriction Period lapses with regard to a number of Restricted Shares, in the amount of fifty percent of the aggregate value of such Restricted Shares, in order to enable the Key Employee to pay state and federal taxes on the income created by the lapsing of the Restriction Period on such Restricted Shares, and for such Tax Loan to be secured by all the Restricted Shares as to which the Restriction Period has lapsed (the "Vested Shares"); and</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"Committee") has determined that it is unnecessary for the Tax Loans to be secured by all of the Vested Shares and that the Trust's interests would be adequately protected by requiring each such Tax Loan to be secured instead by that number of shares having an aggregate value on the date of vesting equal to 125% of the amount of the Tax Loan.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679" w:firstLine="439"/>
        <w:spacing w:after="0" w:line="255" w:lineRule="auto"/>
        <w:tabs>
          <w:tab w:leader="none" w:pos="86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4 of the Restricted Share Agreement is hereby amended to read in its entirety as follows:</w:t>
      </w:r>
    </w:p>
    <w:p>
      <w:pPr>
        <w:spacing w:after="0" w:line="160" w:lineRule="exact"/>
        <w:rPr>
          <w:sz w:val="20"/>
          <w:szCs w:val="20"/>
          <w:color w:val="auto"/>
        </w:rPr>
      </w:pPr>
    </w:p>
    <w:p>
      <w:pPr>
        <w:ind w:left="860"/>
        <w:spacing w:after="0"/>
        <w:tabs>
          <w:tab w:leader="none" w:pos="2060" w:val="left"/>
          <w:tab w:leader="none" w:pos="2480" w:val="left"/>
        </w:tabs>
        <w:rPr>
          <w:sz w:val="20"/>
          <w:szCs w:val="20"/>
          <w:color w:val="auto"/>
        </w:rPr>
      </w:pPr>
      <w:r>
        <w:rPr>
          <w:rFonts w:ascii="Courier New" w:cs="Courier New" w:eastAsia="Courier New" w:hAnsi="Courier New"/>
          <w:sz w:val="14"/>
          <w:szCs w:val="14"/>
          <w:color w:val="auto"/>
        </w:rPr>
        <w:t>"Tax Loan.</w:t>
      </w:r>
      <w:r>
        <w:rPr>
          <w:sz w:val="20"/>
          <w:szCs w:val="20"/>
          <w:color w:val="auto"/>
        </w:rPr>
        <w:tab/>
      </w:r>
      <w:r>
        <w:rPr>
          <w:rFonts w:ascii="Courier New" w:cs="Courier New" w:eastAsia="Courier New" w:hAnsi="Courier New"/>
          <w:sz w:val="14"/>
          <w:szCs w:val="14"/>
          <w:color w:val="auto"/>
        </w:rPr>
        <w:t>(a)</w:t>
        <w:tab/>
        <w:t>The Trust shall extend loans to the Key Employee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679"/>
        <w:spacing w:after="0" w:line="252"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86" w:name="page87"/>
    <w:bookmarkEnd w:id="86"/>
    <w:p>
      <w:pPr>
        <w:ind w:left="860" w:right="3339"/>
        <w:spacing w:after="0" w:line="250" w:lineRule="auto"/>
        <w:rPr>
          <w:sz w:val="20"/>
          <w:szCs w:val="20"/>
          <w:color w:val="auto"/>
        </w:rPr>
      </w:pPr>
      <w:r>
        <w:rPr>
          <w:rFonts w:ascii="Courier New" w:cs="Courier New" w:eastAsia="Courier New" w:hAnsi="Courier New"/>
          <w:sz w:val="14"/>
          <w:szCs w:val="14"/>
          <w:color w:val="auto"/>
        </w:rPr>
        <w:t>with respect to Restricted Shares except with respect to federal and state taxes incurred as a result of the lapsing of the Restriction Period with respect to Restricted Shares under Paragraph 3.3 ("Tax Loans"). The Key Employee will execute promissory notes in the form attached to this Agreement to evidence his obligation to repay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 As collateral to secure his obligation to repay any Tax Loan extended to him hereunder and any accrued but unpaid Interest on such Tax Loan, the Key Employee hereby (i) pledges to the Trust that number of Restricted Shares awarded to him hereunder as to which the Restriction Period has lapsed having an aggregate value which is equal on the date of the Tax Loan to 125% of the amount of such Tax Loan, and (ii) assigns to the Trust all quarterly cash or other dividends paid on such Restricted Shares.</w:t>
      </w:r>
    </w:p>
    <w:p>
      <w:pPr>
        <w:spacing w:after="0" w:line="173" w:lineRule="exact"/>
        <w:rPr>
          <w:sz w:val="20"/>
          <w:szCs w:val="20"/>
          <w:color w:val="auto"/>
        </w:rPr>
      </w:pPr>
    </w:p>
    <w:p>
      <w:pPr>
        <w:ind w:left="860" w:right="3339" w:firstLine="871"/>
        <w:spacing w:after="0" w:line="250" w:lineRule="auto"/>
        <w:tabs>
          <w:tab w:leader="none" w:pos="2152"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4(a) and</w:t>
      </w:r>
    </w:p>
    <w:p>
      <w:pPr>
        <w:spacing w:after="0" w:line="1" w:lineRule="exact"/>
        <w:rPr>
          <w:rFonts w:ascii="Courier New" w:cs="Courier New" w:eastAsia="Courier New" w:hAnsi="Courier New"/>
          <w:sz w:val="14"/>
          <w:szCs w:val="14"/>
          <w:color w:val="auto"/>
        </w:rPr>
      </w:pPr>
    </w:p>
    <w:p>
      <w:pPr>
        <w:ind w:left="860" w:right="3519" w:firstLine="10"/>
        <w:spacing w:after="0" w:line="252" w:lineRule="auto"/>
        <w:tabs>
          <w:tab w:leader="none" w:pos="12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the Income Tax Payment (in accordance with Paragraph 3.3) (the "Change in Control Tax Loan"). The Key Employee will execute a promissory note in the form attached to this Agreement to evidence his obligation to repay such Change in Control Tax Loan."</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sentence of Paragraph 1 of the Tax Note dated March 31, 1998, made by the Key Employee in favor of the Trust is hereby amended to read in its entirety as follows: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performance of the Borrower's obligations hereunder is secured by</w:t>
      </w:r>
    </w:p>
    <w:p>
      <w:pPr>
        <w:spacing w:after="0" w:line="7" w:lineRule="exact"/>
        <w:rPr>
          <w:sz w:val="20"/>
          <w:szCs w:val="20"/>
          <w:color w:val="auto"/>
        </w:rPr>
      </w:pPr>
    </w:p>
    <w:p>
      <w:pPr>
        <w:ind w:left="1220" w:hanging="350"/>
        <w:spacing w:after="0"/>
        <w:tabs>
          <w:tab w:leader="none" w:pos="12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pledge of  that number of Shares as to which the Restriction</w:t>
      </w:r>
    </w:p>
    <w:p>
      <w:pPr>
        <w:spacing w:after="0" w:line="7"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has lapsed under the Restricted Share Award Agreement having an aggregate value which is equal, on the date a Loan is made, to 125% of the principal amount of the Loan, and (b) an assignment to Payee of all quarterly cash Dividends paid on such Shares sufficient to pay the Interest (as hereinafter defined) hereon."</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Amendment, unless otherwise defined herein, have the respective meanings given to such terms in the Restricted Share Agreement.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87" w:name="page88"/>
    <w:bookmarkEnd w:id="87"/>
    <w:p>
      <w:pPr>
        <w:jc w:val="both"/>
        <w:ind w:right="3339" w:firstLine="439"/>
        <w:spacing w:after="0" w:line="252" w:lineRule="auto"/>
        <w:tabs>
          <w:tab w:leader="none" w:pos="86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Restricted Share Agreement and Tax Note remain in full force and effect, and the Trust and the Key Employee hereby ratify and reaffirm each and all of the terms and provisions of the Restricted Share Agreement and Tax Note as modified hereby.</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multiple counterparts with the same effect as if each of the signing parties had signed the same document. All counterparts shall be construed together and constitute the same instrument.</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Trust has caused this Amendment to be duly executed and the Key Employee has hereunto set his hand effective as of the day and year first above written.</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7"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Name:</w:t>
        <w:tab/>
        <w:t>Mark S. Ordan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Chairman, Compensation Committee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Rockville, Maryland 20852</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RON D. KAPLAN</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7909 Greentree Road</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Bethesda, Maryland 20817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88" w:name="page89"/>
    <w:bookmarkEnd w:id="88"/>
    <w:p>
      <w:pPr>
        <w:jc w:val="right"/>
        <w:ind w:right="3339"/>
        <w:spacing w:after="0"/>
        <w:rPr>
          <w:sz w:val="20"/>
          <w:szCs w:val="20"/>
          <w:color w:val="auto"/>
        </w:rPr>
      </w:pPr>
      <w:r>
        <w:rPr>
          <w:rFonts w:ascii="Courier New" w:cs="Courier New" w:eastAsia="Courier New" w:hAnsi="Courier New"/>
          <w:sz w:val="14"/>
          <w:szCs w:val="14"/>
          <w:color w:val="auto"/>
        </w:rPr>
        <w:t>Exhibit 10.xxxiii</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AMENDMENT TO</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RESTRICTED SHARE AWARD AGREEMENT AND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AMENDMENT TO PROMISSORY NOTE</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This Amendment to Restricted Share Award Agreement and Amendment to Promissory Note (this "Amendment") is made as of December 8, 2000, between Federal Realty Investment Trust, a Maryland real estate investment trust (the "Trust"), and Donald C. Wood, an individual employee of the Trust (the "Key Employee").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Trust and the Key Employee entered into that certain Restricted Share Award Agreement dated as of February 9, 2000, setting forth the terms of the award by the Trust to the Key Employee of a Restricted Share Award of 37,500 shares of beneficial interest of the Trust (such shares being hereinafter referred to as the "Restricted Shares" and such agreement being hereinafter referred to as the "Restricted Share Agreement"); and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Restricted Share Agreement provides for the Trust to make a Tax Loan to the Key Employee each time the Restriction Period lapses with regard to a number of Restricted Shares, in the amount of fifty percent of the aggregate value of such Restricted Shares, in order to enable the Key Employee to pay state and federal taxes on the income created by the lapsing of the Restriction Period on such Restricted Shares, and for such Tax Loan to be secured by all the Restricted Shares as to which the Restriction Period has lapsed (the "Vested Shares"); and</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"Committee") has determined that it is unnecessary for the Tax Loans to be secured by all of the Vested Shares and that the Trust's interests would be adequately protected by requiring each such Tax Loan to be secured instead by that number of shares having an aggregate value on the date of vesting equal to 125% of the amount of the Tax Loan.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right="3679" w:firstLine="439"/>
        <w:spacing w:after="0" w:line="255" w:lineRule="auto"/>
        <w:tabs>
          <w:tab w:leader="none" w:pos="86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4 of the Restricted Share Agreement is hereby amended to read in its entirety as follows:</w:t>
      </w:r>
    </w:p>
    <w:p>
      <w:pPr>
        <w:spacing w:after="0" w:line="160" w:lineRule="exact"/>
        <w:rPr>
          <w:sz w:val="20"/>
          <w:szCs w:val="20"/>
          <w:color w:val="auto"/>
        </w:rPr>
      </w:pPr>
    </w:p>
    <w:p>
      <w:pPr>
        <w:ind w:left="860"/>
        <w:spacing w:after="0"/>
        <w:tabs>
          <w:tab w:leader="none" w:pos="2060" w:val="left"/>
          <w:tab w:leader="none" w:pos="2480" w:val="left"/>
        </w:tabs>
        <w:rPr>
          <w:sz w:val="20"/>
          <w:szCs w:val="20"/>
          <w:color w:val="auto"/>
        </w:rPr>
      </w:pPr>
      <w:r>
        <w:rPr>
          <w:rFonts w:ascii="Courier New" w:cs="Courier New" w:eastAsia="Courier New" w:hAnsi="Courier New"/>
          <w:sz w:val="14"/>
          <w:szCs w:val="14"/>
          <w:color w:val="auto"/>
        </w:rPr>
        <w:t>"Tax Loan.</w:t>
      </w:r>
      <w:r>
        <w:rPr>
          <w:sz w:val="20"/>
          <w:szCs w:val="20"/>
          <w:color w:val="auto"/>
        </w:rPr>
        <w:tab/>
      </w:r>
      <w:r>
        <w:rPr>
          <w:rFonts w:ascii="Courier New" w:cs="Courier New" w:eastAsia="Courier New" w:hAnsi="Courier New"/>
          <w:sz w:val="14"/>
          <w:szCs w:val="14"/>
          <w:color w:val="auto"/>
        </w:rPr>
        <w:t>(a)</w:t>
        <w:tab/>
        <w:t>The Trust shall extend loans to the Key Employee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right="3679"/>
        <w:spacing w:after="0" w:line="252"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2" w:right="1440" w:bottom="1440" w:gutter="0" w:footer="0" w:header="0"/>
        </w:sectPr>
      </w:pPr>
    </w:p>
    <w:bookmarkStart w:id="89" w:name="page90"/>
    <w:bookmarkEnd w:id="89"/>
    <w:p>
      <w:pPr>
        <w:ind w:left="860" w:right="3339"/>
        <w:spacing w:after="0" w:line="250" w:lineRule="auto"/>
        <w:rPr>
          <w:sz w:val="20"/>
          <w:szCs w:val="20"/>
          <w:color w:val="auto"/>
        </w:rPr>
      </w:pPr>
      <w:r>
        <w:rPr>
          <w:rFonts w:ascii="Courier New" w:cs="Courier New" w:eastAsia="Courier New" w:hAnsi="Courier New"/>
          <w:sz w:val="14"/>
          <w:szCs w:val="14"/>
          <w:color w:val="auto"/>
        </w:rPr>
        <w:t>with respect to Restricted Shares except with respect to federal and state taxes incurred as a result of the lapsing of the Restriction Period with respect to Restricted Shares under Paragraph 3.3 ("Tax Loans"). The Key Employee will execute promissory notes in the form attached to this Agreement to evidence his obligation to repay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 As collateral to secure his obligation to repay any Tax Loan extended to him hereunder and any accrued but unpaid Interest on such Tax Loan, the Key Employee hereby (i) pledges to the Trust that number of Restricted Shares awarded to him hereunder as to which the Restriction Period has lapsed having an aggregate value which is equal on the date of the Tax Loan to 125% of the amount of such Tax Loan, and (ii) assigns to the Trust all quarterly cash or other dividends paid on such Restricted Shares.</w:t>
      </w:r>
    </w:p>
    <w:p>
      <w:pPr>
        <w:spacing w:after="0" w:line="173" w:lineRule="exact"/>
        <w:rPr>
          <w:sz w:val="20"/>
          <w:szCs w:val="20"/>
          <w:color w:val="auto"/>
        </w:rPr>
      </w:pPr>
    </w:p>
    <w:p>
      <w:pPr>
        <w:ind w:left="860" w:right="3339" w:firstLine="871"/>
        <w:spacing w:after="0" w:line="250" w:lineRule="auto"/>
        <w:tabs>
          <w:tab w:leader="none" w:pos="2066"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4(a) and</w:t>
      </w:r>
    </w:p>
    <w:p>
      <w:pPr>
        <w:spacing w:after="0" w:line="1" w:lineRule="exact"/>
        <w:rPr>
          <w:rFonts w:ascii="Courier New" w:cs="Courier New" w:eastAsia="Courier New" w:hAnsi="Courier New"/>
          <w:sz w:val="14"/>
          <w:szCs w:val="14"/>
          <w:color w:val="auto"/>
        </w:rPr>
      </w:pPr>
    </w:p>
    <w:p>
      <w:pPr>
        <w:ind w:left="860" w:right="3519" w:firstLine="10"/>
        <w:spacing w:after="0" w:line="252" w:lineRule="auto"/>
        <w:tabs>
          <w:tab w:leader="none" w:pos="129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the Income Tax Payment (in accordance with Paragraph 3.3) (the "Change in Control Tax Loan"). The Key Employee will execute a promissory note in the form attached to this Agreement to evidence his obligation to repay such Change in Control Tax Loan."</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last sentence of Paragraph 1 of the Tax Note dated March 31, 2000, made by the Key Employee in favor of the Trust is hereby amended to read in its entirety as follows: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performance of the Borrower's obligations hereunder is secured by</w:t>
      </w:r>
    </w:p>
    <w:p>
      <w:pPr>
        <w:spacing w:after="0" w:line="7" w:lineRule="exact"/>
        <w:rPr>
          <w:sz w:val="20"/>
          <w:szCs w:val="20"/>
          <w:color w:val="auto"/>
        </w:rPr>
      </w:pPr>
    </w:p>
    <w:p>
      <w:pPr>
        <w:ind w:left="1220" w:hanging="350"/>
        <w:spacing w:after="0"/>
        <w:tabs>
          <w:tab w:leader="none" w:pos="122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pledge of  that number of Shares as to which the Restriction</w:t>
      </w:r>
    </w:p>
    <w:p>
      <w:pPr>
        <w:spacing w:after="0" w:line="7" w:lineRule="exact"/>
        <w:rPr>
          <w:rFonts w:ascii="Courier New" w:cs="Courier New" w:eastAsia="Courier New" w:hAnsi="Courier New"/>
          <w:sz w:val="14"/>
          <w:szCs w:val="14"/>
          <w:color w:val="auto"/>
        </w:rPr>
      </w:pPr>
    </w:p>
    <w:p>
      <w:pPr>
        <w:ind w:left="8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has lapsed under the Restricted Share Award Agreement having an aggregate value which is equal, on the date a Loan is made, to 125% of the principal amount of the Loan, and (b) an assignment to Payee of all quarterly cash Dividends paid on such Shares sufficient to pay the Interest (as hereinafter defined) hereon."</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Amendment, unless otherwise defined herein, have the respective meanings given to such terms in the Restricted Share Agreement.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90" w:name="page91"/>
    <w:bookmarkEnd w:id="90"/>
    <w:p>
      <w:pPr>
        <w:jc w:val="both"/>
        <w:ind w:right="3339" w:firstLine="439"/>
        <w:spacing w:after="0" w:line="252" w:lineRule="auto"/>
        <w:tabs>
          <w:tab w:leader="none" w:pos="86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Restricted Share Agreement and Tax Note remain in full force and effect, and the Trust and the Key Employee hereby ratify and reaffirm each and all of the terms and provisions of the Restricted Share Agreement and Tax Note as modified hereby.</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multiple counterparts with the same effect as if each of the signing parties had signed the same document. All counterparts shall be construed together and constitute the same instrument.</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Trust has caused this Amendment to be duly executed and the Key Employee has hereunto set his hand effective as of the day and year first above written.</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7"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Name:</w:t>
        <w:tab/>
        <w:t>Mark S. Ordan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Chairman, Compensation Committee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Rockville, Maryland 20852</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DONALD C. WOOD</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55 Warwick Stone Way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Great Falls, Virginia 22066</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91" w:name="page92"/>
    <w:bookmarkEnd w:id="91"/>
    <w:p>
      <w:pPr>
        <w:jc w:val="right"/>
        <w:ind w:right="3339"/>
        <w:spacing w:after="0"/>
        <w:rPr>
          <w:sz w:val="20"/>
          <w:szCs w:val="20"/>
          <w:color w:val="auto"/>
        </w:rPr>
      </w:pPr>
      <w:r>
        <w:rPr>
          <w:rFonts w:ascii="Courier New" w:cs="Courier New" w:eastAsia="Courier New" w:hAnsi="Courier New"/>
          <w:sz w:val="14"/>
          <w:szCs w:val="14"/>
          <w:color w:val="auto"/>
        </w:rPr>
        <w:t>Exhibit 10.xxxiv</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SPLIT-DOLLAR LIFE INSURANCE AGREEMENT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SPLIT-DOLLAR LIFE INSURANCE AGREEMENT (this "Agreement") is made, entered into and effective for all purposes this 20th day of May, 1998, by and between (i) FEDERAL REALTY INVESTMENT TRUST, an unincorporated Business Trust organized under the laws of the District of Columbia ("FRIT"), (ii) THE RONALD D. KAPLAN FAMILY TRUST, a trust organized under the laws of the State of Maryland (the "Trust") acting by and through its Trustees, Lauren Heyman and Justin Heyman (collectively, the "Trustee"), and (iii) RONALD D. KAPLAN ("Executive").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Executive is the Senior Vice President - Capital Markets and Chief Investment Officer of FRIT and FRIT desires to provide life insurance protection for the Executive's family under certain circumstances, as described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Executive and FRIT have entered or intend to enter into agreements related to employment and severance, as amended (the "Employment Agreement"), whereby certain events described herein are more fully defined: and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the parties hereto desire to split the ownership rights, premiums and cash surrender value with respect to a certain life insurance policy, subject to the terms and conditions more specifically set forth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hereinafter set forth and of other good and valuable consideration, the receipt, adequacy and sufficiency of which are hereby acknowledged, the parties hereto, intending legally to be bound, do hereby agree as follows.</w:t>
      </w:r>
    </w:p>
    <w:p>
      <w:pPr>
        <w:spacing w:after="0" w:line="162" w:lineRule="exact"/>
        <w:rPr>
          <w:sz w:val="20"/>
          <w:szCs w:val="20"/>
          <w:color w:val="auto"/>
        </w:rPr>
      </w:pPr>
    </w:p>
    <w:p>
      <w:pPr>
        <w:ind w:left="860" w:hanging="421"/>
        <w:spacing w:after="0"/>
        <w:tabs>
          <w:tab w:leader="none" w:pos="8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Policy.  The life insurance policy described in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subject to the terms of this Agreement is that certain life insurance policy No.______ (the "Policy") issued by Massachusetts Mutual Life Insurance Company (the "Insurer") insuring the Executive.</w:t>
      </w:r>
    </w:p>
    <w:p>
      <w:pPr>
        <w:spacing w:after="0" w:line="163" w:lineRule="exact"/>
        <w:rPr>
          <w:sz w:val="20"/>
          <w:szCs w:val="20"/>
          <w:color w:val="auto"/>
        </w:rPr>
      </w:pPr>
    </w:p>
    <w:p>
      <w:pPr>
        <w:ind w:left="860" w:hanging="421"/>
        <w:spacing w:after="0"/>
        <w:tabs>
          <w:tab w:leader="none" w:pos="8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Policy.  Except as otherwise provided in this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Trust shall be the sole and absolute owner of the Policy, and shall retain all rights and privileges of ownership with respect thereto. Notwithstanding the foregoing, the Trust shall not borrow against the cash surrender value of the Policy (the "Cash Surrender Value").</w:t>
      </w:r>
    </w:p>
    <w:p>
      <w:pPr>
        <w:spacing w:after="0" w:line="162" w:lineRule="exact"/>
        <w:rPr>
          <w:sz w:val="20"/>
          <w:szCs w:val="20"/>
          <w:color w:val="auto"/>
        </w:rPr>
      </w:pPr>
    </w:p>
    <w:p>
      <w:pPr>
        <w:ind w:left="860" w:hanging="421"/>
        <w:spacing w:after="0"/>
        <w:tabs>
          <w:tab w:leader="none" w:pos="8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Premiums.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hanging="421"/>
        <w:spacing w:after="0"/>
        <w:tabs>
          <w:tab w:leader="none" w:pos="8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FRIT shall pay the annual premium on the Policy for a period of seven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to the Insurer for the Policy; which payment shall be made on or</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due date of each premium payment on the Policy, or within the grace period with respect thereto. Notwithstanding the preceding sentence, during such seven (7) year period, the Trust shall contribute not less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2"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than the greater of (i) the amounts set forth in Exhibit A attached hereto, or</w:t>
      </w:r>
    </w:p>
    <w:p>
      <w:pPr>
        <w:spacing w:after="0" w:line="7" w:lineRule="exact"/>
        <w:rPr>
          <w:sz w:val="20"/>
          <w:szCs w:val="20"/>
          <w:color w:val="auto"/>
        </w:rPr>
      </w:pPr>
    </w:p>
    <w:p>
      <w:pPr>
        <w:ind w:right="3599" w:firstLine="8"/>
        <w:spacing w:after="0" w:line="255" w:lineRule="auto"/>
        <w:tabs>
          <w:tab w:leader="none" w:pos="43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equal to the Economic Benefit, as defined in Revenue Rulings 64-328 and 66-110 promulgated by the Internal Revenue Service.</w:t>
      </w:r>
    </w:p>
    <w:p>
      <w:pPr>
        <w:spacing w:after="0" w:line="159"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seven (7) year period, the Trust shall have the option, but not the obligation, to continue making all or any portion of the contributions described in subparagraph 3A.</w:t>
      </w:r>
    </w:p>
    <w:p>
      <w:pPr>
        <w:spacing w:after="0" w:line="162" w:lineRule="exact"/>
        <w:rPr>
          <w:rFonts w:ascii="Courier New" w:cs="Courier New" w:eastAsia="Courier New" w:hAnsi="Courier New"/>
          <w:sz w:val="14"/>
          <w:szCs w:val="14"/>
          <w:color w:val="auto"/>
        </w:rPr>
      </w:pPr>
    </w:p>
    <w:p>
      <w:pPr>
        <w:ind w:right="3599" w:firstLine="870"/>
        <w:spacing w:after="0" w:line="255" w:lineRule="auto"/>
        <w:tabs>
          <w:tab w:leader="none" w:pos="1292"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optional contributions made by the Trust after the seventh year shall be deemed to be reimbursements made by the Trust to FRIT.</w:t>
      </w:r>
    </w:p>
    <w:p>
      <w:pPr>
        <w:spacing w:after="0" w:line="160" w:lineRule="exact"/>
        <w:rPr>
          <w:sz w:val="20"/>
          <w:szCs w:val="20"/>
          <w:color w:val="auto"/>
        </w:rPr>
      </w:pPr>
    </w:p>
    <w:p>
      <w:pPr>
        <w:ind w:left="860" w:hanging="421"/>
        <w:spacing w:after="0"/>
        <w:tabs>
          <w:tab w:leader="none" w:pos="8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 Assignment of Policy. Simultaneously with the execution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Agreement, the Trust and FRIT shall enter into a Collateral Assignment Agreement (the "Collateral Assignment"), substantially in the form of Exhibit B attached hereto and made a part hereof.</w:t>
      </w:r>
    </w:p>
    <w:p>
      <w:pPr>
        <w:spacing w:after="0" w:line="163" w:lineRule="exact"/>
        <w:rPr>
          <w:sz w:val="20"/>
          <w:szCs w:val="20"/>
          <w:color w:val="auto"/>
        </w:rPr>
      </w:pPr>
    </w:p>
    <w:p>
      <w:pPr>
        <w:ind w:left="860" w:hanging="421"/>
        <w:spacing w:after="0"/>
        <w:tabs>
          <w:tab w:leader="none" w:pos="8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Upon the occurrence of an event described in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subparagraphs 6A(5) or 6A(7) below, the Trust shall deliver a Promissory Note payable to the order of FRIT, substantially in the form of Exhibit C attached hereto and made a part hereof (the "Note"), in the amount described in subparagraphs 6A(5) or 6A(7) hereof, as the case may be. Amounts payable under the Note will be guaranteed by a personal guaranty to be delivered by the Executive dated of even date with such Note, substantially in the form of Exhibit D hereof (the "Guaranty").</w:t>
      </w:r>
    </w:p>
    <w:p>
      <w:pPr>
        <w:spacing w:after="0" w:line="164" w:lineRule="exact"/>
        <w:rPr>
          <w:sz w:val="20"/>
          <w:szCs w:val="20"/>
          <w:color w:val="auto"/>
        </w:rPr>
      </w:pPr>
    </w:p>
    <w:p>
      <w:pPr>
        <w:ind w:left="860" w:hanging="421"/>
        <w:spacing w:after="0"/>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6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This Agreement shall terminate upon the earliest to occur of any of the following events:</w:t>
      </w:r>
    </w:p>
    <w:p>
      <w:pPr>
        <w:spacing w:after="0" w:line="159" w:lineRule="exact"/>
        <w:rPr>
          <w:rFonts w:ascii="Courier New" w:cs="Courier New" w:eastAsia="Courier New" w:hAnsi="Courier New"/>
          <w:sz w:val="14"/>
          <w:szCs w:val="14"/>
          <w:color w:val="auto"/>
        </w:rPr>
      </w:pPr>
    </w:p>
    <w:p>
      <w:pPr>
        <w:ind w:left="1640" w:hanging="340"/>
        <w:spacing w:after="0"/>
        <w:tabs>
          <w:tab w:leader="none" w:pos="1640"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of the Executive;</w:t>
      </w:r>
    </w:p>
    <w:p>
      <w:pPr>
        <w:spacing w:after="0" w:line="172" w:lineRule="exact"/>
        <w:rPr>
          <w:rFonts w:ascii="Courier New" w:cs="Courier New" w:eastAsia="Courier New" w:hAnsi="Courier New"/>
          <w:sz w:val="14"/>
          <w:szCs w:val="14"/>
          <w:color w:val="auto"/>
        </w:rPr>
      </w:pPr>
    </w:p>
    <w:p>
      <w:pPr>
        <w:ind w:left="1640" w:hanging="340"/>
        <w:spacing w:after="0"/>
        <w:tabs>
          <w:tab w:leader="none" w:pos="1640"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close of the fifteenth (15th) year of the Policy;</w:t>
      </w:r>
    </w:p>
    <w:p>
      <w:pPr>
        <w:spacing w:after="0" w:line="172" w:lineRule="exact"/>
        <w:rPr>
          <w:rFonts w:ascii="Courier New" w:cs="Courier New" w:eastAsia="Courier New" w:hAnsi="Courier New"/>
          <w:sz w:val="14"/>
          <w:szCs w:val="14"/>
          <w:color w:val="auto"/>
        </w:rPr>
      </w:pPr>
    </w:p>
    <w:p>
      <w:pPr>
        <w:ind w:left="1640" w:hanging="340"/>
        <w:spacing w:after="0"/>
        <w:tabs>
          <w:tab w:leader="none" w:pos="1640"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or surrender of the Policy by the Trust;</w:t>
      </w:r>
    </w:p>
    <w:p>
      <w:pPr>
        <w:spacing w:after="0" w:line="172" w:lineRule="exact"/>
        <w:rPr>
          <w:rFonts w:ascii="Courier New" w:cs="Courier New" w:eastAsia="Courier New" w:hAnsi="Courier New"/>
          <w:sz w:val="14"/>
          <w:szCs w:val="14"/>
          <w:color w:val="auto"/>
        </w:rPr>
      </w:pPr>
    </w:p>
    <w:p>
      <w:pPr>
        <w:ind w:right="3519" w:firstLine="1300"/>
        <w:spacing w:after="0" w:line="252" w:lineRule="auto"/>
        <w:tabs>
          <w:tab w:leader="none" w:pos="1636"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by FRIT of Executive's employment for Cause (as defined in the Employment Agreement), unless there has been a Change in Control of FRIT (as defined in the Employment Agreement) within six (6) months of the termination by FRIT of the Executive's employment;</w:t>
      </w:r>
    </w:p>
    <w:p>
      <w:pPr>
        <w:spacing w:after="0" w:line="162" w:lineRule="exact"/>
        <w:rPr>
          <w:rFonts w:ascii="Courier New" w:cs="Courier New" w:eastAsia="Courier New" w:hAnsi="Courier New"/>
          <w:sz w:val="14"/>
          <w:szCs w:val="14"/>
          <w:color w:val="auto"/>
        </w:rPr>
      </w:pPr>
    </w:p>
    <w:p>
      <w:pPr>
        <w:ind w:right="3519" w:firstLine="1300"/>
        <w:spacing w:after="0" w:line="252" w:lineRule="auto"/>
        <w:tabs>
          <w:tab w:leader="none" w:pos="1636"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Executive's employment by FRIT without Cause, if the Executive has been employed by FRIT for less than five (5) years as of the date of the termination of Executive's employment;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93" w:name="page94"/>
    <w:bookmarkEnd w:id="93"/>
    <w:p>
      <w:pPr>
        <w:ind w:right="3419" w:firstLine="1300"/>
        <w:spacing w:after="0" w:line="252" w:lineRule="auto"/>
        <w:tabs>
          <w:tab w:leader="none" w:pos="1636"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resignation and/or retirement, for any reason other than Disability (as defined in the Employment Agreement), of the Executive, unless there has been a Change of Control of FRIT within six (6) months of the resignation and/or retirement;</w:t>
      </w:r>
    </w:p>
    <w:p>
      <w:pPr>
        <w:spacing w:after="0" w:line="162" w:lineRule="exact"/>
        <w:rPr>
          <w:rFonts w:ascii="Courier New" w:cs="Courier New" w:eastAsia="Courier New" w:hAnsi="Courier New"/>
          <w:sz w:val="14"/>
          <w:szCs w:val="14"/>
          <w:color w:val="auto"/>
        </w:rPr>
      </w:pPr>
    </w:p>
    <w:p>
      <w:pPr>
        <w:ind w:left="1640" w:hanging="340"/>
        <w:spacing w:after="0"/>
        <w:tabs>
          <w:tab w:leader="none" w:pos="1640"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 resignation, (ii) retirement of the Executive, or</w:t>
      </w:r>
    </w:p>
    <w:p>
      <w:pPr>
        <w:spacing w:after="0" w:line="7" w:lineRule="exact"/>
        <w:rPr>
          <w:rFonts w:ascii="Courier New" w:cs="Courier New" w:eastAsia="Courier New" w:hAnsi="Courier New"/>
          <w:sz w:val="14"/>
          <w:szCs w:val="14"/>
          <w:color w:val="auto"/>
        </w:rPr>
      </w:pPr>
    </w:p>
    <w:p>
      <w:pPr>
        <w:ind w:right="3419" w:firstLine="8"/>
        <w:spacing w:after="0" w:line="252" w:lineRule="auto"/>
        <w:tabs>
          <w:tab w:leader="none" w:pos="51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Executive's employment by FRIT; within six (6) months of a Change of Control of FRIT, if the Executive has been employed by FRIT for less than five (5) years as of the date of the Change in Control; or</w:t>
      </w:r>
    </w:p>
    <w:p>
      <w:pPr>
        <w:spacing w:after="0" w:line="162" w:lineRule="exact"/>
        <w:rPr>
          <w:rFonts w:ascii="Courier New" w:cs="Courier New" w:eastAsia="Courier New" w:hAnsi="Courier New"/>
          <w:sz w:val="14"/>
          <w:szCs w:val="14"/>
          <w:color w:val="auto"/>
        </w:rPr>
      </w:pPr>
    </w:p>
    <w:p>
      <w:pPr>
        <w:ind w:left="1640" w:hanging="340"/>
        <w:spacing w:after="0"/>
        <w:tabs>
          <w:tab w:leader="none" w:pos="1640" w:val="left"/>
        </w:tabs>
        <w:numPr>
          <w:ilvl w:val="2"/>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unilateral termination of this Agreement by the Trust.</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 6A(1) hereof, FRIT and the Trust shall promptly take all actions necessary in order to collect the death benefits payable under the Policy. Such death benefits shall be distributed as follows:</w:t>
      </w:r>
    </w:p>
    <w:p>
      <w:pPr>
        <w:spacing w:after="0" w:line="162" w:lineRule="exact"/>
        <w:rPr>
          <w:rFonts w:ascii="Courier New" w:cs="Courier New" w:eastAsia="Courier New" w:hAnsi="Courier New"/>
          <w:sz w:val="14"/>
          <w:szCs w:val="14"/>
          <w:color w:val="auto"/>
        </w:rPr>
      </w:pPr>
    </w:p>
    <w:p>
      <w:pPr>
        <w:ind w:right="3519" w:firstLine="1300"/>
        <w:spacing w:after="0" w:line="252" w:lineRule="auto"/>
        <w:tabs>
          <w:tab w:leader="none" w:pos="1636"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FRIT shall be entitled to receive that portion of the death benefits payable under the Policy which is equal to the aggregate amount of premiums paid by it under this Agreement, pursuant to paragraph 3 herein (less any prior reimbursements, if any, made by the Trust).</w:t>
      </w:r>
    </w:p>
    <w:p>
      <w:pPr>
        <w:spacing w:after="0" w:line="162" w:lineRule="exact"/>
        <w:rPr>
          <w:rFonts w:ascii="Courier New" w:cs="Courier New" w:eastAsia="Courier New" w:hAnsi="Courier New"/>
          <w:sz w:val="14"/>
          <w:szCs w:val="14"/>
          <w:color w:val="auto"/>
        </w:rPr>
      </w:pPr>
    </w:p>
    <w:p>
      <w:pPr>
        <w:ind w:right="3339" w:firstLine="1300"/>
        <w:spacing w:after="0" w:line="255" w:lineRule="auto"/>
        <w:tabs>
          <w:tab w:leader="none" w:pos="1636"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if any, of the death benefits provided under the Policy shall be paid directly to the Trust, as beneficiary under the Policy.</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from the Insurer to FRIT of the amount described in paragraph 6B(1) hereof shall constitute full and complete satisfaction of the obligations of the Trust under this Agreement. Upon receipt of this amount, FRIT shall execute any and all documents required by the Insurer or otherwise necessary to effect a release of the Collateral Assignment.</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6A(2), 6A(3), 6A(4), 6A(6) or 6A(8) hereof, the Trust shall have the obligation to repay FRIT within sixty (60) days after the date of termination, an amount equal to the aggregate amount of premiums paid by FRIT pursuant to paragraph 3 herein (less any prior reimbursements, if any, made by the Trust). Thereafter, the Trust shall become the sole owner of the Policy, and FRIT shall execute and deliver to the Trust any and all documents required by the Insurer or otherwise necessary to effect a release of the Collateral Assignment.</w:t>
      </w:r>
    </w:p>
    <w:p>
      <w:pPr>
        <w:spacing w:after="0" w:line="163" w:lineRule="exact"/>
        <w:rPr>
          <w:rFonts w:ascii="Courier New" w:cs="Courier New" w:eastAsia="Courier New" w:hAnsi="Courier New"/>
          <w:sz w:val="14"/>
          <w:szCs w:val="14"/>
          <w:color w:val="auto"/>
        </w:rPr>
      </w:pPr>
    </w:p>
    <w:p>
      <w:pPr>
        <w:ind w:right="3519" w:firstLine="870"/>
        <w:spacing w:after="0" w:line="250" w:lineRule="auto"/>
        <w:tabs>
          <w:tab w:leader="none" w:pos="1292"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6A(5) or 6A(7) hereof, the Trust shall have the obligation to repay FRIT within sixty</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 days after the date of termination, an amount equal to the aggregate amount of premiums paid by FRIT pursuant to paragraph 3 herein (less any prior reimbursements, if any, made by the Trust), in the form of a Promissory Note, pursuant to paragraph 5 above. The Trust shall become the sole owner of the Policy and FRIT and the Trust shall terminate the Collateral Assignment and shall execute and deliver to the Trust any and all documents required by the Insurer or otherwise necessary to effect a release of the Collateral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94" w:name="page95"/>
    <w:bookmarkEnd w:id="94"/>
    <w:p>
      <w:pPr>
        <w:jc w:val="both"/>
        <w:ind w:right="3679"/>
        <w:spacing w:after="0" w:line="252" w:lineRule="auto"/>
        <w:rPr>
          <w:sz w:val="20"/>
          <w:szCs w:val="20"/>
          <w:color w:val="auto"/>
        </w:rPr>
      </w:pPr>
      <w:r>
        <w:rPr>
          <w:rFonts w:ascii="Courier New" w:cs="Courier New" w:eastAsia="Courier New" w:hAnsi="Courier New"/>
          <w:sz w:val="14"/>
          <w:szCs w:val="14"/>
          <w:color w:val="auto"/>
        </w:rPr>
        <w:t>Assignment. Upon the payment of all amounts due under the Note, FRIT shall execute and deliver to the Trust any and all documents necessary to effect a cancellation of the Note and the Guaranty.</w:t>
      </w:r>
    </w:p>
    <w:p>
      <w:pPr>
        <w:spacing w:after="0" w:line="163" w:lineRule="exact"/>
        <w:rPr>
          <w:sz w:val="20"/>
          <w:szCs w:val="20"/>
          <w:color w:val="auto"/>
        </w:rPr>
      </w:pPr>
    </w:p>
    <w:p>
      <w:pPr>
        <w:ind w:left="860" w:hanging="421"/>
        <w:spacing w:after="0"/>
        <w:tabs>
          <w:tab w:leader="none" w:pos="8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Executive.  Upon the resignation and/or retirement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Executive as a result of his or her Disability, FRIT's obligation to pay such amounts toward the premiums on the Policy pursuant to paragraph 3 of this Agreement shall continue for as many years remaining in the seven (7) year period set forth in paragraph 3, as are equal to the number of full calendar years the Executive has been employed by FRIT at the time of his resignation and/or retirement. Thereafter, upon the happening of an event described in paragraph 6A(1), the rights and obligations of the Trust and FRIT shall be as set forth in paragraph 6B of the Agreement; or, upon the happening of an event described in paragraph 6A(2), 6A(3) or 6A(8), if sooner, the rights and obligations of the Trust and FRIT shall be as set forth in paragraph 6C of the Agreement.</w:t>
      </w:r>
    </w:p>
    <w:p>
      <w:pPr>
        <w:spacing w:after="0" w:line="163" w:lineRule="exact"/>
        <w:rPr>
          <w:sz w:val="20"/>
          <w:szCs w:val="20"/>
          <w:color w:val="auto"/>
        </w:rPr>
      </w:pPr>
    </w:p>
    <w:p>
      <w:pPr>
        <w:ind w:left="860" w:hanging="421"/>
        <w:spacing w:after="0"/>
        <w:tabs>
          <w:tab w:leader="none" w:pos="8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Insurer Not a Party.  Insurer shall be fully discharged from any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 liability under the Policy upon payment of the death benefits payable under the Policy or performance of its other obligations in accordance with the terms and conditions of the Policy. In no event shall Insurer be deemed to be a party to this Agreement, or any modification or amendment hereof.</w:t>
      </w:r>
    </w:p>
    <w:p>
      <w:pPr>
        <w:spacing w:after="0" w:line="162" w:lineRule="exact"/>
        <w:rPr>
          <w:sz w:val="20"/>
          <w:szCs w:val="20"/>
          <w:color w:val="auto"/>
        </w:rPr>
      </w:pPr>
    </w:p>
    <w:p>
      <w:pPr>
        <w:ind w:left="860" w:hanging="421"/>
        <w:spacing w:after="0"/>
        <w:tabs>
          <w:tab w:leader="none" w:pos="8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Agreement.  This Agreement may not be amended, altered or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except by a writing signed by all of the parties to this Agreement.</w:t>
      </w:r>
    </w:p>
    <w:p>
      <w:pPr>
        <w:spacing w:after="0" w:line="173" w:lineRule="exact"/>
        <w:rPr>
          <w:sz w:val="20"/>
          <w:szCs w:val="20"/>
          <w:color w:val="auto"/>
        </w:rPr>
      </w:pPr>
    </w:p>
    <w:p>
      <w:pPr>
        <w:ind w:left="860" w:hanging="421"/>
        <w:spacing w:after="0"/>
        <w:tabs>
          <w:tab w:leader="none" w:pos="8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Agreement.  Subject to the terms of the Collateral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Assignment and the provisions of paragraph 2 hereof, the Trust shall have the right at any time to assign or transfer any or all of its interest in the Policy and this Agreement to any person or entity, by execution of a written assignment delivered to FRIT and to Insurer.</w:t>
      </w:r>
    </w:p>
    <w:p>
      <w:pPr>
        <w:spacing w:after="0" w:line="162" w:lineRule="exact"/>
        <w:rPr>
          <w:sz w:val="20"/>
          <w:szCs w:val="20"/>
          <w:color w:val="auto"/>
        </w:rPr>
      </w:pPr>
    </w:p>
    <w:p>
      <w:pPr>
        <w:ind w:left="860" w:hanging="421"/>
        <w:spacing w:after="0"/>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Not Liable.  The parties hereto hereby acknowledge that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Trustee shall act hereunder solely as the trustee for the Trust, and shall not be personally liable or responsible in any manner whatsoever for any amounts payable by any party hereunder.</w:t>
      </w:r>
    </w:p>
    <w:p>
      <w:pPr>
        <w:spacing w:after="0" w:line="163" w:lineRule="exact"/>
        <w:rPr>
          <w:sz w:val="20"/>
          <w:szCs w:val="20"/>
          <w:color w:val="auto"/>
        </w:rPr>
      </w:pPr>
    </w:p>
    <w:p>
      <w:pPr>
        <w:ind w:left="860" w:hanging="421"/>
        <w:spacing w:after="0"/>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and Burdens.  This Agreement shall be binding upon, and shall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inure to the benefit of, (i) FRIT and the Trust, and their successors and assigns, and (ii) the Executive, and his executors or administrators, heirs, legatees, assigns and personal and legal representatives.</w:t>
      </w:r>
    </w:p>
    <w:p>
      <w:pPr>
        <w:spacing w:after="0" w:line="163" w:lineRule="exact"/>
        <w:rPr>
          <w:sz w:val="20"/>
          <w:szCs w:val="20"/>
          <w:color w:val="auto"/>
        </w:rPr>
      </w:pPr>
    </w:p>
    <w:p>
      <w:pPr>
        <w:ind w:left="860" w:hanging="421"/>
        <w:spacing w:after="0"/>
        <w:tabs>
          <w:tab w:leader="none" w:pos="8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provided for herein shall be sufficient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in writing, and sent by recognized overnight courier or hand delivery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therefor) or by certified or registered mail (return receipt requested</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4"/>
          <w:szCs w:val="14"/>
          <w:color w:val="auto"/>
        </w:rPr>
        <w:t>and first-class postage prepaid), as follows: (i)</w:t>
        <w:tab/>
        <w:t>in the case of FRIT, to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office, (ii) in the case of Executive, to his address as shown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FRIT's records, and (iii) in the case of the Trust, to the Trustee c/o Lauren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Heyman, 7909 Greentree Road, Bethesda,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Maryland 20817.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95" w:name="page96"/>
    <w:bookmarkEnd w:id="95"/>
    <w:p>
      <w:pPr>
        <w:ind w:left="860" w:hanging="421"/>
        <w:spacing w:after="0"/>
        <w:tabs>
          <w:tab w:leader="none" w:pos="8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shall be deemed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severable, and the invalidity or unenforceability of any one or more of the provisions hereof shall not affect the validity and enforceability of the other provisions hereof.</w:t>
      </w:r>
    </w:p>
    <w:p>
      <w:pPr>
        <w:spacing w:after="0" w:line="163" w:lineRule="exact"/>
        <w:rPr>
          <w:sz w:val="20"/>
          <w:szCs w:val="20"/>
          <w:color w:val="auto"/>
        </w:rPr>
      </w:pPr>
    </w:p>
    <w:p>
      <w:pPr>
        <w:ind w:left="860" w:hanging="421"/>
        <w:spacing w:after="0"/>
        <w:tabs>
          <w:tab w:leader="none" w:pos="8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or other captions contained in this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are for convenience of reference only and shall not be used in interpreting, construing or enforcing any of the provisions of this Agreement.</w:t>
      </w:r>
    </w:p>
    <w:p>
      <w:pPr>
        <w:spacing w:after="0" w:line="160" w:lineRule="exact"/>
        <w:rPr>
          <w:sz w:val="20"/>
          <w:szCs w:val="20"/>
          <w:color w:val="auto"/>
        </w:rPr>
      </w:pPr>
    </w:p>
    <w:p>
      <w:pPr>
        <w:ind w:left="860" w:hanging="421"/>
        <w:spacing w:after="0"/>
        <w:tabs>
          <w:tab w:leader="none" w:pos="8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the laws of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State of Maryland, without giving effect to its conflict of laws provisions, except to the extent preempted by Federal law.</w:t>
      </w:r>
    </w:p>
    <w:p>
      <w:pPr>
        <w:spacing w:after="0" w:line="160" w:lineRule="exact"/>
        <w:rPr>
          <w:sz w:val="20"/>
          <w:szCs w:val="20"/>
          <w:color w:val="auto"/>
        </w:rPr>
      </w:pPr>
    </w:p>
    <w:p>
      <w:pPr>
        <w:ind w:left="860" w:hanging="421"/>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of FRIT.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obligations of FRIT under this Agreement shall be limited to the payment of premiums described in paragraph 3 above, and FRIT does not have or assume any liability or responsibility with respect to the obligations of the Insurer under the Policy or otherwise. Without limiting the generality of the foregoing, it is specifically provided that in the event of insolvency or other default of payment by either the Insurer or the Trust, FRIT shall have no responsibility to make any payment to the Trust, the Executive or any other person or entity. Any person or entity claiming entitlement to payments under the Policy may look only to the assets of the Insurer, and any person or entity claiming entitlement to payments under the Trust may look only to the assets of the Trust.</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"FEDERAL REALTY INVESTMENT TRUST" refers to the Trustees of FRIT, as Trustees, but not individually or personally, under a Third Amended and Restated Declaration of Trust on file in the office of the Recorder of Deeds of the District of Columbia, which Declaration provides that neither the shareholders nor said Trustees, or any officer, employee, representative or agent of FRIT shall be personally liable for the satisfaction of obligations of any nature whatsoever of FRIT. Accordingly, in addition to the other limitations on liability set forth herein, specifically, subparagraph 17A above, Executive and Trust agree to look solely to FRIT's trust property for the satisfaction of any claim arising from this Agreement and shall not seek to impose personal liability on any shareholder, Trustee, officer, employee, representative or agent of FRIT.</w:t>
      </w:r>
    </w:p>
    <w:p>
      <w:pPr>
        <w:spacing w:after="0" w:line="328"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Exhibits hereto set forth</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of the promises, agreements and understandings of the parties hereto with respect to the matters described herein, and there are no promises, agreements or understandings, oral or written, express or implied, between them with respect to such matters other than as set forth herein. Any and all prior promises, agreements and understandings between the parties hereto with respect to the matters described herein are hereby revoked.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96" w:name="page97"/>
    <w:bookmarkEnd w:id="96"/>
    <w:p>
      <w:pPr>
        <w:ind w:left="860" w:hanging="421"/>
        <w:spacing w:after="0"/>
        <w:tabs>
          <w:tab w:leader="none" w:pos="8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counterparts, each of which shall be deemed an original, but all of which together shall constitute one and the same instrument.</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FRIT, the Trust and Executive have executed this Agreement as of the day and year first above written.</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an unincorporated Business Trust organized under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laws of the District of Columbia</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TRUST: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RONALD D. KAPLAN FAMILY TRUST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Lauren Heyman, Trustee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Justin Heyman, Trustee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_______________________________</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Ronald D. Kaplan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97" w:name="page98"/>
    <w:bookmarkEnd w:id="97"/>
    <w:p>
      <w:pPr>
        <w:jc w:val="right"/>
        <w:ind w:right="3339"/>
        <w:spacing w:after="0"/>
        <w:rPr>
          <w:sz w:val="20"/>
          <w:szCs w:val="20"/>
          <w:color w:val="auto"/>
        </w:rPr>
      </w:pPr>
      <w:r>
        <w:rPr>
          <w:rFonts w:ascii="Courier New" w:cs="Courier New" w:eastAsia="Courier New" w:hAnsi="Courier New"/>
          <w:sz w:val="14"/>
          <w:szCs w:val="14"/>
          <w:color w:val="auto"/>
        </w:rPr>
        <w:t>Exhibit 10.xxxv</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SPLIT-DOLLAR LIFE INSURANCE AGREEMENT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SPLIT-DOLLAR LIFE INSURANCE AGREEMENT (this "Agreement") is made, entered into and effective for all purposes this 7th day of June, 1998, by and between (i) FEDERAL REALTY INVESTMENT TRUST, an unincorporated Business Trust organized under the laws of the District of Columbia ("FRIT"), (ii) THE GUTTMAN FAMILY 1998 TRUST, a trust organized under the laws of the State of Maryland (the "Trust") acting by and through its Trustees, Ron Kaplan, Evan Novenstein and Robert Tanenbaum (collectively, the "Trustee"), and (iii) STEVEN J. GUTTMAN ("Executive").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Executive is the President and Chief Executive Officer of FRIT and FRIT desires to provide life insurance protection for the Executive's family under certain circumstances, as described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Executive and FRIT have entered or intend to enter into agreements related to employment and severance, as amended (the "Employment Agreement"), whereby certain events described herein are more fully defined: and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the parties hereto desire to split the ownership rights, premiums and cash surrender value with respect to a certain life insurance policy, subject to the terms and conditions more specifically set forth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hereinafter set forth and of other good and valuable consideration, the receipt, adequacy and sufficiency of which are hereby acknowledged, the parties hereto, intending legally to be bound, do hereby agree as follows.</w:t>
      </w:r>
    </w:p>
    <w:p>
      <w:pPr>
        <w:spacing w:after="0" w:line="162" w:lineRule="exact"/>
        <w:rPr>
          <w:sz w:val="20"/>
          <w:szCs w:val="20"/>
          <w:color w:val="auto"/>
        </w:rPr>
      </w:pPr>
    </w:p>
    <w:p>
      <w:pPr>
        <w:ind w:left="860" w:hanging="421"/>
        <w:spacing w:after="0"/>
        <w:tabs>
          <w:tab w:leader="none" w:pos="8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Policy.  The life insurance policy described in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subject to the terms of this Agreement is that certain life insurance policy No.______ (the "Policy") issued by Massachusetts Mutual Life Insurance Company (the "Insurer") insuring the Executive.</w:t>
      </w:r>
    </w:p>
    <w:p>
      <w:pPr>
        <w:spacing w:after="0" w:line="163" w:lineRule="exact"/>
        <w:rPr>
          <w:sz w:val="20"/>
          <w:szCs w:val="20"/>
          <w:color w:val="auto"/>
        </w:rPr>
      </w:pPr>
    </w:p>
    <w:p>
      <w:pPr>
        <w:ind w:left="860" w:hanging="421"/>
        <w:spacing w:after="0"/>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Policy.  Except as otherwise provided in this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Trust shall be the sole and absolute owner of the Policy, and shall retain all rights and privileges of ownership with respect thereto. Notwithstanding the foregoing, the Trust shall not borrow against the cash surrender value of the Policy (the "Cash Surrender Value").</w:t>
      </w:r>
    </w:p>
    <w:p>
      <w:pPr>
        <w:spacing w:after="0" w:line="162" w:lineRule="exact"/>
        <w:rPr>
          <w:sz w:val="20"/>
          <w:szCs w:val="20"/>
          <w:color w:val="auto"/>
        </w:rPr>
      </w:pPr>
    </w:p>
    <w:p>
      <w:pPr>
        <w:ind w:left="860" w:hanging="421"/>
        <w:spacing w:after="0"/>
        <w:tabs>
          <w:tab w:leader="none" w:pos="86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Premiums.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6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FRIT shall pay the annual premium on the Policy for a period of seven (7) years to the Insurer for the Policy; which payment shall be made on or before the due date of each premium payment on the Policy, or within the grace period with respect thereto. Notwithstanding the preceding sentence, during such seven (7) year period, the Trust shall contribute not less than the greater of</w:t>
      </w:r>
    </w:p>
    <w:p>
      <w:pPr>
        <w:spacing w:after="0" w:line="2"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set forth in Exhibit A attached hereto, or (ii) the amounts equal to the Economic Benefit, as defined in Revenue Rulings 64-328 and 66-110 promulgated by the Internal Revenue Service.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98" w:name="page99"/>
    <w:bookmarkEnd w:id="98"/>
    <w:p>
      <w:pPr>
        <w:ind w:right="3679" w:firstLine="870"/>
        <w:spacing w:after="0" w:line="252" w:lineRule="auto"/>
        <w:tabs>
          <w:tab w:leader="none" w:pos="129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seven (7) year period, the Trust shall have the option, but not the obligation, to continue making all or any portion of the contributions described in subparagraph 3A.</w:t>
      </w:r>
    </w:p>
    <w:p>
      <w:pPr>
        <w:spacing w:after="0" w:line="162" w:lineRule="exact"/>
        <w:rPr>
          <w:rFonts w:ascii="Courier New" w:cs="Courier New" w:eastAsia="Courier New" w:hAnsi="Courier New"/>
          <w:sz w:val="14"/>
          <w:szCs w:val="14"/>
          <w:color w:val="auto"/>
        </w:rPr>
      </w:pPr>
    </w:p>
    <w:p>
      <w:pPr>
        <w:ind w:right="3599" w:firstLine="870"/>
        <w:spacing w:after="0" w:line="255" w:lineRule="auto"/>
        <w:tabs>
          <w:tab w:leader="none" w:pos="129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optional contributions made by the Trust after the seventh year shall be deemed to be reimbursements made by the Trust to FRIT.</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 Assignment of Policy. Simultaneously with the execution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Agreement, the Trust and FRIT shall enter into a Collateral Assignment Agreement (the "Collateral Assignment"), substantially in the form of Exhibit B attached hereto and made a part hereof.</w:t>
      </w:r>
    </w:p>
    <w:p>
      <w:pPr>
        <w:spacing w:after="0" w:line="163" w:lineRule="exact"/>
        <w:rPr>
          <w:sz w:val="20"/>
          <w:szCs w:val="20"/>
          <w:color w:val="auto"/>
        </w:rPr>
      </w:pPr>
    </w:p>
    <w:p>
      <w:pPr>
        <w:ind w:left="860" w:hanging="421"/>
        <w:spacing w:after="0"/>
        <w:tabs>
          <w:tab w:leader="none" w:pos="8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Upon the occurrence of an event described in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subparagraphs 6A(5) or 6A(7) below, the Trust shall deliver a Promissory Note payable to the order of FRIT, substantially in the form of Exhibit C attached hereto and made a part hereof (the "Note"), in the amount described in subparagraphs 6A(5) or 6A(7) hereof, as the case may be. Amounts payable under the Note will be guaranteed by a personal guaranty to be delivered by the Executive dated of even date with such Note, substantially in the form of Exhibit D hereof (the "Guaranty").</w:t>
      </w:r>
    </w:p>
    <w:p>
      <w:pPr>
        <w:spacing w:after="0" w:line="164" w:lineRule="exact"/>
        <w:rPr>
          <w:sz w:val="20"/>
          <w:szCs w:val="20"/>
          <w:color w:val="auto"/>
        </w:rPr>
      </w:pPr>
    </w:p>
    <w:p>
      <w:pPr>
        <w:ind w:left="860" w:hanging="421"/>
        <w:spacing w:after="0"/>
        <w:tabs>
          <w:tab w:leader="none" w:pos="8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6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This Agreement shall terminate upon the earliest to occur of any of the following events:</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of the Executive;</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close of the fifteenth (15th) year of the Policy;</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or surrender of the Policy by the Trust;</w:t>
      </w:r>
    </w:p>
    <w:p>
      <w:pPr>
        <w:spacing w:after="0" w:line="172"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by FRIT of Executive's employment for Cause (as defined in the Employment Agreement), unless there has been a Change in Control of FRIT (as defined in the Employment Agreement) within six (6) months of the termination by FRIT of the Executive's employment;</w:t>
      </w:r>
    </w:p>
    <w:p>
      <w:pPr>
        <w:spacing w:after="0" w:line="162" w:lineRule="exact"/>
        <w:rPr>
          <w:rFonts w:ascii="Courier New" w:cs="Courier New" w:eastAsia="Courier New" w:hAnsi="Courier New"/>
          <w:sz w:val="14"/>
          <w:szCs w:val="14"/>
          <w:color w:val="auto"/>
        </w:rPr>
      </w:pPr>
    </w:p>
    <w:p>
      <w:pPr>
        <w:ind w:right="3519" w:firstLine="1300"/>
        <w:spacing w:after="0" w:line="252" w:lineRule="auto"/>
        <w:tabs>
          <w:tab w:leader="none" w:pos="1723"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Executive's employment by FRIT without Cause, if the Executive has been employed by FRIT for less than five (5) years as of the date of the termination of Executive's employment;</w:t>
      </w:r>
    </w:p>
    <w:p>
      <w:pPr>
        <w:spacing w:after="0" w:line="162"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resignation and/or retirement, for any reason other than Disability (as defined in the Employment Agreement), of the Executive, unless there has been a Change of Control of FRIT within six (6) months of the resignation and/or retirement;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99" w:name="page100"/>
    <w:bookmarkEnd w:id="99"/>
    <w:p>
      <w:pPr>
        <w:ind w:left="1640" w:hanging="340"/>
        <w:spacing w:after="0"/>
        <w:tabs>
          <w:tab w:leader="none" w:pos="1640"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 resignation, (ii) retirement of the Executive, or</w:t>
      </w:r>
    </w:p>
    <w:p>
      <w:pPr>
        <w:spacing w:after="0" w:line="7" w:lineRule="exact"/>
        <w:rPr>
          <w:rFonts w:ascii="Courier New" w:cs="Courier New" w:eastAsia="Courier New" w:hAnsi="Courier New"/>
          <w:sz w:val="14"/>
          <w:szCs w:val="14"/>
          <w:color w:val="auto"/>
        </w:rPr>
      </w:pPr>
    </w:p>
    <w:p>
      <w:pPr>
        <w:ind w:right="3419" w:firstLine="8"/>
        <w:spacing w:after="0" w:line="252" w:lineRule="auto"/>
        <w:tabs>
          <w:tab w:leader="none" w:pos="51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Executive's employment by FRIT; within six (6) months of a Change of Control of FRIT, if the Executive has been employed by FRIT for less than five (5) years as of the date of the Change in Control; or</w:t>
      </w:r>
    </w:p>
    <w:p>
      <w:pPr>
        <w:spacing w:after="0" w:line="162" w:lineRule="exact"/>
        <w:rPr>
          <w:rFonts w:ascii="Courier New" w:cs="Courier New" w:eastAsia="Courier New" w:hAnsi="Courier New"/>
          <w:sz w:val="14"/>
          <w:szCs w:val="14"/>
          <w:color w:val="auto"/>
        </w:rPr>
      </w:pPr>
    </w:p>
    <w:p>
      <w:pPr>
        <w:ind w:left="1640" w:hanging="340"/>
        <w:spacing w:after="0"/>
        <w:tabs>
          <w:tab w:leader="none" w:pos="1640"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unilateral termination of this Agreement by the Trust.</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 6A(1) hereof, FRIT and the Trust shall promptly take all actions necessary in order to collect the death benefits payable under the Policy. Such death benefits shall be distributed as follows:</w:t>
      </w:r>
    </w:p>
    <w:p>
      <w:pPr>
        <w:spacing w:after="0" w:line="162"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FRIT shall be entitled to receive that portion of the death benefits payable under the Policy which is equal to the aggregate amount of premiums paid by it under this Agreement, pursuant to paragraph 3 herein (less any prior reimbursements, if any, made by the Trust).</w:t>
      </w:r>
    </w:p>
    <w:p>
      <w:pPr>
        <w:spacing w:after="0" w:line="162" w:lineRule="exact"/>
        <w:rPr>
          <w:rFonts w:ascii="Courier New" w:cs="Courier New" w:eastAsia="Courier New" w:hAnsi="Courier New"/>
          <w:sz w:val="14"/>
          <w:szCs w:val="14"/>
          <w:color w:val="auto"/>
        </w:rPr>
      </w:pPr>
    </w:p>
    <w:p>
      <w:pPr>
        <w:ind w:right="3339" w:firstLine="1300"/>
        <w:spacing w:after="0" w:line="255" w:lineRule="auto"/>
        <w:tabs>
          <w:tab w:leader="none" w:pos="1636"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if any, of the death benefits provided under the Policy shall be paid directly to the Trust, as beneficiary under the Policy.</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from the Insurer to FRIT of the amount described in paragraph 6B(1) hereof shall constitute full and complete satisfaction of the obligations of the Trust under this Agreement. Upon receipt of this amount, FRIT shall execute any and all documents required by the Insurer or otherwise necessary to effect a release of the Collateral Assignment.</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6A(2), 6A(3), 6A(4), 6A(6) or 6A(8) hereof, the Trust shall have the obligation to repay FRIT within sixty (60) days after the date of termination, an amount equal to the aggregate amount of premiums paid by FRIT pursuant to paragraph 3 herein (less any prior reimbursements, if any, made by the Trust). Thereafter, the Trust shall become the sole owner of the Policy, and FRIT shall execute and deliver to the Trust any and all documents required by the Insurer or otherwise necessary to effect a release of the Collateral Assignment.</w:t>
      </w:r>
    </w:p>
    <w:p>
      <w:pPr>
        <w:spacing w:after="0" w:line="163" w:lineRule="exact"/>
        <w:rPr>
          <w:rFonts w:ascii="Courier New" w:cs="Courier New" w:eastAsia="Courier New" w:hAnsi="Courier New"/>
          <w:sz w:val="14"/>
          <w:szCs w:val="14"/>
          <w:color w:val="auto"/>
        </w:rPr>
      </w:pPr>
    </w:p>
    <w:p>
      <w:pPr>
        <w:ind w:right="3519" w:firstLine="870"/>
        <w:spacing w:after="0" w:line="250" w:lineRule="auto"/>
        <w:tabs>
          <w:tab w:leader="none" w:pos="1292"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6A(5) or 6A(7) hereof, the Trust shall have the obligation to repay FRIT within sixty</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 days after the date of termination, an amount equal to the aggregate amount of premiums paid by FRIT pursuant to paragraph 3 herein (less any prior reimbursements, if any, made by the Trust), in the form of a Promissory Note, pursuant to paragraph 5 above. The Trust shall become the sole owner of the Policy and FRIT and the Trust shall terminate the Collateral Assignment and shall execute and deliver to the Trust any and all documents required by the Insurer or otherwise necessary to effect a release of the Collateral Assignment. Upon the payment of all amounts due under the Note, FRIT shall execute and deliver to the Trust any and all documents necessary to effect a cancellation of the Note and the Guaranty.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0" w:name="page101"/>
    <w:bookmarkEnd w:id="100"/>
    <w:p>
      <w:pPr>
        <w:ind w:left="860" w:hanging="421"/>
        <w:spacing w:after="0"/>
        <w:tabs>
          <w:tab w:leader="none" w:pos="8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Executive.  Upon the resignation and/or retirement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Executive as a result of his or her Disability, FRIT's obligation to pay such amounts toward the premiums on the Policy pursuant to paragraph 3 of this Agreement shall continue for as many years remaining in the seven (7) year period set forth in paragraph 3, as are equal to the number of full calendar years the Executive has been employed by FRIT at the time of his resignation and/or retirement. Thereafter, upon the happening of an event described in paragraph 6A(1), the rights and obligations of the Trust and FRIT shall be as set forth in paragraph 6B of the Agreement; or, upon the happening of an event described in paragraph 6A(2), 6A(3) or 6A(8), if sooner, the rights and obligations of the Trust and FRIT shall be as set forth in paragraph 6C of the Agreement.</w:t>
      </w:r>
    </w:p>
    <w:p>
      <w:pPr>
        <w:spacing w:after="0" w:line="163" w:lineRule="exact"/>
        <w:rPr>
          <w:sz w:val="20"/>
          <w:szCs w:val="20"/>
          <w:color w:val="auto"/>
        </w:rPr>
      </w:pPr>
    </w:p>
    <w:p>
      <w:pPr>
        <w:ind w:left="860" w:hanging="421"/>
        <w:spacing w:after="0"/>
        <w:tabs>
          <w:tab w:leader="none" w:pos="8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Insurer Not a Party.  Insurer shall be fully discharged from any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 liability under the Policy upon payment of the death benefits payable under the Policy or performance of its other obligations in accordance with the terms and conditions of the Policy. In no event shall Insurer be deemed to be a party to this Agreement, or any modification or amendment hereof.</w:t>
      </w:r>
    </w:p>
    <w:p>
      <w:pPr>
        <w:spacing w:after="0" w:line="162" w:lineRule="exact"/>
        <w:rPr>
          <w:sz w:val="20"/>
          <w:szCs w:val="20"/>
          <w:color w:val="auto"/>
        </w:rPr>
      </w:pPr>
    </w:p>
    <w:p>
      <w:pPr>
        <w:ind w:left="860" w:hanging="421"/>
        <w:spacing w:after="0"/>
        <w:tabs>
          <w:tab w:leader="none" w:pos="8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Agreement.  This Agreement may not be amended, altered or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except by a writing signed by all of the parties to this Agreement.</w:t>
      </w:r>
    </w:p>
    <w:p>
      <w:pPr>
        <w:spacing w:after="0" w:line="173" w:lineRule="exact"/>
        <w:rPr>
          <w:sz w:val="20"/>
          <w:szCs w:val="20"/>
          <w:color w:val="auto"/>
        </w:rPr>
      </w:pPr>
    </w:p>
    <w:p>
      <w:pPr>
        <w:ind w:left="860" w:hanging="421"/>
        <w:spacing w:after="0"/>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Agreement.  Subject to the terms of the Collateral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Assignment and the provisions of paragraph 2 hereof, the Trust shall have the right at any time to assign or transfer any or all of its interest in the Policy and this Agreement to any person or entity, by execution of a written assignment delivered to FRIT and to Insurer.</w:t>
      </w:r>
    </w:p>
    <w:p>
      <w:pPr>
        <w:spacing w:after="0" w:line="162" w:lineRule="exact"/>
        <w:rPr>
          <w:sz w:val="20"/>
          <w:szCs w:val="20"/>
          <w:color w:val="auto"/>
        </w:rPr>
      </w:pPr>
    </w:p>
    <w:p>
      <w:pPr>
        <w:ind w:left="860" w:hanging="421"/>
        <w:spacing w:after="0"/>
        <w:tabs>
          <w:tab w:leader="none" w:pos="8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Not Liable.  The parties hereto hereby acknowledge that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Trustee shall act hereunder solely as the trustee for the Trust, and shall not be personally liable or responsible in any manner whatsoever for any amounts payable by any party hereunder.</w:t>
      </w:r>
    </w:p>
    <w:p>
      <w:pPr>
        <w:spacing w:after="0" w:line="163" w:lineRule="exact"/>
        <w:rPr>
          <w:sz w:val="20"/>
          <w:szCs w:val="20"/>
          <w:color w:val="auto"/>
        </w:rPr>
      </w:pPr>
    </w:p>
    <w:p>
      <w:pPr>
        <w:ind w:left="860" w:hanging="421"/>
        <w:spacing w:after="0"/>
        <w:tabs>
          <w:tab w:leader="none" w:pos="8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and Burdens.  This Agreement shall be binding upon, and shall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inure to the benefit of, (i) FRIT and the Trust, and their successors and assigns, and (ii) the Executive, and his executors or administrators, heirs, legatees, assigns and personal and legal representatives.</w:t>
      </w:r>
    </w:p>
    <w:p>
      <w:pPr>
        <w:spacing w:after="0" w:line="163" w:lineRule="exact"/>
        <w:rPr>
          <w:sz w:val="20"/>
          <w:szCs w:val="20"/>
          <w:color w:val="auto"/>
        </w:rPr>
      </w:pPr>
    </w:p>
    <w:p>
      <w:pPr>
        <w:ind w:left="860" w:hanging="421"/>
        <w:spacing w:after="0"/>
        <w:tabs>
          <w:tab w:leader="none" w:pos="8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provided for herein shall be sufficient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if in writing, and sent by recognized overnight courier or hand delivery (with receipt therefor) or by certified or registered mail (return receipt requested and first-class postage prepaid), as follows: (i) in the case of FRIT, to its principal office, (ii) in the case of Executive, to his address as shown on FRIT's records, and (iii) in the case of the Trust, to the Trustee c/o Evan Novenstein, 8720 Harness Trail, Potomac, Maryland 20854.</w:t>
      </w:r>
    </w:p>
    <w:p>
      <w:pPr>
        <w:spacing w:after="0" w:line="164" w:lineRule="exact"/>
        <w:rPr>
          <w:sz w:val="20"/>
          <w:szCs w:val="20"/>
          <w:color w:val="auto"/>
        </w:rPr>
      </w:pPr>
    </w:p>
    <w:p>
      <w:pPr>
        <w:ind w:left="860" w:hanging="421"/>
        <w:spacing w:after="0"/>
        <w:tabs>
          <w:tab w:leader="none" w:pos="8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shall be deemed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severable, and the invalidity or unenforceability of any one or more of the provisions hereof shall not affect the validity and enforceability of the other provisions 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1" w:name="page102"/>
    <w:bookmarkEnd w:id="101"/>
    <w:p>
      <w:pPr>
        <w:ind w:left="860" w:hanging="421"/>
        <w:spacing w:after="0"/>
        <w:tabs>
          <w:tab w:leader="none" w:pos="8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or other captions contained in this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Agreement are for convenience of reference only and shall not be used in interpreting, construing or enforcing any of the provisions of this Agreement.</w:t>
      </w:r>
    </w:p>
    <w:p>
      <w:pPr>
        <w:spacing w:after="0" w:line="160" w:lineRule="exact"/>
        <w:rPr>
          <w:sz w:val="20"/>
          <w:szCs w:val="20"/>
          <w:color w:val="auto"/>
        </w:rPr>
      </w:pPr>
    </w:p>
    <w:p>
      <w:pPr>
        <w:ind w:left="860" w:hanging="421"/>
        <w:spacing w:after="0"/>
        <w:tabs>
          <w:tab w:leader="none" w:pos="8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the laws of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State of Maryland, without giving effect to its conflict of laws provisions, except to the extent preempted by Federal law.</w:t>
      </w:r>
    </w:p>
    <w:p>
      <w:pPr>
        <w:spacing w:after="0" w:line="160" w:lineRule="exact"/>
        <w:rPr>
          <w:sz w:val="20"/>
          <w:szCs w:val="20"/>
          <w:color w:val="auto"/>
        </w:rPr>
      </w:pPr>
    </w:p>
    <w:p>
      <w:pPr>
        <w:ind w:left="860" w:hanging="421"/>
        <w:spacing w:after="0"/>
        <w:tabs>
          <w:tab w:leader="none" w:pos="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of FRIT.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obligations of FRIT under this Agreement shall be limited to the payment of premiums described in paragraph 3 above, and FRIT does not have or assume any liability or responsibility with respect to the obligations of the Insurer under the Policy or otherwise. Without limiting the generality of the foregoing, it is specifically provided that in the event of insolvency or other default of payment by either the Insurer or the Trust, FRIT shall have no responsibility to make any payment to the Trust, the Executive or any other person or entity. Any person or entity claiming entitlement to payments under the Policy may look only to the assets of the Insurer, and any person or entity claiming entitlement to payments under the Trust may look only to the assets of the Trust.</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"FEDERAL REALTY INVESTMENT TRUST" refers to the Trustees of FRIT, as Trustees, but not individually or personally, under a Third Amended and Restated Declaration of Trust on file in the office of the Recorder of Deeds of the District of Columbia, which Declaration provides that neither the shareholders nor said Trustees, or any officer, employee, representative or agent of FRIT shall be personally liable for the satisfaction of obligations of any nature whatsoever of FRIT. Accordingly, in addition to the other limitations on liability set forth herein, specifically, subparagraph 17A above, Executive and Trust agree to look solely to FRIT's trust property for the satisfaction of any claim arising from this Agreement and shall not seek to impose personal liability on any shareholder, Trustee, officer, employee, representative or agent of FRIT.</w:t>
      </w:r>
    </w:p>
    <w:p>
      <w:pPr>
        <w:spacing w:after="0" w:line="328"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Exhibits hereto set forth</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of the promises, agreements and understandings of the parties hereto with respect to the matters described herein, and there are no promises, agreements or understandings, oral or written, express or implied, between them with respect to such matters other than as set forth herein. Any and all prior promises, agreements and understandings between the parties hereto with respect to the matters described herein are hereby revoked.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2" w:name="page103"/>
    <w:bookmarkEnd w:id="102"/>
    <w:p>
      <w:pPr>
        <w:ind w:left="860" w:hanging="421"/>
        <w:spacing w:after="0"/>
        <w:tabs>
          <w:tab w:leader="none" w:pos="8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counterparts, each of which shall be deemed an original, but all of which together shall constitute one and the same instrument.</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FRIT, the Trust and Executive have executed this Agreement as of the day and year first above written.</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an unincorporated Business Trust organized under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laws of the District of Columbia</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Title:___________________________________</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TRUST: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GUTTMAN FAMILY 1998 TRUST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Evan Novenstein, Trustee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_______________________________</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Steven J. Guttman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3" w:name="page104"/>
    <w:bookmarkEnd w:id="103"/>
    <w:p>
      <w:pPr>
        <w:jc w:val="right"/>
        <w:ind w:right="3339"/>
        <w:spacing w:after="0"/>
        <w:rPr>
          <w:sz w:val="20"/>
          <w:szCs w:val="20"/>
          <w:color w:val="auto"/>
        </w:rPr>
      </w:pPr>
      <w:r>
        <w:rPr>
          <w:rFonts w:ascii="Courier New" w:cs="Courier New" w:eastAsia="Courier New" w:hAnsi="Courier New"/>
          <w:sz w:val="14"/>
          <w:szCs w:val="14"/>
          <w:color w:val="auto"/>
        </w:rPr>
        <w:t>Exhibit 10.xxxvi</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SPLIT-DOLLAR LIFE INSURANCE AGREEMENT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SPLIT-DOLLAR LIFE INSURANCE AGREEMENT (this "Agreement") is made, entered into and effective for all purposes this 12th day of August, 1998, by and between (i) FEDERAL REALTY INVESTMENT TRUST, an unincorporated Business Trust organized under the laws of the District of Columbia ("FRIT"), (ii) DONALD C. WOOD ("Executive"), and (iii) DONALD C. WOOD ("Owner").</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Executive is the Senior Vice President and Chief Financial Officer of FRIT and FRIT desires to provide life insurance protection for the Executive's family under certain circumstances, as described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Executive and FRIT have entered or intend to enter into agreements related to employment and severance, as amended (the "Employment Agreement"), whereby certain events described herein are more fully defined: and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the parties hereto desire to split the ownership rights, premiums and cash surrender value with respect to a certain life insurance policy, subject to the terms and conditions more specifically set forth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hereinafter set forth and of other good and valuable consideration, the receipt, adequacy and sufficiency of which are hereby acknowledged, the parties hereto, intending legally to be bound, do hereby agree as follows.</w:t>
      </w:r>
    </w:p>
    <w:p>
      <w:pPr>
        <w:spacing w:after="0" w:line="162" w:lineRule="exact"/>
        <w:rPr>
          <w:sz w:val="20"/>
          <w:szCs w:val="20"/>
          <w:color w:val="auto"/>
        </w:rPr>
      </w:pPr>
    </w:p>
    <w:p>
      <w:pPr>
        <w:ind w:left="860" w:hanging="421"/>
        <w:spacing w:after="0"/>
        <w:tabs>
          <w:tab w:leader="none" w:pos="8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Policy. The life insurance policy described in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subject to the terms of this Agreement is that certain life insurance policy No.__________ (the "Policy") issued by Massachusetts Mutual Life Insurance Company (the "Insurer") insuring the Executive.</w:t>
      </w:r>
    </w:p>
    <w:p>
      <w:pPr>
        <w:spacing w:after="0" w:line="163" w:lineRule="exact"/>
        <w:rPr>
          <w:sz w:val="20"/>
          <w:szCs w:val="20"/>
          <w:color w:val="auto"/>
        </w:rPr>
      </w:pPr>
    </w:p>
    <w:p>
      <w:pPr>
        <w:ind w:left="860" w:hanging="421"/>
        <w:spacing w:after="0"/>
        <w:tabs>
          <w:tab w:leader="none" w:pos="8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Policy.  Except as otherwise provided in this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Owner shall be the sole and absolute owner of the Policy, and shall retain all rights and privileges of ownership with respect thereto. Notwithstanding the foregoing, Owner shall not borrow against the cash surrender value of the Policy (the "Cash Surrender Value").</w:t>
      </w:r>
    </w:p>
    <w:p>
      <w:pPr>
        <w:spacing w:after="0" w:line="162" w:lineRule="exact"/>
        <w:rPr>
          <w:sz w:val="20"/>
          <w:szCs w:val="20"/>
          <w:color w:val="auto"/>
        </w:rPr>
      </w:pPr>
    </w:p>
    <w:p>
      <w:pPr>
        <w:ind w:left="860" w:hanging="421"/>
        <w:spacing w:after="0"/>
        <w:tabs>
          <w:tab w:leader="none" w:pos="8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Premiums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6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FRIT shall pay the annual premium on the Policy for a period of seven (7) years to the Insurer for the Policy; which payment shall be made on or before the due date of each premium payment on the Policy, or within the grace period with respect thereto. Notwithstanding the preceding sentence, during such seven (7) year period, Executive or Owner shall contribute not less than the greater of (i) the amounts set forth in Exhibit A attached hereto, or (ii) the amounts equal to the Economic Benefit, as defined in Revenue Rulings 64-328 and 66-110 promulgated by the Internal Revenue Service.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104" w:name="page105"/>
    <w:bookmarkEnd w:id="104"/>
    <w:p>
      <w:pPr>
        <w:ind w:right="3339" w:firstLine="870"/>
        <w:spacing w:after="0" w:line="252" w:lineRule="auto"/>
        <w:tabs>
          <w:tab w:leader="none" w:pos="1292"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seven (7) year period, Executive or Owner shall have the option, but not the obligation, to continue making all or any portion of the contributions described in subparagraph 3A.</w:t>
      </w:r>
    </w:p>
    <w:p>
      <w:pPr>
        <w:spacing w:after="0" w:line="162" w:lineRule="exact"/>
        <w:rPr>
          <w:rFonts w:ascii="Courier New" w:cs="Courier New" w:eastAsia="Courier New" w:hAnsi="Courier New"/>
          <w:sz w:val="14"/>
          <w:szCs w:val="14"/>
          <w:color w:val="auto"/>
        </w:rPr>
      </w:pPr>
    </w:p>
    <w:p>
      <w:pPr>
        <w:ind w:right="3519" w:firstLine="870"/>
        <w:spacing w:after="0" w:line="255" w:lineRule="auto"/>
        <w:tabs>
          <w:tab w:leader="none" w:pos="1292"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optional contributions made by Executive or Owner after the seventh year shall be deemed to be reimbursements made by Owner to FRIT.</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 Assignment of Policy. Simultaneously with the execution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Agreement, Owner and FRIT shall enter into a Collateral Assignment Agreement (the "Collateral Assignment"), substantially in the form of Exhibit B attached hereto and made a part hereof.</w:t>
      </w:r>
    </w:p>
    <w:p>
      <w:pPr>
        <w:spacing w:after="0" w:line="163" w:lineRule="exact"/>
        <w:rPr>
          <w:sz w:val="20"/>
          <w:szCs w:val="20"/>
          <w:color w:val="auto"/>
        </w:rPr>
      </w:pPr>
    </w:p>
    <w:p>
      <w:pPr>
        <w:ind w:left="860" w:hanging="421"/>
        <w:spacing w:after="0"/>
        <w:tabs>
          <w:tab w:leader="none" w:pos="8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Upon the occurrence of an event described in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subparagraphs 6A(5) or 6A(7) below, Owner shall deliver a Promissory Note payable to the order of FRIT, substantially in the form of Exhibit C attached hereto and made a part hereof (the "Note"), in the amount described in subparagraphs 6A(5) or 6A(7) hereof, as the case may be. Amounts payable under the Note will be guaranteed by a personal guaranty to be delivered by the Executive dated of even date with such Note, substantially in the form of Exhibit D hereof (the "Guaranty").</w:t>
      </w:r>
    </w:p>
    <w:p>
      <w:pPr>
        <w:spacing w:after="0" w:line="164" w:lineRule="exact"/>
        <w:rPr>
          <w:sz w:val="20"/>
          <w:szCs w:val="20"/>
          <w:color w:val="auto"/>
        </w:rPr>
      </w:pPr>
    </w:p>
    <w:p>
      <w:pPr>
        <w:ind w:left="860" w:hanging="421"/>
        <w:spacing w:after="0"/>
        <w:tabs>
          <w:tab w:leader="none" w:pos="8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6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This Agreement shall terminate upon the earliest to occur of any of the following events:</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of the Executive;</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close of the fifteenth (15th) year of the Policy;</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or surrender of the Policy by Owner;</w:t>
      </w:r>
    </w:p>
    <w:p>
      <w:pPr>
        <w:spacing w:after="0" w:line="172"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by FRIT of Executive's employment for Cause (as defined in the Employment Agreement), unless there has been a Change in Control of FRIT (as defined in the Employment Agreement) within six (6) months of the termination by FRIT of the Executive's employment;</w:t>
      </w:r>
    </w:p>
    <w:p>
      <w:pPr>
        <w:spacing w:after="0" w:line="162" w:lineRule="exact"/>
        <w:rPr>
          <w:rFonts w:ascii="Courier New" w:cs="Courier New" w:eastAsia="Courier New" w:hAnsi="Courier New"/>
          <w:sz w:val="14"/>
          <w:szCs w:val="14"/>
          <w:color w:val="auto"/>
        </w:rPr>
      </w:pPr>
    </w:p>
    <w:p>
      <w:pPr>
        <w:ind w:right="3519" w:firstLine="1300"/>
        <w:spacing w:after="0" w:line="252" w:lineRule="auto"/>
        <w:tabs>
          <w:tab w:leader="none" w:pos="1723"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Executive's employment by FRIT without Cause, if the Executive has been employed by FRIT for less than five (5) years as of the date of the termination of Executive's employment;</w:t>
      </w:r>
    </w:p>
    <w:p>
      <w:pPr>
        <w:spacing w:after="0" w:line="162"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resignation and/or retirement, for any reason other than Disability (as defined in the Employment Agreement), of the Executive, unless there has been a Change of Control of FRIT within six (6) months of the resignation and/or retirement;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05" w:name="page106"/>
    <w:bookmarkEnd w:id="105"/>
    <w:p>
      <w:pPr>
        <w:ind w:left="-439" w:right="3339" w:firstLine="870"/>
        <w:spacing w:after="0" w:line="252" w:lineRule="auto"/>
        <w:tabs>
          <w:tab w:leader="none" w:pos="853"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 resignation, (ii) retirement of the Executive, or (iii) termination of Executive's employment by FRIT; within six (6) months of a Change of Control of FRIT, if the Executive has been employed by FRIT for less than five (5) years as of the date of the Change in Control; or</w:t>
      </w:r>
    </w:p>
    <w:p>
      <w:pPr>
        <w:spacing w:after="0" w:line="162"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unilateral termination of this Agreement by Owner.</w:t>
      </w:r>
    </w:p>
    <w:p>
      <w:pPr>
        <w:spacing w:after="0" w:line="172"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 6A(1) hereof, FRIT and Owner shall promptly take all actions necessary in order to collect the death benefits payable under the Policy. Such death benefits shall be distributed as follows:</w:t>
      </w:r>
    </w:p>
    <w:p>
      <w:pPr>
        <w:spacing w:after="0" w:line="162" w:lineRule="exact"/>
        <w:rPr>
          <w:rFonts w:ascii="Courier New" w:cs="Courier New" w:eastAsia="Courier New" w:hAnsi="Courier New"/>
          <w:sz w:val="14"/>
          <w:szCs w:val="14"/>
          <w:color w:val="auto"/>
        </w:rPr>
      </w:pPr>
    </w:p>
    <w:p>
      <w:pPr>
        <w:ind w:left="-439" w:right="3519" w:firstLine="870"/>
        <w:spacing w:after="0" w:line="252" w:lineRule="auto"/>
        <w:tabs>
          <w:tab w:leader="none" w:pos="853"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FRIT shall be entitled to receive that portion of the death benefits payable under the Policy which is equal to the aggregate amount of premiums paid by it under this Agreement, pursuant to paragraph 3 herein (less any prior reimbursements, if any, made by Executive or Owner).</w:t>
      </w:r>
    </w:p>
    <w:p>
      <w:pPr>
        <w:spacing w:after="0" w:line="162" w:lineRule="exact"/>
        <w:rPr>
          <w:rFonts w:ascii="Courier New" w:cs="Courier New" w:eastAsia="Courier New" w:hAnsi="Courier New"/>
          <w:sz w:val="14"/>
          <w:szCs w:val="14"/>
          <w:color w:val="auto"/>
        </w:rPr>
      </w:pPr>
    </w:p>
    <w:p>
      <w:pPr>
        <w:ind w:left="-439" w:right="3679" w:firstLine="870"/>
        <w:spacing w:after="0" w:line="255" w:lineRule="auto"/>
        <w:tabs>
          <w:tab w:leader="none" w:pos="853"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if any, of the death benefits provided under the Policy shall be paid directly to Owner, as beneficiary under the Policy.</w:t>
      </w:r>
    </w:p>
    <w:p>
      <w:pPr>
        <w:spacing w:after="0" w:line="159" w:lineRule="exact"/>
        <w:rPr>
          <w:rFonts w:ascii="Courier New" w:cs="Courier New" w:eastAsia="Courier New" w:hAnsi="Courier New"/>
          <w:sz w:val="14"/>
          <w:szCs w:val="14"/>
          <w:color w:val="auto"/>
        </w:rPr>
      </w:pPr>
    </w:p>
    <w:p>
      <w:pPr>
        <w:ind w:left="-439" w:right="3519" w:firstLine="870"/>
        <w:spacing w:after="0" w:line="251" w:lineRule="auto"/>
        <w:tabs>
          <w:tab w:leader="none" w:pos="853"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from the Insurer to FRIT of the amount described in paragraph 6B(1) hereof shall constitute full and complete satisfaction of the obligations of Owner under this Agreement. Upon receipt of this amount, FRIT shall execute any and all documents required by the Insurer or otherwise necessary to effect a release of the Collateral Assignment.</w:t>
      </w:r>
    </w:p>
    <w:p>
      <w:pPr>
        <w:spacing w:after="0" w:line="164" w:lineRule="exact"/>
        <w:rPr>
          <w:rFonts w:ascii="Courier New" w:cs="Courier New" w:eastAsia="Courier New" w:hAnsi="Courier New"/>
          <w:sz w:val="14"/>
          <w:szCs w:val="14"/>
          <w:color w:val="auto"/>
        </w:rPr>
      </w:pPr>
    </w:p>
    <w:p>
      <w:pPr>
        <w:ind w:left="-439" w:right="3339" w:firstLine="439"/>
        <w:spacing w:after="0" w:line="251" w:lineRule="auto"/>
        <w:tabs>
          <w:tab w:leader="none" w:pos="42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6A(2), 6A(3), 6A(4), 6A(6) or 6A(8) hereof, Owner shall have the obligation to repay FRIT within sixty (60) days after the date of termination, an amount equal to the aggregate amount of premiums paid by FRIT pursuant to paragraph 3 herein (less any prior reimbursements, if any, made by Executive or Owner). Thereafter, Owner shall become the sole owner of the Policy, and FRIT shall execute and deliver to Owner any and all documents required by the Insurer or otherwise necessary to effect a release of the Collateral Assignment.</w:t>
      </w:r>
    </w:p>
    <w:p>
      <w:pPr>
        <w:spacing w:after="0" w:line="163" w:lineRule="exact"/>
        <w:rPr>
          <w:rFonts w:ascii="Courier New" w:cs="Courier New" w:eastAsia="Courier New" w:hAnsi="Courier New"/>
          <w:sz w:val="14"/>
          <w:szCs w:val="14"/>
          <w:color w:val="auto"/>
        </w:rPr>
      </w:pPr>
    </w:p>
    <w:p>
      <w:pPr>
        <w:ind w:left="-439" w:right="3339" w:firstLine="439"/>
        <w:spacing w:after="0" w:line="251" w:lineRule="auto"/>
        <w:tabs>
          <w:tab w:leader="none" w:pos="42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6A(5) or 6A(7) hereof, Owner shall have the obligation to repay FRIT within sixty (60) days after the date of termination, an amount equal to the aggregate amount of premiums paid by FRIT pursuant to paragraph 3 herein (less any prior reimbursements, if any, made by Executive or Owner), in the form of a Promissory Note, pursuant to paragraph 5 above. Owner shall become the sole owner of the Policy and FRIT and Owner shall terminate the Collateral Assignment and shall execute and deliver to Owner any and all documents required by the Insurer or otherwise necessary to effect a release of the Collateral Assignment. Upon the payment of all amounts due under the Note, FRIT shall execute and deliver to Owner any and all documents necessary to effect a cancellation of the Note and the Guaranty.</w:t>
      </w:r>
    </w:p>
    <w:p>
      <w:pPr>
        <w:spacing w:after="0" w:line="329"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00"/>
          </w:cols>
          <w:pgMar w:left="659" w:top="616" w:right="1440" w:bottom="1440" w:gutter="0" w:footer="0" w:header="0"/>
        </w:sectPr>
      </w:pPr>
    </w:p>
    <w:bookmarkStart w:id="106" w:name="page107"/>
    <w:bookmarkEnd w:id="106"/>
    <w:p>
      <w:pPr>
        <w:ind w:left="860" w:hanging="421"/>
        <w:spacing w:after="0"/>
        <w:tabs>
          <w:tab w:leader="none" w:pos="8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Executive.  Upon the resignation and/or retirement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Executive as a result of his or her Disability, FRIT's obligation to pay such amounts toward the premiums on the Policy pursuant to paragraph 3 of this Agreement shall continue for as many years remaining in the seven (7) year period set forth in paragraph 3, as are equal to the number of full calendar years the Executive has been employed by FRIT at the time of his resignation and/or retirement. Thereafter, upon the happening of an event described in paragraph 6A(1), the rights and obligations of Owner and FRIT shall be as set forth in paragraph 6B of the Agreement; or, upon the happening of an event described in paragraph 6A(2), 6A(3) or 6A(8), if sooner, the rights and obligations of Owner and FRIT shall be as set forth in paragraph 6C of the Agreement.</w:t>
      </w:r>
    </w:p>
    <w:p>
      <w:pPr>
        <w:spacing w:after="0" w:line="163" w:lineRule="exact"/>
        <w:rPr>
          <w:sz w:val="20"/>
          <w:szCs w:val="20"/>
          <w:color w:val="auto"/>
        </w:rPr>
      </w:pPr>
    </w:p>
    <w:p>
      <w:pPr>
        <w:ind w:left="860" w:hanging="421"/>
        <w:spacing w:after="0"/>
        <w:tabs>
          <w:tab w:leader="none" w:pos="8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Insurer Not a Party. Insurer shall be fully discharged from any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 liability under the Policy upon payment of the death benefits payable under the Policy or performance of its other obligations in accordance with the terms and conditions of the Policy. In no event shall Insurer be deemed to be a party to this Agreement, or any modification or amendment hereof.</w:t>
      </w:r>
    </w:p>
    <w:p>
      <w:pPr>
        <w:spacing w:after="0" w:line="162" w:lineRule="exact"/>
        <w:rPr>
          <w:sz w:val="20"/>
          <w:szCs w:val="20"/>
          <w:color w:val="auto"/>
        </w:rPr>
      </w:pPr>
    </w:p>
    <w:p>
      <w:pPr>
        <w:ind w:left="860" w:hanging="421"/>
        <w:spacing w:after="0"/>
        <w:tabs>
          <w:tab w:leader="none" w:pos="8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Agreement.  This Agreement may not be amended, altered or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except by a writing signed by all of the parties to this Agreement.</w:t>
      </w:r>
    </w:p>
    <w:p>
      <w:pPr>
        <w:spacing w:after="0" w:line="173" w:lineRule="exact"/>
        <w:rPr>
          <w:sz w:val="20"/>
          <w:szCs w:val="20"/>
          <w:color w:val="auto"/>
        </w:rPr>
      </w:pPr>
    </w:p>
    <w:p>
      <w:pPr>
        <w:ind w:left="860" w:hanging="421"/>
        <w:spacing w:after="0"/>
        <w:tabs>
          <w:tab w:leader="none" w:pos="8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the Collateral Assignment and the provisions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paragraph 2 hereof, Owner shall have the right at any time to assign or transfer any or all of its interest in the Policy and this Agreement to any person or entity, by execution of a written assignment delivered to FRIT and to Insurer.</w:t>
      </w:r>
    </w:p>
    <w:p>
      <w:pPr>
        <w:spacing w:after="0" w:line="162" w:lineRule="exact"/>
        <w:rPr>
          <w:sz w:val="20"/>
          <w:szCs w:val="20"/>
          <w:color w:val="auto"/>
        </w:rPr>
      </w:pPr>
    </w:p>
    <w:p>
      <w:pPr>
        <w:ind w:left="860" w:hanging="421"/>
        <w:spacing w:after="0"/>
        <w:tabs>
          <w:tab w:leader="none" w:pos="8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and Burdens. This Agreement shall be binding upon, and shall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inure to the benefit of, (i) FRIT and Owner, and their successors and assigns, and (ii) the Executive, and his executors or administrators, heirs, legatees, assigns and personal and legal representatives.</w:t>
      </w:r>
    </w:p>
    <w:p>
      <w:pPr>
        <w:spacing w:after="0" w:line="163" w:lineRule="exact"/>
        <w:rPr>
          <w:sz w:val="20"/>
          <w:szCs w:val="20"/>
          <w:color w:val="auto"/>
        </w:rPr>
      </w:pPr>
    </w:p>
    <w:p>
      <w:pPr>
        <w:ind w:left="860" w:hanging="421"/>
        <w:spacing w:after="0"/>
        <w:tabs>
          <w:tab w:leader="none" w:pos="8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provided for herein shall be sufficient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if in writing, and sent by recognized overnight courier or hand delivery (with receipt therefor) or by certified or registered mail (return receipt requested and first-class postage prepaid), as follows: (i) in the case of FRIT, to its principal office, (ii) in the case of Executive, to his address as shown on FRIT's records, and (iii) in the case of Owner, to 504 Harvest Court, Wyckoff, NJ 07481.</w:t>
      </w:r>
    </w:p>
    <w:p>
      <w:pPr>
        <w:spacing w:after="0" w:line="164" w:lineRule="exact"/>
        <w:rPr>
          <w:sz w:val="20"/>
          <w:szCs w:val="20"/>
          <w:color w:val="auto"/>
        </w:rPr>
      </w:pPr>
    </w:p>
    <w:p>
      <w:pPr>
        <w:ind w:left="860" w:hanging="421"/>
        <w:spacing w:after="0"/>
        <w:tabs>
          <w:tab w:leader="none" w:pos="8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shall be deemed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severable, and the invalidity or unenforceability of any one or more of the provisions hereof shall not affect the validity and enforceability of the other provisions hereof.</w:t>
      </w:r>
    </w:p>
    <w:p>
      <w:pPr>
        <w:spacing w:after="0" w:line="163" w:lineRule="exact"/>
        <w:rPr>
          <w:sz w:val="20"/>
          <w:szCs w:val="20"/>
          <w:color w:val="auto"/>
        </w:rPr>
      </w:pPr>
    </w:p>
    <w:p>
      <w:pPr>
        <w:ind w:left="860" w:hanging="421"/>
        <w:spacing w:after="0"/>
        <w:tabs>
          <w:tab w:leader="none" w:pos="86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or other captions contained in this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are for convenience of reference only and shall not be used in interpreting, construing or enforcing any of the provisions of this Agreement.</w:t>
      </w:r>
    </w:p>
    <w:p>
      <w:pPr>
        <w:spacing w:after="0" w:line="160" w:lineRule="exact"/>
        <w:rPr>
          <w:sz w:val="20"/>
          <w:szCs w:val="20"/>
          <w:color w:val="auto"/>
        </w:rPr>
      </w:pPr>
    </w:p>
    <w:p>
      <w:pPr>
        <w:ind w:left="860" w:hanging="421"/>
        <w:spacing w:after="0"/>
        <w:tabs>
          <w:tab w:leader="none" w:pos="8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the laws of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State of Maryland, without giving effect to its conflict of laws provisions, except to the extent preempted by Federal law.</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7" w:name="page108"/>
    <w:bookmarkEnd w:id="107"/>
    <w:p>
      <w:pPr>
        <w:ind w:left="860" w:hanging="421"/>
        <w:spacing w:after="0"/>
        <w:tabs>
          <w:tab w:leader="none" w:pos="8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of FRIT.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obligations of FRIT under this Agreement shall be limited to the payment of premiums described in paragraph 3 above, and FRIT does not have or assume any liability or responsibility with respect to the obligations of the Insurer under the Policy or otherwise. Without limiting the generality of the foregoing, it is specifically provided that in the event of insolvency or other default of payment by either the Insurer or Owner, FRIT shall have no responsibility to make any payment to Owner, the Executive or any other person or entity. Any person or entity claiming entitlement to payments under the Policy may look only to the assets of the Insurer, and any person or entity claiming entitlement to payments under Owner may look only to the assets of Owner.</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"FEDERAL REALTY INVESTMENT TRUST" refers to the Trustees of FRIT, as Trustees, but not individually or personally, under a Third Amended and Restated Declaration of Trust on file in the office of the Recorder of Deeds of the District of Columbia, which Declaration provides that neither the shareholders nor said Trustees, or any officer, employee, representative or agent of FRIT shall be personally liable for the satisfaction of obligations of any nature whatsoever of FRIT. Accordingly, in addition to the other limitations on liability set forth herein, specifically, subparagraph 16A above, Executive and Owner agree to look solely to FRIT's trust property for the satisfaction of any claim arising from this Agreement and shall not seek to impose personal liability on any shareholder, Trustee, officer, employee, representative or agent of FRIT.</w:t>
      </w:r>
    </w:p>
    <w:p>
      <w:pPr>
        <w:spacing w:after="0" w:line="328"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Exhibits hereto set forth 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the promises, agreements and understandings of the parties hereto with respect to the matters described herein, and there are no promises, agreements or understandings, oral or written, express or implied, between them with respect to such matters other than as set forth herein. Any and all prior promises, agreements and understandings between the parties hereto with respect to the matters described herein are hereby revoked.</w:t>
      </w:r>
    </w:p>
    <w:p>
      <w:pPr>
        <w:spacing w:after="0" w:line="164" w:lineRule="exact"/>
        <w:rPr>
          <w:sz w:val="20"/>
          <w:szCs w:val="20"/>
          <w:color w:val="auto"/>
        </w:rPr>
      </w:pPr>
    </w:p>
    <w:p>
      <w:pPr>
        <w:ind w:left="860" w:hanging="421"/>
        <w:spacing w:after="0"/>
        <w:tabs>
          <w:tab w:leader="none" w:pos="8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counterparts, each of which shall be deemed an original, but all of which together shall constitute one and the same instrument.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8" w:name="page109"/>
    <w:bookmarkEnd w:id="108"/>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FRIT, Owner and Executive have executed this Agreement as of the day and year first above written.</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an unincorporated Business Trust organized under</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laws of the District of Columbia</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Donald C. Wood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OWNER:</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Donald C. Wood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9" w:name="page110"/>
    <w:bookmarkEnd w:id="109"/>
    <w:p>
      <w:pPr>
        <w:jc w:val="right"/>
        <w:ind w:right="3339"/>
        <w:spacing w:after="0"/>
        <w:rPr>
          <w:sz w:val="20"/>
          <w:szCs w:val="20"/>
          <w:color w:val="auto"/>
        </w:rPr>
      </w:pPr>
      <w:r>
        <w:rPr>
          <w:rFonts w:ascii="Courier New" w:cs="Courier New" w:eastAsia="Courier New" w:hAnsi="Courier New"/>
          <w:sz w:val="14"/>
          <w:szCs w:val="14"/>
          <w:color w:val="auto"/>
        </w:rPr>
        <w:t>Exhibit 10.xxxvii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SPLIT-DOLLAR LIFE INSURANCE AGREEMENT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SPLIT-DOLLAR LIFE INSURANCE AGREEMENT (this "Agreement") is made, entered into and effective for all purposes this 2nd day of November, 2000, by and between (i) FEDERAL REALTY INVESTMENT TRUST, a Maryland real estate investment trust ("FRIT"), (ii) NANCY J. HERMAN INSURANCE TRUST, a trust organized under the laws of the District of Columbia (the "Trust") acting by and through its Trustee, Leah Kirk Thayer (the "Trustee"), and (iii) NANCY J. HERMAN ("Executive").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Executive is the Senior Vice President - General Counsel and Secretary of FRIT and FRIT desires to provide life insurance protection for the Executive's family under certain circumstances, as described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Executive and FRIT have entered or intend to enter into agreements related to employment and severance, as amended (the "Employment Agreement"), whereby certain events described herein are more fully defined; and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WHEREAS, the parties hereto desire to split the ownership rights, premiums and cash surrender value with respect to a certain life insurance policy, subject to the terms and conditions more specifically set forth herein.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hereinafter set forth and of other good and valuable consideration, the receipt, adequacy and sufficiency of which are hereby acknowledged, the parties hereto, intending legally to be bound, do hereby agree as follows.</w:t>
      </w:r>
    </w:p>
    <w:p>
      <w:pPr>
        <w:spacing w:after="0" w:line="162" w:lineRule="exact"/>
        <w:rPr>
          <w:sz w:val="20"/>
          <w:szCs w:val="20"/>
          <w:color w:val="auto"/>
        </w:rPr>
      </w:pPr>
    </w:p>
    <w:p>
      <w:pPr>
        <w:ind w:left="860" w:hanging="421"/>
        <w:spacing w:after="0"/>
        <w:tabs>
          <w:tab w:leader="none" w:pos="8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Policy.  The life insurance policy described in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the terms of this Agreement is that certain life insurance policy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(the "Policy") issued by Massachusetts Mutual Life Insurance Company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"Insurer") insuring the Executive.</w:t>
      </w:r>
    </w:p>
    <w:p>
      <w:pPr>
        <w:spacing w:after="0" w:line="173" w:lineRule="exact"/>
        <w:rPr>
          <w:sz w:val="20"/>
          <w:szCs w:val="20"/>
          <w:color w:val="auto"/>
        </w:rPr>
      </w:pPr>
    </w:p>
    <w:p>
      <w:pPr>
        <w:ind w:left="860" w:hanging="421"/>
        <w:spacing w:after="0"/>
        <w:tabs>
          <w:tab w:leader="none" w:pos="8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Policy.  Except as otherwise provided in this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Trust shall be the sole and absolute owner of the Policy, and shall retain all rights and privileges of ownership with respect thereto. Notwithstanding the foregoing, the Trust shall not borrow against the cash surrender value of the Policy (the "Cash Surrender Value").</w:t>
      </w:r>
    </w:p>
    <w:p>
      <w:pPr>
        <w:spacing w:after="0" w:line="162" w:lineRule="exact"/>
        <w:rPr>
          <w:sz w:val="20"/>
          <w:szCs w:val="20"/>
          <w:color w:val="auto"/>
        </w:rPr>
      </w:pPr>
    </w:p>
    <w:p>
      <w:pPr>
        <w:ind w:left="860" w:hanging="421"/>
        <w:spacing w:after="0"/>
        <w:tabs>
          <w:tab w:leader="none" w:pos="8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Premiums.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6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FRIT shall pay the annual premium on the Policy for a period of seven (7) years to the Insurer for the Policy; which payment shall be made on or before the due date of each premium payment on the Policy, or within the grace period with respect thereto. Notwithstanding the preceding sentence, during such seven (7) year period, the Trust shall contribute not less than the greater of (i) the amounts set forth in Exhibit A attached hereto, or (ii) the amounts equal to the Economic Benefit, as defined in Revenue Rulings 64-328 and 66-110 promulgated by the Internal Revenue Service.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2" w:right="1440" w:bottom="1440" w:gutter="0" w:footer="0" w:header="0"/>
        </w:sectPr>
      </w:pPr>
    </w:p>
    <w:bookmarkStart w:id="110" w:name="page111"/>
    <w:bookmarkEnd w:id="110"/>
    <w:p>
      <w:pPr>
        <w:ind w:right="3679" w:firstLine="870"/>
        <w:spacing w:after="0" w:line="252" w:lineRule="auto"/>
        <w:tabs>
          <w:tab w:leader="none" w:pos="129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such seven (7) year period, the Trust shall have the option, but not the obligation, to continue making all or any portion of the contributions described in subparagraph 3A.</w:t>
      </w:r>
    </w:p>
    <w:p>
      <w:pPr>
        <w:spacing w:after="0" w:line="162" w:lineRule="exact"/>
        <w:rPr>
          <w:rFonts w:ascii="Courier New" w:cs="Courier New" w:eastAsia="Courier New" w:hAnsi="Courier New"/>
          <w:sz w:val="14"/>
          <w:szCs w:val="14"/>
          <w:color w:val="auto"/>
        </w:rPr>
      </w:pPr>
    </w:p>
    <w:p>
      <w:pPr>
        <w:ind w:right="3599" w:firstLine="870"/>
        <w:spacing w:after="0" w:line="255" w:lineRule="auto"/>
        <w:tabs>
          <w:tab w:leader="none" w:pos="129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optional contributions made by the Trust after the seventh year shall be deemed to be reimbursements made by the Trust to FRIT.</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 Assignment of Policy.  Simultaneously with the execution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Agreement, the Trust and FRIT shall enter into a Collateral Assignment Agreement (the "Collateral Assignment"), substantially in the form of Exhibit B attached hereto and made a part hereof.</w:t>
      </w:r>
    </w:p>
    <w:p>
      <w:pPr>
        <w:spacing w:after="0" w:line="163" w:lineRule="exact"/>
        <w:rPr>
          <w:sz w:val="20"/>
          <w:szCs w:val="20"/>
          <w:color w:val="auto"/>
        </w:rPr>
      </w:pPr>
    </w:p>
    <w:p>
      <w:pPr>
        <w:ind w:left="860" w:hanging="421"/>
        <w:spacing w:after="0"/>
        <w:tabs>
          <w:tab w:leader="none" w:pos="8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Upon the occurrence of an event described in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subparagraphs 6A(5) or 6A(7) below, the Trust shall deliver a Promissory Note payable to the order of FRIT, substantially in the form of Exhibit C attached hereto and made a part hereof (the "Note"), in the amount described in subparagraphs 6A(5) or 6A(7) hereof, as the case may be. Amounts payable under the Note will be guaranteed by a personal guaranty to be delivered by the Executive dated of even date with such Note, substantially in the form of Exhibit D hereof (the "Guaranty").</w:t>
      </w:r>
    </w:p>
    <w:p>
      <w:pPr>
        <w:spacing w:after="0" w:line="164" w:lineRule="exact"/>
        <w:rPr>
          <w:sz w:val="20"/>
          <w:szCs w:val="20"/>
          <w:color w:val="auto"/>
        </w:rPr>
      </w:pPr>
    </w:p>
    <w:p>
      <w:pPr>
        <w:ind w:left="860" w:hanging="421"/>
        <w:spacing w:after="0"/>
        <w:tabs>
          <w:tab w:leader="none" w:pos="86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6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This Agreement shall terminate upon the earliest to occur of any of the following events:</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of the Executive;</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close of the fifteenth (15th) year of the Policy;</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or surrender of the Policy by the Trust;</w:t>
      </w:r>
    </w:p>
    <w:p>
      <w:pPr>
        <w:spacing w:after="0" w:line="172"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by FRIT of Executive's employment for Cause (as defined in the Employment Agreement), unless there has been a Change in Control of FRIT (as defined in the Employment Agreement) within six (6) months of the termination by FRIT of the Executive's employment;</w:t>
      </w:r>
    </w:p>
    <w:p>
      <w:pPr>
        <w:spacing w:after="0" w:line="162" w:lineRule="exact"/>
        <w:rPr>
          <w:rFonts w:ascii="Courier New" w:cs="Courier New" w:eastAsia="Courier New" w:hAnsi="Courier New"/>
          <w:sz w:val="14"/>
          <w:szCs w:val="14"/>
          <w:color w:val="auto"/>
        </w:rPr>
      </w:pPr>
    </w:p>
    <w:p>
      <w:pPr>
        <w:ind w:right="3519" w:firstLine="1300"/>
        <w:spacing w:after="0" w:line="252" w:lineRule="auto"/>
        <w:tabs>
          <w:tab w:leader="none" w:pos="1723"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of Executive's employment by FRIT without Cause, if the Executive has been employed by FRIT for less than five (5) years as of the date of the termination of Executive's employment;</w:t>
      </w:r>
    </w:p>
    <w:p>
      <w:pPr>
        <w:spacing w:after="0" w:line="162"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resignation and/or retirement, for any reason other than Disability (as defined in the Employment Agreement), of the Executive, unless there has been a Change of Control of FRIT within six (6) months of the resignation and/or retirement;</w:t>
      </w:r>
    </w:p>
    <w:p>
      <w:pPr>
        <w:spacing w:after="0" w:line="162" w:lineRule="exact"/>
        <w:rPr>
          <w:rFonts w:ascii="Courier New" w:cs="Courier New" w:eastAsia="Courier New" w:hAnsi="Courier New"/>
          <w:sz w:val="14"/>
          <w:szCs w:val="14"/>
          <w:color w:val="auto"/>
        </w:rPr>
      </w:pPr>
    </w:p>
    <w:p>
      <w:pPr>
        <w:ind w:left="1740" w:hanging="440"/>
        <w:spacing w:after="0"/>
        <w:tabs>
          <w:tab w:leader="none" w:pos="1740" w:val="left"/>
        </w:tabs>
        <w:numPr>
          <w:ilvl w:val="3"/>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 resignation, (ii) retirement of the Executive, or</w:t>
      </w:r>
    </w:p>
    <w:p>
      <w:pPr>
        <w:spacing w:after="0" w:line="7" w:lineRule="exact"/>
        <w:rPr>
          <w:rFonts w:ascii="Courier New" w:cs="Courier New" w:eastAsia="Courier New" w:hAnsi="Courier New"/>
          <w:sz w:val="14"/>
          <w:szCs w:val="14"/>
          <w:color w:val="auto"/>
        </w:rPr>
      </w:pPr>
    </w:p>
    <w:p>
      <w:pPr>
        <w:ind w:right="3419" w:firstLine="8"/>
        <w:spacing w:after="0" w:line="255" w:lineRule="auto"/>
        <w:tabs>
          <w:tab w:leader="none" w:pos="51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Executive's employment by FRIT; within six (6) months of a Change of Control</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of FRIT, if the Executive has been employed by FRIT for less than five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as of the date of the Change in Control; or</w:t>
      </w:r>
    </w:p>
    <w:p>
      <w:pPr>
        <w:spacing w:after="0" w:line="173" w:lineRule="exact"/>
        <w:rPr>
          <w:sz w:val="20"/>
          <w:szCs w:val="20"/>
          <w:color w:val="auto"/>
        </w:rPr>
      </w:pPr>
    </w:p>
    <w:p>
      <w:pPr>
        <w:ind w:left="1740" w:hanging="440"/>
        <w:spacing w:after="0"/>
        <w:tabs>
          <w:tab w:leader="none" w:pos="1740" w:val="left"/>
        </w:tabs>
        <w:numPr>
          <w:ilvl w:val="3"/>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unilateral termination of this Agreement by the Trust.</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 6A(1) hereof, FRIT and the Trust shall promptly take all actions necessary in order to collect the death benefits payable under the Policy. Such death benefits shall be distributed as follows:</w:t>
      </w:r>
    </w:p>
    <w:p>
      <w:pPr>
        <w:spacing w:after="0" w:line="162"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3"/>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FRIT shall be entitled to receive that portion of the death benefits payable under the Policy which is equal to the aggregate amount of premiums paid by it under this Agreement, pursuant to paragraph 3 herein (less any prior reimbursements, if any, made by the Trust).</w:t>
      </w:r>
    </w:p>
    <w:p>
      <w:pPr>
        <w:spacing w:after="0" w:line="162" w:lineRule="exact"/>
        <w:rPr>
          <w:rFonts w:ascii="Courier New" w:cs="Courier New" w:eastAsia="Courier New" w:hAnsi="Courier New"/>
          <w:sz w:val="14"/>
          <w:szCs w:val="14"/>
          <w:color w:val="auto"/>
        </w:rPr>
      </w:pPr>
    </w:p>
    <w:p>
      <w:pPr>
        <w:ind w:right="3339" w:firstLine="1300"/>
        <w:spacing w:after="0" w:line="255" w:lineRule="auto"/>
        <w:tabs>
          <w:tab w:leader="none" w:pos="1723" w:val="left"/>
        </w:tabs>
        <w:numPr>
          <w:ilvl w:val="3"/>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if any, of the death benefits provided under the Policy shall be paid directly to the Trust, as beneficiary under the Policy.</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3"/>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from the Insurer to FRIT of the amount described in paragraph 6B(1) hereof shall constitute full and complete satisfaction of the obligations of the Trust under this Agreement. Upon receipt of this amount, FRIT shall execute any and all documents required by the Insurer or otherwise necessary to effect a release of the Collateral Assignment.</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6A(2), 6A(3), 6A(4), 6A(6) or 6A(8) hereof, the Trust shall have the obligation to repay FRIT within sixty (60) days after the date of termination, an amount equal to the aggregate amount of premiums paid by FRIT pursuant to paragraph 3 herein (less any prior reimbursements, if any, made by the Trust). Thereafter, the Trust shall become the sole owner of the Policy, and FRIT shall execute and deliver to the Trust any and all documents required by the Insurer or otherwise necessary to effect a release of the Collateral Assignment.</w:t>
      </w:r>
    </w:p>
    <w:p>
      <w:pPr>
        <w:spacing w:after="0" w:line="163" w:lineRule="exact"/>
        <w:rPr>
          <w:rFonts w:ascii="Courier New" w:cs="Courier New" w:eastAsia="Courier New" w:hAnsi="Courier New"/>
          <w:sz w:val="14"/>
          <w:szCs w:val="14"/>
          <w:color w:val="auto"/>
        </w:rPr>
      </w:pPr>
    </w:p>
    <w:p>
      <w:pPr>
        <w:ind w:right="3519" w:firstLine="870"/>
        <w:spacing w:after="0" w:line="250" w:lineRule="auto"/>
        <w:tabs>
          <w:tab w:leader="none" w:pos="1292"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paragraphs 6A(5) or 6A(7) hereof, the Trust shall have the obligation to repay FRIT within sixty</w:t>
      </w:r>
    </w:p>
    <w:p>
      <w:pPr>
        <w:ind w:right="3339" w:firstLine="8"/>
        <w:spacing w:after="0" w:line="251" w:lineRule="auto"/>
        <w:tabs>
          <w:tab w:leader="none" w:pos="43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of termination, an amount equal to the aggregate amount of premiums paid by FRIT pursuant to paragraph 3 herein (less any prior reimbursements, if any, made by the Trust), in the form of a Promissory Note, pursuant to paragraph 5 above. The Trust shall become the sole owner of the Policy and FRIT and the Trust shall terminate the Collateral Assignment and shall execute and deliver to the Trust any and all documents required by the Insurer or otherwise necessary to effect a release of the Collateral Assignment. Upon the payment of all amounts due under the Note, FRIT shall execute and deliver to the Trust any and all documents necessary to effect a cancellation of the Note and the Guaranty.</w:t>
      </w:r>
    </w:p>
    <w:p>
      <w:pPr>
        <w:spacing w:after="0" w:line="16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Executive.  Upon the resignation and/or retirement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Executive as a result of his or her Disability, FRIT's obligation to pay such amounts toward the premiums on the Policy pursuant to paragraph 3 of this Agreement shall continue for as many years remaining in the seven (7) year period set forth in paragraph 3, as are equal to the number of full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12" w:name="page113"/>
    <w:bookmarkEnd w:id="112"/>
    <w:p>
      <w:pPr>
        <w:ind w:right="3419"/>
        <w:spacing w:after="0" w:line="251" w:lineRule="auto"/>
        <w:rPr>
          <w:sz w:val="20"/>
          <w:szCs w:val="20"/>
          <w:color w:val="auto"/>
        </w:rPr>
      </w:pPr>
      <w:r>
        <w:rPr>
          <w:rFonts w:ascii="Courier New" w:cs="Courier New" w:eastAsia="Courier New" w:hAnsi="Courier New"/>
          <w:sz w:val="14"/>
          <w:szCs w:val="14"/>
          <w:color w:val="auto"/>
        </w:rPr>
        <w:t>calendar years the Executive has been employed by FRIT at the time of her resignation and/or retirement. Thereafter, upon the happening of an event described in paragraph 6A(1), the rights and obligations of the Trust and FRIT shall be as set forth in paragraph 6B of the Agreement; or, upon the happening of an event described in paragraph 6A(2), 6A(3) or 6A(8), if sooner, the rights and obligations of the Trust and FRIT shall be as set forth in paragraph 6C of the Agreement.</w:t>
      </w:r>
    </w:p>
    <w:p>
      <w:pPr>
        <w:spacing w:after="0" w:line="164" w:lineRule="exact"/>
        <w:rPr>
          <w:sz w:val="20"/>
          <w:szCs w:val="20"/>
          <w:color w:val="auto"/>
        </w:rPr>
      </w:pPr>
    </w:p>
    <w:p>
      <w:pPr>
        <w:ind w:left="860" w:hanging="421"/>
        <w:spacing w:after="0"/>
        <w:tabs>
          <w:tab w:leader="none" w:pos="8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Insurer Not a Party.  Insurer shall be fully discharged from any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liability under the Policy upon payment of the death benefits payable under the Policy or performance of its other obligations in accordance with the terms and conditions of the Policy. In no event shall Insurer be deemed to be a party to this Agreement, or any modification or amendment hereof.</w:t>
      </w:r>
    </w:p>
    <w:p>
      <w:pPr>
        <w:spacing w:after="0" w:line="162" w:lineRule="exact"/>
        <w:rPr>
          <w:sz w:val="20"/>
          <w:szCs w:val="20"/>
          <w:color w:val="auto"/>
        </w:rPr>
      </w:pPr>
    </w:p>
    <w:p>
      <w:pPr>
        <w:ind w:left="860" w:hanging="421"/>
        <w:spacing w:after="0"/>
        <w:tabs>
          <w:tab w:leader="none" w:pos="8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Agreement.  This Agreement may not be amended, altered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modified, except by a writing signed by all of the parties to this Agreement.</w:t>
      </w:r>
    </w:p>
    <w:p>
      <w:pPr>
        <w:spacing w:after="0" w:line="173" w:lineRule="exact"/>
        <w:rPr>
          <w:sz w:val="20"/>
          <w:szCs w:val="20"/>
          <w:color w:val="auto"/>
        </w:rPr>
      </w:pPr>
    </w:p>
    <w:p>
      <w:pPr>
        <w:ind w:left="860" w:hanging="421"/>
        <w:spacing w:after="0"/>
        <w:tabs>
          <w:tab w:leader="none" w:pos="8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Agreement.  Subject to the terms of the Collateral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Assignment and the provisions of paragraph 2 hereof, the Trust shall have the right at any time to assign or transfer any or all of its interest in the Policy and this Agreement to any person or entity, by execution of a written assignment delivered to FRIT and to Insurer.</w:t>
      </w:r>
    </w:p>
    <w:p>
      <w:pPr>
        <w:spacing w:after="0" w:line="162" w:lineRule="exact"/>
        <w:rPr>
          <w:sz w:val="20"/>
          <w:szCs w:val="20"/>
          <w:color w:val="auto"/>
        </w:rPr>
      </w:pPr>
    </w:p>
    <w:p>
      <w:pPr>
        <w:ind w:left="860" w:hanging="421"/>
        <w:spacing w:after="0"/>
        <w:tabs>
          <w:tab w:leader="none" w:pos="8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Not Liable.  The parties hereto hereby acknowledge that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Trustee shall act hereunder solely as the trustee for the Trust, and shall not be personally liable or responsible in any manner whatsoever for any amounts payable by any party hereunder.</w:t>
      </w:r>
    </w:p>
    <w:p>
      <w:pPr>
        <w:spacing w:after="0" w:line="163" w:lineRule="exact"/>
        <w:rPr>
          <w:sz w:val="20"/>
          <w:szCs w:val="20"/>
          <w:color w:val="auto"/>
        </w:rPr>
      </w:pPr>
    </w:p>
    <w:p>
      <w:pPr>
        <w:ind w:left="860" w:hanging="421"/>
        <w:spacing w:after="0"/>
        <w:tabs>
          <w:tab w:leader="none" w:pos="8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and Burdens.  This Agreement shall be binding upon, and shall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inure to the benefit of, (i) FRIT and the Trust, and their successors and assigns, and (ii) the Executive, and her executors or administrators, heirs, legatees, assigns and personal and legal representatives.</w:t>
      </w:r>
    </w:p>
    <w:p>
      <w:pPr>
        <w:spacing w:after="0" w:line="163" w:lineRule="exact"/>
        <w:rPr>
          <w:sz w:val="20"/>
          <w:szCs w:val="20"/>
          <w:color w:val="auto"/>
        </w:rPr>
      </w:pPr>
    </w:p>
    <w:p>
      <w:pPr>
        <w:ind w:left="860" w:hanging="421"/>
        <w:spacing w:after="0"/>
        <w:tabs>
          <w:tab w:leader="none" w:pos="8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provided for herein shall be sufficient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if in writing, and sent by recognized overnight courier or hand delivery (with receipt therefor) or by certified or registered mail (return receipt requested and first-class postage prepaid), as follows: (i) in the case of FRIT, to its principal office, (ii) in the case of Executive, to her address as shown on FRIT's records, and (iii) in the case of the Trust, to the Trustee at 3012 Rodman Street, N.W., Washington, D.C. 20008.</w:t>
      </w:r>
    </w:p>
    <w:p>
      <w:pPr>
        <w:spacing w:after="0" w:line="164" w:lineRule="exact"/>
        <w:rPr>
          <w:sz w:val="20"/>
          <w:szCs w:val="20"/>
          <w:color w:val="auto"/>
        </w:rPr>
      </w:pPr>
    </w:p>
    <w:p>
      <w:pPr>
        <w:ind w:left="860" w:hanging="421"/>
        <w:spacing w:after="0"/>
        <w:tabs>
          <w:tab w:leader="none" w:pos="8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shall be deemed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severable, and the invalidity or unenforceability of any one or more of the provisions hereof shall not affect the validity and enforceability of the other provisions hereof.</w:t>
      </w:r>
    </w:p>
    <w:p>
      <w:pPr>
        <w:spacing w:after="0" w:line="163" w:lineRule="exact"/>
        <w:rPr>
          <w:sz w:val="20"/>
          <w:szCs w:val="20"/>
          <w:color w:val="auto"/>
        </w:rPr>
      </w:pPr>
    </w:p>
    <w:p>
      <w:pPr>
        <w:ind w:left="860" w:hanging="421"/>
        <w:spacing w:after="0"/>
        <w:tabs>
          <w:tab w:leader="none" w:pos="8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or other captions contained in this Agreement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are for convenience of reference only and shall not be used in interpreting, construing or enforcing any of the provisions of this Agreement.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3" w:name="page114"/>
    <w:bookmarkEnd w:id="113"/>
    <w:p>
      <w:pPr>
        <w:ind w:left="860" w:hanging="421"/>
        <w:spacing w:after="0"/>
        <w:tabs>
          <w:tab w:leader="none" w:pos="8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the laws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State of Maryland, without giving effect to its conflict of laws provisions, except to the extent preempted by Federal law.</w:t>
      </w:r>
    </w:p>
    <w:p>
      <w:pPr>
        <w:spacing w:after="0" w:line="160" w:lineRule="exact"/>
        <w:rPr>
          <w:sz w:val="20"/>
          <w:szCs w:val="20"/>
          <w:color w:val="auto"/>
        </w:rPr>
      </w:pPr>
    </w:p>
    <w:p>
      <w:pPr>
        <w:ind w:left="860" w:hanging="421"/>
        <w:spacing w:after="0"/>
        <w:tabs>
          <w:tab w:leader="none" w:pos="8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of FRIT.  The financial obligations of FRIT under this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shall be limited to the payment of premiums described in paragraph 3 above, and FRIT does not have or assume any liability or responsibility with respect to the obligations of the Insurer under the Policy or otherwise. Without limiting the generality of the foregoing, it is specifically provided that in the event of insolvency or other default of payment by either the Insurer or the Trust, FRIT shall have no responsibility to make any payment to the Trust, the Executive or any other person or entity. Any person or entity claiming entitlement to payments under the Policy may look only to the assets of the Insurer, and any person or entity claiming entitlement to payments under the Trust may look only to the assets of the Trust.</w:t>
      </w:r>
    </w:p>
    <w:p>
      <w:pPr>
        <w:spacing w:after="0" w:line="163" w:lineRule="exact"/>
        <w:rPr>
          <w:sz w:val="20"/>
          <w:szCs w:val="20"/>
          <w:color w:val="auto"/>
        </w:rPr>
      </w:pPr>
    </w:p>
    <w:p>
      <w:pPr>
        <w:ind w:left="860" w:hanging="421"/>
        <w:spacing w:after="0"/>
        <w:tabs>
          <w:tab w:leader="none" w:pos="8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Exhibits hereto set forth</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of the promises, agreements and understandings of the parties hereto with respect to the matters described herein, and there are no promises, agreements or understandings, oral or written, express or implied, between them with respect to such matters other than as set forth herein. Any and all prior promises, agreements and understandings between the parties hereto with respect to the matters described herein are hereby revoked.</w:t>
      </w:r>
    </w:p>
    <w:p>
      <w:pPr>
        <w:spacing w:after="0" w:line="164" w:lineRule="exact"/>
        <w:rPr>
          <w:sz w:val="20"/>
          <w:szCs w:val="20"/>
          <w:color w:val="auto"/>
        </w:rPr>
      </w:pPr>
    </w:p>
    <w:p>
      <w:pPr>
        <w:ind w:left="860" w:hanging="421"/>
        <w:spacing w:after="0"/>
        <w:tabs>
          <w:tab w:leader="none" w:pos="8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counterparts, each of which shall be deemed an original, but all of which together shall constitute one and the same instrument.</w:t>
      </w:r>
    </w:p>
    <w:p>
      <w:pPr>
        <w:spacing w:after="0" w:line="160"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FRIT, the Trust and Executive have executed this Agreement as of the day and year first above written.</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 Maryland real estate investment trust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TRUST: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NANCY J. HERMAN INSURANCE TRUST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Leah Kirk Thayer, Trustee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Nancy J. Herman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the Registrant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STATE OF</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DOING</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INCORPORATION</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BUSINESS AS NAME</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Street Retail, Inc.</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Maryland</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Street Retail, Inc.</w:t>
            </w:r>
          </w:p>
        </w:tc>
      </w:tr>
    </w:tbl>
    <w:p>
      <w:pPr>
        <w:sectPr>
          <w:pgSz w:w="11900" w:h="16838" w:orient="portrait"/>
          <w:cols w:equalWidth="0" w:num="1">
            <w:col w:w="10239"/>
          </w:cols>
          <w:pgMar w:left="220" w:top="472"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issued our reports dated February 8, 1999 accompanying the consolidated financial statements and schedules included in the Annual Report of Federal Realty Investment Trust on Form 10K for the year ended December 31, 1998. We hereby consent to the incorporation by reference of said reports in the Registration Statements of Federal Realty Investment Trust on Form S-3 (File No. 333-63619, effective September 30, 1998, which pursuant to Rule 429 of the Securities and Exchange Act of 1934 constitutes a post-effective amendment to File No. 33-63687, effective December 4, 1995; File No. 33-63955, effective November 3, 1995; File No. 33-15264, effective August 4, 1987) and Form S-8 (File No. 33-55111, effective August 17,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2001</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30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decimal"/>
      <w:start w:val="1"/>
    </w:lvl>
  </w:abstractNum>
  <w:abstractNum w:abstractNumId="13">
    <w:nsid w:val="100F59DC"/>
    <w:multiLevelType w:val="hybridMultilevel"/>
    <w:lvl w:ilvl="0">
      <w:lvlJc w:val="left"/>
      <w:lvlText w:val="(%1)"/>
      <w:numFmt w:val="decimal"/>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1)"/>
      <w:numFmt w:val="decimal"/>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lowerLetter"/>
      <w:start w:val="1"/>
    </w:lvl>
  </w:abstractNum>
  <w:abstractNum w:abstractNumId="22">
    <w:nsid w:val="14E17E33"/>
    <w:multiLevelType w:val="hybridMultilevel"/>
    <w:lvl w:ilvl="0">
      <w:lvlJc w:val="left"/>
      <w:lvlText w:val="(%1)"/>
      <w:numFmt w:val="decimal"/>
      <w:start w:val="3"/>
    </w:lvl>
    <w:lvl w:ilvl="1">
      <w:lvlJc w:val="left"/>
      <w:lvlText w:val="(%2)"/>
      <w:numFmt w:val="lowerRoman"/>
      <w:start w:val="2"/>
    </w:lvl>
  </w:abstractNum>
  <w:abstractNum w:abstractNumId="23">
    <w:nsid w:val="3222E7CD"/>
    <w:multiLevelType w:val="hybridMultilevel"/>
    <w:lvl w:ilvl="0">
      <w:lvlJc w:val="left"/>
      <w:lvlText w:val="(%1)"/>
      <w:numFmt w:val="lowerRoman"/>
      <w:start w:val="7"/>
    </w:lvl>
  </w:abstractNum>
  <w:abstractNum w:abstractNumId="24">
    <w:nsid w:val="74DE0EE3"/>
    <w:multiLevelType w:val="hybridMultilevel"/>
    <w:lvl w:ilvl="0">
      <w:lvlJc w:val="left"/>
      <w:lvlText w:val="%1"/>
      <w:numFmt w:val="decimal"/>
      <w:start w:val="1"/>
    </w:lvl>
    <w:lvl w:ilvl="1">
      <w:lvlJc w:val="left"/>
      <w:lvlText w:val="(%2)"/>
      <w:numFmt w:val="lowerRoman"/>
      <w:start w:val="8"/>
    </w:lvl>
  </w:abstractNum>
  <w:abstractNum w:abstractNumId="25">
    <w:nsid w:val="68EBC550"/>
    <w:multiLevelType w:val="hybridMultilevel"/>
    <w:lvl w:ilvl="0">
      <w:lvlJc w:val="left"/>
      <w:lvlText w:val="(%1)"/>
      <w:numFmt w:val="decimal"/>
      <w:start w:val="10"/>
    </w:lvl>
    <w:lvl w:ilvl="1">
      <w:lvlJc w:val="left"/>
      <w:lvlText w:val="(%2)"/>
      <w:numFmt w:val="lowerRoman"/>
      <w:start w:val="2"/>
    </w:lvl>
  </w:abstractNum>
  <w:abstractNum w:abstractNumId="26">
    <w:nsid w:val="2DF6D648"/>
    <w:multiLevelType w:val="hybridMultilevel"/>
    <w:lvl w:ilvl="0">
      <w:lvlJc w:val="left"/>
      <w:lvlText w:val="(%1)"/>
      <w:numFmt w:val="lowerRoman"/>
      <w:start w:val="10"/>
    </w:lvl>
  </w:abstractNum>
  <w:abstractNum w:abstractNumId="27">
    <w:nsid w:val="46B7D447"/>
    <w:multiLevelType w:val="hybridMultilevel"/>
    <w:lvl w:ilvl="0">
      <w:lvlJc w:val="left"/>
      <w:lvlText w:val="(%1)"/>
      <w:numFmt w:val="lowerRoman"/>
      <w:start w:val="11"/>
    </w:lvl>
  </w:abstractNum>
  <w:abstractNum w:abstractNumId="28">
    <w:nsid w:val="4A2AC315"/>
    <w:multiLevelType w:val="hybridMultilevel"/>
    <w:lvl w:ilvl="0">
      <w:lvlJc w:val="left"/>
      <w:lvlText w:val="(%1)"/>
      <w:numFmt w:val="lowerRoman"/>
      <w:start w:val="15"/>
    </w:lvl>
  </w:abstractNum>
  <w:abstractNum w:abstractNumId="29">
    <w:nsid w:val="39EE015C"/>
    <w:multiLevelType w:val="hybridMultilevel"/>
    <w:lvl w:ilvl="0">
      <w:lvlJc w:val="left"/>
      <w:lvlText w:val="(%1)"/>
      <w:numFmt w:val="lowerRoman"/>
      <w:start w:val="18"/>
    </w:lvl>
  </w:abstractNum>
  <w:abstractNum w:abstractNumId="30">
    <w:nsid w:val="57FC4FBB"/>
    <w:multiLevelType w:val="hybridMultilevel"/>
    <w:lvl w:ilvl="0">
      <w:lvlJc w:val="left"/>
      <w:lvlText w:val="(%1)"/>
      <w:numFmt w:val="lowerRoman"/>
      <w:start w:val="25"/>
    </w:lvl>
  </w:abstractNum>
  <w:abstractNum w:abstractNumId="31">
    <w:nsid w:val="CC1016F"/>
    <w:multiLevelType w:val="hybridMultilevel"/>
    <w:lvl w:ilvl="0">
      <w:lvlJc w:val="left"/>
      <w:lvlText w:val="(%1)"/>
      <w:numFmt w:val="lowerRoman"/>
      <w:start w:val="26"/>
    </w:lvl>
  </w:abstractNum>
  <w:abstractNum w:abstractNumId="32">
    <w:nsid w:val="43F18422"/>
    <w:multiLevelType w:val="hybridMultilevel"/>
    <w:lvl w:ilvl="0">
      <w:lvlJc w:val="left"/>
      <w:lvlText w:val="(%1)"/>
      <w:numFmt w:val="lowerRoman"/>
      <w:start w:val="31"/>
    </w:lvl>
  </w:abstractNum>
  <w:abstractNum w:abstractNumId="33">
    <w:nsid w:val="60EF0119"/>
    <w:multiLevelType w:val="hybridMultilevel"/>
    <w:lvl w:ilvl="0">
      <w:lvlJc w:val="left"/>
      <w:lvlText w:val="(%1)"/>
      <w:numFmt w:val="decimal"/>
      <w:start w:val="21"/>
    </w:lvl>
  </w:abstractNum>
  <w:abstractNum w:abstractNumId="34">
    <w:nsid w:val="26F324BA"/>
    <w:multiLevelType w:val="hybridMultilevel"/>
    <w:lvl w:ilvl="0">
      <w:lvlJc w:val="left"/>
      <w:lvlText w:val="(%1)"/>
      <w:numFmt w:val="decimal"/>
      <w:start w:val="23"/>
    </w:lvl>
  </w:abstractNum>
  <w:abstractNum w:abstractNumId="35">
    <w:nsid w:val="7F01579B"/>
    <w:multiLevelType w:val="hybridMultilevel"/>
    <w:lvl w:ilvl="0">
      <w:lvlJc w:val="left"/>
      <w:lvlText w:val="(%1)"/>
      <w:numFmt w:val="lowerLetter"/>
      <w:start w:val="2"/>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1)"/>
      <w:numFmt w:val="decimal"/>
      <w:start w:val="4"/>
    </w:lvl>
  </w:abstractNum>
  <w:abstractNum w:abstractNumId="39">
    <w:nsid w:val="50801EE1"/>
    <w:multiLevelType w:val="hybridMultilevel"/>
    <w:lvl w:ilvl="0">
      <w:lvlJc w:val="left"/>
      <w:lvlText w:val="(%1)"/>
      <w:numFmt w:val="lowerRoman"/>
      <w:start w:val="2"/>
    </w:lvl>
  </w:abstractNum>
  <w:abstractNum w:abstractNumId="40">
    <w:nsid w:val="488AC1A"/>
    <w:multiLevelType w:val="hybridMultilevel"/>
    <w:lvl w:ilvl="0">
      <w:lvlJc w:val="left"/>
      <w:lvlText w:val="(%1)"/>
      <w:numFmt w:val="upperLetter"/>
      <w:start w:val="1"/>
    </w:lvl>
  </w:abstractNum>
  <w:abstractNum w:abstractNumId="41">
    <w:nsid w:val="5FB8011C"/>
    <w:multiLevelType w:val="hybridMultilevel"/>
    <w:lvl w:ilvl="0">
      <w:lvlJc w:val="left"/>
      <w:lvlText w:val="%1)"/>
      <w:numFmt w:val="decimal"/>
      <w:start w:val="1"/>
    </w:lvl>
  </w:abstractNum>
  <w:abstractNum w:abstractNumId="42">
    <w:nsid w:val="6AA78F7F"/>
    <w:multiLevelType w:val="hybridMultilevel"/>
    <w:lvl w:ilvl="0">
      <w:lvlJc w:val="left"/>
      <w:lvlText w:val="%1."/>
      <w:numFmt w:val="decimal"/>
      <w:start w:val="1"/>
    </w:lvl>
  </w:abstractNum>
  <w:abstractNum w:abstractNumId="43">
    <w:nsid w:val="7672BD23"/>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
    </w:lvl>
  </w:abstractNum>
  <w:abstractNum w:abstractNumId="44">
    <w:nsid w:val="6FC75AF8"/>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45">
    <w:nsid w:val="6A5F702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6">
    <w:nsid w:val="7D5E18F8"/>
    <w:multiLevelType w:val="hybridMultilevel"/>
    <w:lvl w:ilvl="0">
      <w:lvlJc w:val="left"/>
      <w:lvlText w:val="(%1)"/>
      <w:numFmt w:val="lowerLetter"/>
      <w:start w:val="1"/>
    </w:lvl>
  </w:abstractNum>
  <w:abstractNum w:abstractNumId="47">
    <w:nsid w:val="5F3534A4"/>
    <w:multiLevelType w:val="hybridMultilevel"/>
    <w:lvl w:ilvl="0">
      <w:lvlJc w:val="left"/>
      <w:lvlText w:val="%1."/>
      <w:numFmt w:val="decimal"/>
      <w:start w:val="3"/>
    </w:lvl>
  </w:abstractNum>
  <w:abstractNum w:abstractNumId="48">
    <w:nsid w:val="73A1821B"/>
    <w:multiLevelType w:val="hybridMultilevel"/>
    <w:lvl w:ilvl="0">
      <w:lvlJc w:val="left"/>
      <w:lvlText w:val="%1."/>
      <w:numFmt w:val="decimal"/>
      <w:start w:val="1"/>
    </w:lvl>
  </w:abstractNum>
  <w:abstractNum w:abstractNumId="49">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0">
    <w:nsid w:val="555C55B5"/>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51">
    <w:nsid w:val="3FA62AC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2">
    <w:nsid w:val="14FCE74E"/>
    <w:multiLevelType w:val="hybridMultilevel"/>
    <w:lvl w:ilvl="0">
      <w:lvlJc w:val="left"/>
      <w:lvlText w:val="%1"/>
      <w:numFmt w:val="decimal"/>
      <w:start w:val="1"/>
    </w:lvl>
    <w:lvl w:ilvl="1">
      <w:lvlJc w:val="left"/>
      <w:lvlText w:val="(%2)"/>
      <w:numFmt w:val="lowerLetter"/>
      <w:start w:val="1"/>
    </w:lvl>
  </w:abstractNum>
  <w:abstractNum w:abstractNumId="53">
    <w:nsid w:val="6A3DD3E8"/>
    <w:multiLevelType w:val="hybridMultilevel"/>
    <w:lvl w:ilvl="0">
      <w:lvlJc w:val="left"/>
      <w:lvlText w:val="%1."/>
      <w:numFmt w:val="decimal"/>
      <w:start w:val="3"/>
    </w:lvl>
    <w:lvl w:ilvl="1">
      <w:lvlJc w:val="left"/>
      <w:lvlText w:val="%2"/>
      <w:numFmt w:val="lowerLetter"/>
      <w:start w:val="1"/>
    </w:lvl>
  </w:abstractNum>
  <w:abstractNum w:abstractNumId="54">
    <w:nsid w:val="71C91298"/>
    <w:multiLevelType w:val="hybridMultilevel"/>
    <w:lvl w:ilvl="0">
      <w:lvlJc w:val="left"/>
      <w:lvlText w:val="%1."/>
      <w:numFmt w:val="decimal"/>
      <w:start w:val="4"/>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7">
    <w:nsid w:val="1FBFE8E0"/>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58">
    <w:nsid w:val="5092CA7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9">
    <w:nsid w:val="1D545C4D"/>
    <w:multiLevelType w:val="hybridMultilevel"/>
    <w:lvl w:ilvl="0">
      <w:lvlJc w:val="left"/>
      <w:lvlText w:val="%1"/>
      <w:numFmt w:val="decimal"/>
      <w:start w:val="1"/>
    </w:lvl>
    <w:lvl w:ilvl="1">
      <w:lvlJc w:val="left"/>
      <w:lvlText w:val="(%2)"/>
      <w:numFmt w:val="lowerLetter"/>
      <w:start w:val="1"/>
    </w:lvl>
  </w:abstractNum>
  <w:abstractNum w:abstractNumId="60">
    <w:nsid w:val="59ADEA3D"/>
    <w:multiLevelType w:val="hybridMultilevel"/>
    <w:lvl w:ilvl="0">
      <w:lvlJc w:val="left"/>
      <w:lvlText w:val="%1."/>
      <w:numFmt w:val="decimal"/>
      <w:start w:val="3"/>
    </w:lvl>
    <w:lvl w:ilvl="1">
      <w:lvlJc w:val="left"/>
      <w:lvlText w:val="%2"/>
      <w:numFmt w:val="lowerLetter"/>
      <w:start w:val="1"/>
    </w:lvl>
  </w:abstractNum>
  <w:abstractNum w:abstractNumId="61">
    <w:nsid w:val="288F1A34"/>
    <w:multiLevelType w:val="hybridMultilevel"/>
    <w:lvl w:ilvl="0">
      <w:lvlJc w:val="left"/>
      <w:lvlText w:val="%1."/>
      <w:numFmt w:val="decimal"/>
      <w:start w:val="4"/>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1."/>
      <w:numFmt w:val="decimal"/>
      <w:start w:val="2"/>
    </w:lvl>
  </w:abstractNum>
  <w:abstractNum w:abstractNumId="64">
    <w:nsid w:val="97E1B4E"/>
    <w:multiLevelType w:val="hybridMultilevel"/>
    <w:lvl w:ilvl="0">
      <w:lvlJc w:val="left"/>
      <w:lvlText w:val="%1."/>
      <w:numFmt w:val="decimal"/>
      <w:start w:val="3"/>
    </w:lvl>
  </w:abstractNum>
  <w:abstractNum w:abstractNumId="65">
    <w:nsid w:val="51088277"/>
    <w:multiLevelType w:val="hybridMultilevel"/>
    <w:lvl w:ilvl="0">
      <w:lvlJc w:val="left"/>
      <w:lvlText w:val="%1"/>
      <w:numFmt w:val="decimal"/>
      <w:start w:val="1"/>
    </w:lvl>
    <w:lvl w:ilvl="1">
      <w:lvlJc w:val="left"/>
      <w:lvlText w:val="%2."/>
      <w:numFmt w:val="upperLetter"/>
      <w:start w:val="1"/>
    </w:lvl>
  </w:abstractNum>
  <w:abstractNum w:abstractNumId="66">
    <w:nsid w:val="1CA0C5FA"/>
    <w:multiLevelType w:val="hybridMultilevel"/>
    <w:lvl w:ilvl="0">
      <w:lvlJc w:val="left"/>
      <w:lvlText w:val="(%1)"/>
      <w:numFmt w:val="decimal"/>
      <w:start w:val="7"/>
    </w:lvl>
    <w:lvl w:ilvl="1">
      <w:lvlJc w:val="left"/>
      <w:lvlText w:val="%2"/>
      <w:numFmt w:val="upperLetter"/>
      <w:start w:val="1"/>
    </w:lvl>
  </w:abstractNum>
  <w:abstractNum w:abstractNumId="67">
    <w:nsid w:val="53584BCB"/>
    <w:multiLevelType w:val="hybridMultilevel"/>
    <w:lvl w:ilvl="0">
      <w:lvlJc w:val="left"/>
      <w:lvlText w:val="(%1)"/>
      <w:numFmt w:val="lowerRoman"/>
      <w:start w:val="2"/>
    </w:lvl>
    <w:lvl w:ilvl="1">
      <w:lvlJc w:val="left"/>
      <w:lvlText w:val="%2."/>
      <w:numFmt w:val="upperLetter"/>
      <w:start w:val="2"/>
    </w:lvl>
    <w:lvl w:ilvl="2">
      <w:lvlJc w:val="left"/>
      <w:lvlText w:val="%3."/>
      <w:numFmt w:val="upperLetter"/>
      <w:start w:val="3"/>
    </w:lvl>
  </w:abstractNum>
  <w:abstractNum w:abstractNumId="68">
    <w:nsid w:val="415E286C"/>
    <w:multiLevelType w:val="hybridMultilevel"/>
    <w:lvl w:ilvl="0">
      <w:lvlJc w:val="left"/>
      <w:lvlText w:val="%1."/>
      <w:numFmt w:val="decimal"/>
      <w:start w:val="4"/>
    </w:lvl>
  </w:abstractNum>
  <w:abstractNum w:abstractNumId="69">
    <w:nsid w:val="7C58FD05"/>
    <w:multiLevelType w:val="hybridMultilevel"/>
    <w:lvl w:ilvl="0">
      <w:lvlJc w:val="left"/>
      <w:lvlText w:val="%1."/>
      <w:numFmt w:val="decimal"/>
      <w:start w:val="5"/>
    </w:lvl>
  </w:abstractNum>
  <w:abstractNum w:abstractNumId="70">
    <w:nsid w:val="23D86AAC"/>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71">
    <w:nsid w:val="45E6D48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6"/>
    </w:lvl>
  </w:abstractNum>
  <w:abstractNum w:abstractNumId="72">
    <w:nsid w:val="5C10FE21"/>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8"/>
    </w:lvl>
  </w:abstractNum>
  <w:abstractNum w:abstractNumId="73">
    <w:nsid w:val="E7FFA2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74">
    <w:nsid w:val="3C5991AA"/>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75">
    <w:nsid w:val="4BD8591A"/>
    <w:multiLevelType w:val="hybridMultilevel"/>
    <w:lvl w:ilvl="0">
      <w:lvlJc w:val="left"/>
      <w:lvlText w:val="%1."/>
      <w:numFmt w:val="decimal"/>
      <w:start w:val="7"/>
    </w:lvl>
  </w:abstractNum>
  <w:abstractNum w:abstractNumId="76">
    <w:nsid w:val="78DF6A55"/>
    <w:multiLevelType w:val="hybridMultilevel"/>
    <w:lvl w:ilvl="0">
      <w:lvlJc w:val="left"/>
      <w:lvlText w:val="%1."/>
      <w:numFmt w:val="decimal"/>
      <w:start w:val="8"/>
    </w:lvl>
  </w:abstractNum>
  <w:abstractNum w:abstractNumId="77">
    <w:nsid w:val="39B7AAA2"/>
    <w:multiLevelType w:val="hybridMultilevel"/>
    <w:lvl w:ilvl="0">
      <w:lvlJc w:val="left"/>
      <w:lvlText w:val="%1."/>
      <w:numFmt w:val="decimal"/>
      <w:start w:val="9"/>
    </w:lvl>
  </w:abstractNum>
  <w:abstractNum w:abstractNumId="78">
    <w:nsid w:val="2B0D8DBE"/>
    <w:multiLevelType w:val="hybridMultilevel"/>
    <w:lvl w:ilvl="0">
      <w:lvlJc w:val="left"/>
      <w:lvlText w:val="%1."/>
      <w:numFmt w:val="decimal"/>
      <w:start w:val="10"/>
    </w:lvl>
  </w:abstractNum>
  <w:abstractNum w:abstractNumId="79">
    <w:nsid w:val="6C80EC70"/>
    <w:multiLevelType w:val="hybridMultilevel"/>
    <w:lvl w:ilvl="0">
      <w:lvlJc w:val="left"/>
      <w:lvlText w:val="%1."/>
      <w:numFmt w:val="decimal"/>
      <w:start w:val="11"/>
    </w:lvl>
  </w:abstractNum>
  <w:abstractNum w:abstractNumId="80">
    <w:nsid w:val="379E21B5"/>
    <w:multiLevelType w:val="hybridMultilevel"/>
    <w:lvl w:ilvl="0">
      <w:lvlJc w:val="left"/>
      <w:lvlText w:val="%1."/>
      <w:numFmt w:val="decimal"/>
      <w:start w:val="12"/>
    </w:lvl>
  </w:abstractNum>
  <w:abstractNum w:abstractNumId="81">
    <w:nsid w:val="69E373"/>
    <w:multiLevelType w:val="hybridMultilevel"/>
    <w:lvl w:ilvl="0">
      <w:lvlJc w:val="left"/>
      <w:lvlText w:val="%1."/>
      <w:numFmt w:val="decimal"/>
      <w:start w:val="13"/>
    </w:lvl>
  </w:abstractNum>
  <w:abstractNum w:abstractNumId="82">
    <w:nsid w:val="2C27173B"/>
    <w:multiLevelType w:val="hybridMultilevel"/>
    <w:lvl w:ilvl="0">
      <w:lvlJc w:val="left"/>
      <w:lvlText w:val="%1."/>
      <w:numFmt w:val="decimal"/>
      <w:start w:val="14"/>
    </w:lvl>
  </w:abstractNum>
  <w:abstractNum w:abstractNumId="83">
    <w:nsid w:val="4C9B0904"/>
    <w:multiLevelType w:val="hybridMultilevel"/>
    <w:lvl w:ilvl="0">
      <w:lvlJc w:val="left"/>
      <w:lvlText w:val="%1."/>
      <w:numFmt w:val="decimal"/>
      <w:start w:val="15"/>
    </w:lvl>
  </w:abstractNum>
  <w:abstractNum w:abstractNumId="84">
    <w:nsid w:val="6AA7B75C"/>
    <w:multiLevelType w:val="hybridMultilevel"/>
    <w:lvl w:ilvl="0">
      <w:lvlJc w:val="left"/>
      <w:lvlText w:val="%1."/>
      <w:numFmt w:val="decimal"/>
      <w:start w:val="16"/>
    </w:lvl>
  </w:abstractNum>
  <w:abstractNum w:abstractNumId="85">
    <w:nsid w:val="1DF029D3"/>
    <w:multiLevelType w:val="hybridMultilevel"/>
    <w:lvl w:ilvl="0">
      <w:lvlJc w:val="left"/>
      <w:lvlText w:val="%1."/>
      <w:numFmt w:val="decimal"/>
      <w:start w:val="17"/>
    </w:lvl>
    <w:lvl w:ilvl="1">
      <w:lvlJc w:val="left"/>
      <w:lvlText w:val="%2."/>
      <w:numFmt w:val="upperLetter"/>
      <w:start w:val="1"/>
    </w:lvl>
  </w:abstractNum>
  <w:abstractNum w:abstractNumId="86">
    <w:nsid w:val="5675FF36"/>
    <w:multiLevelType w:val="hybridMultilevel"/>
    <w:lvl w:ilvl="0">
      <w:lvlJc w:val="left"/>
      <w:lvlText w:val="%1."/>
      <w:numFmt w:val="decimal"/>
      <w:start w:val="19"/>
    </w:lvl>
  </w:abstractNum>
  <w:abstractNum w:abstractNumId="87">
    <w:nsid w:val="3DD15094"/>
    <w:multiLevelType w:val="hybridMultilevel"/>
    <w:lvl w:ilvl="0">
      <w:lvlJc w:val="left"/>
      <w:lvlText w:val="%1."/>
      <w:numFmt w:val="decimal"/>
      <w:start w:val="1"/>
    </w:lvl>
  </w:abstractNum>
  <w:abstractNum w:abstractNumId="88">
    <w:nsid w:val="3DB012B3"/>
    <w:multiLevelType w:val="hybridMultilevel"/>
    <w:lvl w:ilvl="0">
      <w:lvlJc w:val="left"/>
      <w:lvlText w:val="%1."/>
      <w:numFmt w:val="decimal"/>
      <w:start w:val="2"/>
    </w:lvl>
  </w:abstractNum>
  <w:abstractNum w:abstractNumId="89">
    <w:nsid w:val="2708C9AF"/>
    <w:multiLevelType w:val="hybridMultilevel"/>
    <w:lvl w:ilvl="0">
      <w:lvlJc w:val="left"/>
      <w:lvlText w:val="%1"/>
      <w:numFmt w:val="lowerRoman"/>
      <w:start w:val="1"/>
    </w:lvl>
    <w:lvl w:ilvl="1">
      <w:lvlJc w:val="left"/>
      <w:lvlText w:val="%2."/>
      <w:numFmt w:val="decimal"/>
      <w:start w:val="3"/>
    </w:lvl>
  </w:abstractNum>
  <w:abstractNum w:abstractNumId="90">
    <w:nsid w:val="5B25ACE2"/>
    <w:multiLevelType w:val="hybridMultilevel"/>
    <w:lvl w:ilvl="0">
      <w:lvlJc w:val="left"/>
      <w:lvlText w:val="(%1)"/>
      <w:numFmt w:val="lowerRoman"/>
      <w:start w:val="1"/>
    </w:lvl>
    <w:lvl w:ilvl="1">
      <w:lvlJc w:val="left"/>
      <w:lvlText w:val="%2"/>
      <w:numFmt w:val="decimal"/>
      <w:start w:val="1"/>
    </w:lvl>
  </w:abstractNum>
  <w:abstractNum w:abstractNumId="91">
    <w:nsid w:val="175DFCF0"/>
    <w:multiLevelType w:val="hybridMultilevel"/>
    <w:lvl w:ilvl="0">
      <w:lvlJc w:val="left"/>
      <w:lvlText w:val="%1"/>
      <w:numFmt w:val="decimal"/>
      <w:start w:val="1"/>
    </w:lvl>
    <w:lvl w:ilvl="1">
      <w:lvlJc w:val="left"/>
      <w:lvlText w:val="%2."/>
      <w:numFmt w:val="upperLetter"/>
      <w:start w:val="2"/>
    </w:lvl>
  </w:abstractNum>
  <w:abstractNum w:abstractNumId="92">
    <w:nsid w:val="4F97E3E4"/>
    <w:multiLevelType w:val="hybridMultilevel"/>
    <w:lvl w:ilvl="0">
      <w:lvlJc w:val="left"/>
      <w:lvlText w:val="%1."/>
      <w:numFmt w:val="decimal"/>
      <w:start w:val="4"/>
    </w:lvl>
    <w:lvl w:ilvl="1">
      <w:lvlJc w:val="left"/>
      <w:lvlText w:val="%2"/>
      <w:numFmt w:val="upperLetter"/>
      <w:start w:val="1"/>
    </w:lvl>
  </w:abstractNum>
  <w:abstractNum w:abstractNumId="93">
    <w:nsid w:val="53B0A9E"/>
    <w:multiLevelType w:val="hybridMultilevel"/>
    <w:lvl w:ilvl="0">
      <w:lvlJc w:val="left"/>
      <w:lvlText w:val="%1."/>
      <w:numFmt w:val="decimal"/>
      <w:start w:val="5"/>
    </w:lvl>
  </w:abstractNum>
  <w:abstractNum w:abstractNumId="94">
    <w:nsid w:val="34FD6B4F"/>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95">
    <w:nsid w:val="5915FF3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7"/>
    </w:lvl>
  </w:abstractNum>
  <w:abstractNum w:abstractNumId="96">
    <w:nsid w:val="56438D1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8"/>
    </w:lvl>
  </w:abstractNum>
  <w:abstractNum w:abstractNumId="97">
    <w:nsid w:val="519E314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98">
    <w:nsid w:val="2C6E4AFD"/>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99">
    <w:nsid w:val="17A1B582"/>
    <w:multiLevelType w:val="hybridMultilevel"/>
    <w:lvl w:ilvl="0">
      <w:lvlJc w:val="left"/>
      <w:lvlText w:val="%1."/>
      <w:numFmt w:val="decimal"/>
      <w:start w:val="7"/>
    </w:lvl>
  </w:abstractNum>
  <w:abstractNum w:abstractNumId="100">
    <w:nsid w:val="4DF72E4E"/>
    <w:multiLevelType w:val="hybridMultilevel"/>
    <w:lvl w:ilvl="0">
      <w:lvlJc w:val="left"/>
      <w:lvlText w:val="%1."/>
      <w:numFmt w:val="decimal"/>
      <w:start w:val="8"/>
    </w:lvl>
  </w:abstractNum>
  <w:abstractNum w:abstractNumId="101">
    <w:nsid w:val="5046B5A9"/>
    <w:multiLevelType w:val="hybridMultilevel"/>
    <w:lvl w:ilvl="0">
      <w:lvlJc w:val="left"/>
      <w:lvlText w:val="%1."/>
      <w:numFmt w:val="decimal"/>
      <w:start w:val="9"/>
    </w:lvl>
  </w:abstractNum>
  <w:abstractNum w:abstractNumId="102">
    <w:nsid w:val="5D888A08"/>
    <w:multiLevelType w:val="hybridMultilevel"/>
    <w:lvl w:ilvl="0">
      <w:lvlJc w:val="left"/>
      <w:lvlText w:val="%1."/>
      <w:numFmt w:val="decimal"/>
      <w:start w:val="10"/>
    </w:lvl>
  </w:abstractNum>
  <w:abstractNum w:abstractNumId="103">
    <w:nsid w:val="2A082C70"/>
    <w:multiLevelType w:val="hybridMultilevel"/>
    <w:lvl w:ilvl="0">
      <w:lvlJc w:val="left"/>
      <w:lvlText w:val="%1."/>
      <w:numFmt w:val="decimal"/>
      <w:start w:val="11"/>
    </w:lvl>
  </w:abstractNum>
  <w:abstractNum w:abstractNumId="104">
    <w:nsid w:val="5EC6AFD4"/>
    <w:multiLevelType w:val="hybridMultilevel"/>
    <w:lvl w:ilvl="0">
      <w:lvlJc w:val="left"/>
      <w:lvlText w:val="%1."/>
      <w:numFmt w:val="decimal"/>
      <w:start w:val="12"/>
    </w:lvl>
  </w:abstractNum>
  <w:abstractNum w:abstractNumId="105">
    <w:nsid w:val="19E21BB2"/>
    <w:multiLevelType w:val="hybridMultilevel"/>
    <w:lvl w:ilvl="0">
      <w:lvlJc w:val="left"/>
      <w:lvlText w:val="%1."/>
      <w:numFmt w:val="decimal"/>
      <w:start w:val="13"/>
    </w:lvl>
  </w:abstractNum>
  <w:abstractNum w:abstractNumId="106">
    <w:nsid w:val="75E0858A"/>
    <w:multiLevelType w:val="hybridMultilevel"/>
    <w:lvl w:ilvl="0">
      <w:lvlJc w:val="left"/>
      <w:lvlText w:val="%1."/>
      <w:numFmt w:val="decimal"/>
      <w:start w:val="14"/>
    </w:lvl>
  </w:abstractNum>
  <w:abstractNum w:abstractNumId="107">
    <w:nsid w:val="57A61A29"/>
    <w:multiLevelType w:val="hybridMultilevel"/>
    <w:lvl w:ilvl="0">
      <w:lvlJc w:val="left"/>
      <w:lvlText w:val="%1."/>
      <w:numFmt w:val="decimal"/>
      <w:start w:val="15"/>
    </w:lvl>
  </w:abstractNum>
  <w:abstractNum w:abstractNumId="108">
    <w:nsid w:val="5399C654"/>
    <w:multiLevelType w:val="hybridMultilevel"/>
    <w:lvl w:ilvl="0">
      <w:lvlJc w:val="left"/>
      <w:lvlText w:val="%1."/>
      <w:numFmt w:val="decimal"/>
      <w:start w:val="16"/>
    </w:lvl>
  </w:abstractNum>
  <w:abstractNum w:abstractNumId="109">
    <w:nsid w:val="20EE1348"/>
    <w:multiLevelType w:val="hybridMultilevel"/>
    <w:lvl w:ilvl="0">
      <w:lvlJc w:val="left"/>
      <w:lvlText w:val="%1."/>
      <w:numFmt w:val="decimal"/>
      <w:start w:val="17"/>
    </w:lvl>
    <w:lvl w:ilvl="1">
      <w:lvlJc w:val="left"/>
      <w:lvlText w:val="%2."/>
      <w:numFmt w:val="upperLetter"/>
      <w:start w:val="1"/>
    </w:lvl>
  </w:abstractNum>
  <w:abstractNum w:abstractNumId="110">
    <w:nsid w:val="4427069A"/>
    <w:multiLevelType w:val="hybridMultilevel"/>
    <w:lvl w:ilvl="0">
      <w:lvlJc w:val="left"/>
      <w:lvlText w:val="%1."/>
      <w:numFmt w:val="decimal"/>
      <w:start w:val="19"/>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decimal"/>
      <w:start w:val="2"/>
    </w:lvl>
  </w:abstractNum>
  <w:abstractNum w:abstractNumId="113">
    <w:nsid w:val="704E1DD5"/>
    <w:multiLevelType w:val="hybridMultilevel"/>
    <w:lvl w:ilvl="0">
      <w:lvlJc w:val="left"/>
      <w:lvlText w:val="%1."/>
      <w:numFmt w:val="decimal"/>
      <w:start w:val="3"/>
    </w:lvl>
    <w:lvl w:ilvl="1">
      <w:lvlJc w:val="left"/>
      <w:lvlText w:val="%2"/>
      <w:numFmt w:val="upperLetter"/>
      <w:start w:val="1"/>
    </w:lvl>
  </w:abstractNum>
  <w:abstractNum w:abstractNumId="114">
    <w:nsid w:val="57D2F10E"/>
    <w:multiLevelType w:val="hybridMultilevel"/>
    <w:lvl w:ilvl="0">
      <w:lvlJc w:val="left"/>
      <w:lvlText w:val="%1"/>
      <w:numFmt w:val="decimal"/>
      <w:start w:val="1"/>
    </w:lvl>
    <w:lvl w:ilvl="1">
      <w:lvlJc w:val="left"/>
      <w:lvlText w:val="%2."/>
      <w:numFmt w:val="upperLetter"/>
      <w:start w:val="2"/>
    </w:lvl>
  </w:abstractNum>
  <w:abstractNum w:abstractNumId="115">
    <w:nsid w:val="BFFAE18"/>
    <w:multiLevelType w:val="hybridMultilevel"/>
    <w:lvl w:ilvl="0">
      <w:lvlJc w:val="left"/>
      <w:lvlText w:val="%1."/>
      <w:numFmt w:val="decimal"/>
      <w:start w:val="4"/>
    </w:lvl>
    <w:lvl w:ilvl="1">
      <w:lvlJc w:val="left"/>
      <w:lvlText w:val="%2"/>
      <w:numFmt w:val="upperLetter"/>
      <w:start w:val="1"/>
    </w:lvl>
  </w:abstractNum>
  <w:abstractNum w:abstractNumId="116">
    <w:nsid w:val="E3E47A8"/>
    <w:multiLevelType w:val="hybridMultilevel"/>
    <w:lvl w:ilvl="0">
      <w:lvlJc w:val="left"/>
      <w:lvlText w:val="%1."/>
      <w:numFmt w:val="decimal"/>
      <w:start w:val="5"/>
    </w:lvl>
  </w:abstractNum>
  <w:abstractNum w:abstractNumId="117">
    <w:nsid w:val="2E48F044"/>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18">
    <w:nsid w:val="49D0FEAC"/>
    <w:multiLevelType w:val="hybridMultilevel"/>
    <w:lvl w:ilvl="0">
      <w:lvlJc w:val="left"/>
      <w:lvlText w:val="%1"/>
      <w:numFmt w:val="upperLetter"/>
      <w:start w:val="1"/>
    </w:lvl>
    <w:lvl w:ilvl="1">
      <w:lvlJc w:val="left"/>
      <w:lvlText w:val="(%2)"/>
      <w:numFmt w:val="decimal"/>
      <w:start w:val="7"/>
    </w:lvl>
  </w:abstractNum>
  <w:abstractNum w:abstractNumId="119">
    <w:nsid w:val="4BEE5A5B"/>
    <w:multiLevelType w:val="hybridMultilevel"/>
    <w:lvl w:ilvl="0">
      <w:lvlJc w:val="left"/>
      <w:lvlText w:val="%1."/>
      <w:numFmt w:val="upperLetter"/>
      <w:start w:val="2"/>
    </w:lvl>
    <w:lvl w:ilvl="1">
      <w:lvlJc w:val="left"/>
      <w:lvlText w:val="(%2)"/>
      <w:numFmt w:val="decimal"/>
      <w:start w:val="1"/>
    </w:lvl>
  </w:abstractNum>
  <w:abstractNum w:abstractNumId="120">
    <w:nsid w:val="5551B9F3"/>
    <w:multiLevelType w:val="hybridMultilevel"/>
    <w:lvl w:ilvl="0">
      <w:lvlJc w:val="left"/>
      <w:lvlText w:val="%1."/>
      <w:numFmt w:val="decimal"/>
      <w:start w:val="7"/>
    </w:lvl>
  </w:abstractNum>
  <w:abstractNum w:abstractNumId="121">
    <w:nsid w:val="24F6AB8E"/>
    <w:multiLevelType w:val="hybridMultilevel"/>
    <w:lvl w:ilvl="0">
      <w:lvlJc w:val="left"/>
      <w:lvlText w:val="%1."/>
      <w:numFmt w:val="decimal"/>
      <w:start w:val="8"/>
    </w:lvl>
  </w:abstractNum>
  <w:abstractNum w:abstractNumId="122">
    <w:nsid w:val="634C574C"/>
    <w:multiLevelType w:val="hybridMultilevel"/>
    <w:lvl w:ilvl="0">
      <w:lvlJc w:val="left"/>
      <w:lvlText w:val="%1."/>
      <w:numFmt w:val="decimal"/>
      <w:start w:val="9"/>
    </w:lvl>
  </w:abstractNum>
  <w:abstractNum w:abstractNumId="123">
    <w:nsid w:val="24E99DD7"/>
    <w:multiLevelType w:val="hybridMultilevel"/>
    <w:lvl w:ilvl="0">
      <w:lvlJc w:val="left"/>
      <w:lvlText w:val="%1."/>
      <w:numFmt w:val="decimal"/>
      <w:start w:val="10"/>
    </w:lvl>
  </w:abstractNum>
  <w:abstractNum w:abstractNumId="124">
    <w:nsid w:val="2A31B62D"/>
    <w:multiLevelType w:val="hybridMultilevel"/>
    <w:lvl w:ilvl="0">
      <w:lvlJc w:val="left"/>
      <w:lvlText w:val="%1."/>
      <w:numFmt w:val="decimal"/>
      <w:start w:val="11"/>
    </w:lvl>
  </w:abstractNum>
  <w:abstractNum w:abstractNumId="125">
    <w:nsid w:val="1849C29B"/>
    <w:multiLevelType w:val="hybridMultilevel"/>
    <w:lvl w:ilvl="0">
      <w:lvlJc w:val="left"/>
      <w:lvlText w:val="%1."/>
      <w:numFmt w:val="decimal"/>
      <w:start w:val="12"/>
    </w:lvl>
  </w:abstractNum>
  <w:abstractNum w:abstractNumId="126">
    <w:nsid w:val="7DFF9D09"/>
    <w:multiLevelType w:val="hybridMultilevel"/>
    <w:lvl w:ilvl="0">
      <w:lvlJc w:val="left"/>
      <w:lvlText w:val="%1."/>
      <w:numFmt w:val="decimal"/>
      <w:start w:val="13"/>
    </w:lvl>
  </w:abstractNum>
  <w:abstractNum w:abstractNumId="127">
    <w:nsid w:val="754342"/>
    <w:multiLevelType w:val="hybridMultilevel"/>
    <w:lvl w:ilvl="0">
      <w:lvlJc w:val="left"/>
      <w:lvlText w:val="%1."/>
      <w:numFmt w:val="decimal"/>
      <w:start w:val="14"/>
    </w:lvl>
  </w:abstractNum>
  <w:abstractNum w:abstractNumId="128">
    <w:nsid w:val="69E7F3E5"/>
    <w:multiLevelType w:val="hybridMultilevel"/>
    <w:lvl w:ilvl="0">
      <w:lvlJc w:val="left"/>
      <w:lvlText w:val="%1."/>
      <w:numFmt w:val="decimal"/>
      <w:start w:val="15"/>
    </w:lvl>
  </w:abstractNum>
  <w:abstractNum w:abstractNumId="129">
    <w:nsid w:val="2A6DE806"/>
    <w:multiLevelType w:val="hybridMultilevel"/>
    <w:lvl w:ilvl="0">
      <w:lvlJc w:val="left"/>
      <w:lvlText w:val="%1."/>
      <w:numFmt w:val="decimal"/>
      <w:start w:val="16"/>
    </w:lvl>
    <w:lvl w:ilvl="1">
      <w:lvlJc w:val="left"/>
      <w:lvlText w:val="%2."/>
      <w:numFmt w:val="upperLetter"/>
      <w:start w:val="1"/>
    </w:lvl>
  </w:abstractNum>
  <w:abstractNum w:abstractNumId="130">
    <w:nsid w:val="1816F8C4"/>
    <w:multiLevelType w:val="hybridMultilevel"/>
    <w:lvl w:ilvl="0">
      <w:lvlJc w:val="left"/>
      <w:lvlText w:val="%1."/>
      <w:numFmt w:val="decimal"/>
      <w:start w:val="18"/>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2"/>
    </w:lvl>
  </w:abstractNum>
  <w:abstractNum w:abstractNumId="133">
    <w:nsid w:val="759F82CD"/>
    <w:multiLevelType w:val="hybridMultilevel"/>
    <w:lvl w:ilvl="0">
      <w:lvlJc w:val="left"/>
      <w:lvlText w:val="%1."/>
      <w:numFmt w:val="decimal"/>
      <w:start w:val="3"/>
    </w:lvl>
    <w:lvl w:ilvl="1">
      <w:lvlJc w:val="left"/>
      <w:lvlText w:val="%2"/>
      <w:numFmt w:val="upperLetter"/>
      <w:start w:val="1"/>
    </w:lvl>
  </w:abstractNum>
  <w:abstractNum w:abstractNumId="134">
    <w:nsid w:val="61E74EA3"/>
    <w:multiLevelType w:val="hybridMultilevel"/>
    <w:lvl w:ilvl="0">
      <w:lvlJc w:val="left"/>
      <w:lvlText w:val="%1"/>
      <w:numFmt w:val="decimal"/>
      <w:start w:val="1"/>
    </w:lvl>
    <w:lvl w:ilvl="1">
      <w:lvlJc w:val="left"/>
      <w:lvlText w:val="%2."/>
      <w:numFmt w:val="upperLetter"/>
      <w:start w:val="2"/>
    </w:lvl>
  </w:abstractNum>
  <w:abstractNum w:abstractNumId="135">
    <w:nsid w:val="597B4D84"/>
    <w:multiLevelType w:val="hybridMultilevel"/>
    <w:lvl w:ilvl="0">
      <w:lvlJc w:val="left"/>
      <w:lvlText w:val="%1."/>
      <w:numFmt w:val="decimal"/>
      <w:start w:val="4"/>
    </w:lvl>
    <w:lvl w:ilvl="1">
      <w:lvlJc w:val="left"/>
      <w:lvlText w:val="%2"/>
      <w:numFmt w:val="upperLetter"/>
      <w:start w:val="1"/>
    </w:lvl>
  </w:abstractNum>
  <w:abstractNum w:abstractNumId="136">
    <w:nsid w:val="F819E7F"/>
    <w:multiLevelType w:val="hybridMultilevel"/>
    <w:lvl w:ilvl="0">
      <w:lvlJc w:val="left"/>
      <w:lvlText w:val="%1."/>
      <w:numFmt w:val="decimal"/>
      <w:start w:val="5"/>
    </w:lvl>
  </w:abstractNum>
  <w:abstractNum w:abstractNumId="137">
    <w:nsid w:val="57C7D42D"/>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138">
    <w:nsid w:val="312167AD"/>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39">
    <w:nsid w:val="631B64D4"/>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8"/>
    </w:lvl>
  </w:abstractNum>
  <w:abstractNum w:abstractNumId="140">
    <w:nsid w:val="78B5E776"/>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141">
    <w:nsid w:val="75486E47"/>
    <w:multiLevelType w:val="hybridMultilevel"/>
    <w:lvl w:ilvl="0">
      <w:lvlJc w:val="left"/>
      <w:lvlText w:val="(%1)"/>
      <w:numFmt w:val="decimal"/>
      <w:start w:val="60"/>
    </w:lvl>
    <w:lvl w:ilvl="1">
      <w:lvlJc w:val="left"/>
      <w:lvlText w:val="%2."/>
      <w:numFmt w:val="decimal"/>
      <w:start w:val="7"/>
    </w:lvl>
    <w:lvl w:ilvl="2">
      <w:lvlJc w:val="left"/>
      <w:lvlText w:val="%3"/>
      <w:numFmt w:val="upperLetter"/>
      <w:start w:val="1"/>
    </w:lvl>
    <w:lvl w:ilvl="3">
      <w:lvlJc w:val="left"/>
      <w:lvlText w:val="%4"/>
      <w:numFmt w:val="decimal"/>
      <w:start w:val="1"/>
    </w:lvl>
  </w:abstractNum>
  <w:abstractNum w:abstractNumId="142">
    <w:nsid w:val="6E534CDE"/>
    <w:multiLevelType w:val="hybridMultilevel"/>
    <w:lvl w:ilvl="0">
      <w:lvlJc w:val="left"/>
      <w:lvlText w:val="%1."/>
      <w:numFmt w:val="decimal"/>
      <w:start w:val="8"/>
    </w:lvl>
  </w:abstractNum>
  <w:abstractNum w:abstractNumId="143">
    <w:nsid w:val="1A0DDE32"/>
    <w:multiLevelType w:val="hybridMultilevel"/>
    <w:lvl w:ilvl="0">
      <w:lvlJc w:val="left"/>
      <w:lvlText w:val="%1."/>
      <w:numFmt w:val="decimal"/>
      <w:start w:val="9"/>
    </w:lvl>
  </w:abstractNum>
  <w:abstractNum w:abstractNumId="144">
    <w:nsid w:val="65968C1C"/>
    <w:multiLevelType w:val="hybridMultilevel"/>
    <w:lvl w:ilvl="0">
      <w:lvlJc w:val="left"/>
      <w:lvlText w:val="%1."/>
      <w:numFmt w:val="decimal"/>
      <w:start w:val="10"/>
    </w:lvl>
  </w:abstractNum>
  <w:abstractNum w:abstractNumId="145">
    <w:nsid w:val="46263DEC"/>
    <w:multiLevelType w:val="hybridMultilevel"/>
    <w:lvl w:ilvl="0">
      <w:lvlJc w:val="left"/>
      <w:lvlText w:val="%1."/>
      <w:numFmt w:val="decimal"/>
      <w:start w:val="11"/>
    </w:lvl>
  </w:abstractNum>
  <w:abstractNum w:abstractNumId="146">
    <w:nsid w:val="260D8C4A"/>
    <w:multiLevelType w:val="hybridMultilevel"/>
    <w:lvl w:ilvl="0">
      <w:lvlJc w:val="left"/>
      <w:lvlText w:val="%1."/>
      <w:numFmt w:val="decimal"/>
      <w:start w:val="12"/>
    </w:lvl>
  </w:abstractNum>
  <w:abstractNum w:abstractNumId="147">
    <w:nsid w:val="73D4D3C4"/>
    <w:multiLevelType w:val="hybridMultilevel"/>
    <w:lvl w:ilvl="0">
      <w:lvlJc w:val="left"/>
      <w:lvlText w:val="%1."/>
      <w:numFmt w:val="decimal"/>
      <w:start w:val="13"/>
    </w:lvl>
  </w:abstractNum>
  <w:abstractNum w:abstractNumId="148">
    <w:nsid w:val="746F2E30"/>
    <w:multiLevelType w:val="hybridMultilevel"/>
    <w:lvl w:ilvl="0">
      <w:lvlJc w:val="left"/>
      <w:lvlText w:val="%1."/>
      <w:numFmt w:val="decimal"/>
      <w:start w:val="14"/>
    </w:lvl>
  </w:abstractNum>
  <w:abstractNum w:abstractNumId="149">
    <w:nsid w:val="6FDE8AF6"/>
    <w:multiLevelType w:val="hybridMultilevel"/>
    <w:lvl w:ilvl="0">
      <w:lvlJc w:val="left"/>
      <w:lvlText w:val="%1."/>
      <w:numFmt w:val="decimal"/>
      <w:start w:val="15"/>
    </w:lvl>
  </w:abstractNum>
  <w:abstractNum w:abstractNumId="150">
    <w:nsid w:val="3FC32E20"/>
    <w:multiLevelType w:val="hybridMultilevel"/>
    <w:lvl w:ilvl="0">
      <w:lvlJc w:val="left"/>
      <w:lvlText w:val="%1."/>
      <w:numFmt w:val="decimal"/>
      <w:start w:val="16"/>
    </w:lvl>
  </w:abstractNum>
  <w:abstractNum w:abstractNumId="151">
    <w:nsid w:val="49C0E823"/>
    <w:multiLevelType w:val="hybridMultilevel"/>
    <w:lvl w:ilvl="0">
      <w:lvlJc w:val="left"/>
      <w:lvlText w:val="%1."/>
      <w:numFmt w:val="decimal"/>
      <w:start w:val="17"/>
    </w:lvl>
  </w:abstractNum>
  <w:abstractNum w:abstractNumId="152">
    <w:nsid w:val="14D53685"/>
    <w:multiLevelType w:val="hybridMultilevel"/>
    <w:lvl w:ilvl="0">
      <w:lvlJc w:val="left"/>
      <w:lvlText w:val="%1."/>
      <w:numFmt w:val="decimal"/>
      <w:start w:val="18"/>
    </w:lvl>
  </w:abstractNum>
  <w:abstractNum w:abstractNumId="153">
    <w:nsid w:val="230F856C"/>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2019-12-12T09:27:28Z</dcterms:created>
  <dcterms:modified xsi:type="dcterms:W3CDTF">2019-12-12T09:27:28Z</dcterms:modified>
</cp:coreProperties>
</file>