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7, 2016, Federal Realty Investment Trust (the “Registrant”) entered into an underwriting agreement with Wells Fargo Securities, LLC, Deutsche Bank Securities Inc. and U.S. Bancorp Investments, Inc., as representatives of the several underwriters named in Schedule I to the related pricing agreement, whereby the Registrant agreed to issue and sell $250,000,000 aggregate principal amount of 3.625% Notes due 2046 (the “Notes”) in an underwritten public offering.</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offering of the Notes closed on July 12, 2016. The Notes are be governed by the Indenture, dated as of September 1, 1998, between the Registrant and U.S. Bank National Association (successor trustee to Wachovia Bank, National Association (successor trustee to First Union National Bank)).</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senior unsecured obligations of the Registrant and rank equally with all of the Registrant’s other senior unsecured indebtedness. The Notes bear interest at 3.625% per annum, and interest is payable on February 1 and August 1 of each year, beginning on February 1, 2017. The Notes will mature on August 1, 2046.</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Underwriting Agreement, dated July 7, 2016, by and among the Registrant and Wells Fargo Securities, LLC, Deutsche Bank Securities Inc.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U.S. Bancorp Investments, Inc., as representatives of the underwriters named in Schedule I to the related pricing agreement</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Pricing Agreement, dated July 7, 2016, by and among the Registrant and Wells Fargo Securities, LLC, Deutsche Bank Securities Inc. and U.S.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Bancorp Investments, Inc., as representatives of the underwriters named therein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Form of 3.625% Note due 2046</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12.1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Statement Regarding Computation of Ratio of Earnings to Fixed Charges</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Date: July 12, 2016</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Executive Vice President-Managing Director Mixed-Use</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Operations</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July 7,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N. Tryon St., 26th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81" w:lineRule="exact"/>
        <w:rPr>
          <w:sz w:val="20"/>
          <w:szCs w:val="20"/>
          <w:color w:val="auto"/>
        </w:rPr>
      </w:pPr>
    </w:p>
    <w:p>
      <w:pPr>
        <w:ind w:firstLine="464"/>
        <w:spacing w:after="0" w:line="28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71"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211" w:lineRule="exact"/>
        <w:rPr>
          <w:sz w:val="20"/>
          <w:szCs w:val="20"/>
          <w:color w:val="auto"/>
        </w:rPr>
      </w:pPr>
    </w:p>
    <w:p>
      <w:pPr>
        <w:ind w:left="460" w:firstLine="443"/>
        <w:spacing w:after="0" w:line="285" w:lineRule="auto"/>
        <w:tabs>
          <w:tab w:leader="none" w:pos="114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w:t>
      </w:r>
    </w:p>
    <w:p>
      <w:pPr>
        <w:spacing w:after="0" w:line="2" w:lineRule="exact"/>
        <w:rPr>
          <w:rFonts w:ascii="Arial" w:cs="Arial" w:eastAsia="Arial" w:hAnsi="Arial"/>
          <w:sz w:val="16"/>
          <w:szCs w:val="16"/>
          <w:color w:val="auto"/>
        </w:rPr>
      </w:pPr>
    </w:p>
    <w:p>
      <w:pPr>
        <w:ind w:left="460" w:right="120" w:firstLine="4"/>
        <w:spacing w:after="0" w:line="255" w:lineRule="auto"/>
        <w:tabs>
          <w:tab w:leader="none" w:pos="7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178"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179" w:lineRule="exact"/>
        <w:rPr>
          <w:sz w:val="20"/>
          <w:szCs w:val="20"/>
          <w:color w:val="auto"/>
        </w:rPr>
      </w:pPr>
    </w:p>
    <w:p>
      <w:pPr>
        <w:ind w:right="120" w:firstLine="438"/>
        <w:spacing w:after="0" w:line="285" w:lineRule="auto"/>
        <w:rPr>
          <w:sz w:val="20"/>
          <w:szCs w:val="20"/>
          <w:color w:val="auto"/>
        </w:rPr>
      </w:pPr>
      <w:r>
        <w:rPr>
          <w:rFonts w:ascii="Arial" w:cs="Arial" w:eastAsia="Arial" w:hAnsi="Arial"/>
          <w:sz w:val="16"/>
          <w:szCs w:val="16"/>
          <w:color w:val="auto"/>
        </w:rPr>
        <w:t>(b)(A)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2" w:lineRule="exact"/>
        <w:rPr>
          <w:sz w:val="20"/>
          <w:szCs w:val="20"/>
          <w:color w:val="auto"/>
        </w:rPr>
      </w:pPr>
    </w:p>
    <w:p>
      <w:pPr>
        <w:ind w:right="60" w:firstLine="4"/>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Act) of the Designated Securities, (E) at the date hereof and (F) at the date of each Pricing Agreement, the Company was, is and will be a “well-known seasoned issuer” as defined in Rule 405 under the Act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6" w:name="page7"/>
    <w:bookmarkEnd w:id="6"/>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171" w:lineRule="exact"/>
        <w:rPr>
          <w:sz w:val="20"/>
          <w:szCs w:val="20"/>
          <w:color w:val="auto"/>
        </w:rPr>
      </w:pPr>
    </w:p>
    <w:p>
      <w:pPr>
        <w:jc w:val="both"/>
        <w:ind w:right="100" w:firstLine="443"/>
        <w:spacing w:after="0" w:line="302" w:lineRule="auto"/>
        <w:tabs>
          <w:tab w:leader="none" w:pos="68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54"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88" w:lineRule="exact"/>
        <w:rPr>
          <w:sz w:val="20"/>
          <w:szCs w:val="20"/>
          <w:color w:val="auto"/>
        </w:rPr>
      </w:pPr>
    </w:p>
    <w:p>
      <w:pPr>
        <w:ind w:right="100" w:firstLine="443"/>
        <w:spacing w:after="0" w:line="255" w:lineRule="auto"/>
        <w:tabs>
          <w:tab w:leader="none" w:pos="733"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193"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30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154"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225"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170"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6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166" w:lineRule="exact"/>
        <w:rPr>
          <w:sz w:val="20"/>
          <w:szCs w:val="20"/>
          <w:color w:val="auto"/>
        </w:rPr>
      </w:pPr>
    </w:p>
    <w:p>
      <w:pPr>
        <w:ind w:right="360" w:firstLine="443"/>
        <w:spacing w:after="0" w:line="312"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146"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189" w:lineRule="exact"/>
        <w:rPr>
          <w:rFonts w:ascii="Arial" w:cs="Arial" w:eastAsia="Arial" w:hAnsi="Arial"/>
          <w:sz w:val="18"/>
          <w:szCs w:val="18"/>
          <w:color w:val="auto"/>
        </w:rPr>
      </w:pPr>
    </w:p>
    <w:p>
      <w:pPr>
        <w:ind w:firstLine="443"/>
        <w:spacing w:after="0" w:line="268" w:lineRule="auto"/>
        <w:tabs>
          <w:tab w:leader="none" w:pos="66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158" w:lineRule="exact"/>
        <w:rPr>
          <w:sz w:val="20"/>
          <w:szCs w:val="20"/>
          <w:color w:val="auto"/>
        </w:rPr>
      </w:pPr>
    </w:p>
    <w:p>
      <w:pPr>
        <w:ind w:firstLine="443"/>
        <w:spacing w:after="0" w:line="285" w:lineRule="auto"/>
        <w:tabs>
          <w:tab w:leader="none" w:pos="69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11, 2015 between the Company and Wells Fargo Securities, LLC and (b) the Equity Distribution Agreement dated May 11, 2015 between the Company and Merrill Lynch, Pierce, Fenner &amp; Smith Incorporated,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10" w:name="page11"/>
    <w:bookmarkEnd w:id="10"/>
    <w:p>
      <w:pPr>
        <w:ind w:right="60" w:firstLine="443"/>
        <w:spacing w:after="0" w:line="257"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188" w:lineRule="exact"/>
        <w:rPr>
          <w:rFonts w:ascii="Arial" w:cs="Arial" w:eastAsia="Arial" w:hAnsi="Arial"/>
          <w:sz w:val="18"/>
          <w:szCs w:val="18"/>
          <w:color w:val="auto"/>
        </w:rPr>
      </w:pPr>
    </w:p>
    <w:p>
      <w:pPr>
        <w:ind w:right="480" w:firstLine="443"/>
        <w:spacing w:after="0" w:line="277" w:lineRule="auto"/>
        <w:tabs>
          <w:tab w:leader="none" w:pos="6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Underwriting Agreement, and this Underwriting Agreement has been duly and validly authorized, executed and delivered by the Company.</w:t>
      </w:r>
    </w:p>
    <w:p>
      <w:pPr>
        <w:spacing w:after="0" w:line="170" w:lineRule="exact"/>
        <w:rPr>
          <w:rFonts w:ascii="Arial" w:cs="Arial" w:eastAsia="Arial" w:hAnsi="Arial"/>
          <w:sz w:val="18"/>
          <w:szCs w:val="18"/>
          <w:color w:val="auto"/>
        </w:rPr>
      </w:pPr>
    </w:p>
    <w:p>
      <w:pPr>
        <w:ind w:right="160" w:firstLine="443"/>
        <w:spacing w:after="0" w:line="289" w:lineRule="auto"/>
        <w:tabs>
          <w:tab w:leader="none" w:pos="6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166" w:lineRule="exact"/>
        <w:rPr>
          <w:rFonts w:ascii="Arial" w:cs="Arial" w:eastAsia="Arial" w:hAnsi="Arial"/>
          <w:sz w:val="16"/>
          <w:szCs w:val="16"/>
          <w:color w:val="auto"/>
        </w:rPr>
      </w:pPr>
    </w:p>
    <w:p>
      <w:pPr>
        <w:ind w:firstLine="443"/>
        <w:spacing w:after="0" w:line="253"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20" w:firstLine="443"/>
        <w:spacing w:after="0" w:line="268" w:lineRule="auto"/>
        <w:tabs>
          <w:tab w:leader="none" w:pos="65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187" w:lineRule="exact"/>
        <w:rPr>
          <w:rFonts w:ascii="Arial" w:cs="Arial" w:eastAsia="Arial" w:hAnsi="Arial"/>
          <w:sz w:val="17"/>
          <w:szCs w:val="17"/>
          <w:color w:val="auto"/>
        </w:rPr>
      </w:pPr>
    </w:p>
    <w:p>
      <w:pPr>
        <w:ind w:firstLine="443"/>
        <w:spacing w:after="0" w:line="255" w:lineRule="auto"/>
        <w:tabs>
          <w:tab w:leader="none" w:pos="7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193" w:lineRule="exact"/>
        <w:rPr>
          <w:rFonts w:ascii="Arial" w:cs="Arial" w:eastAsia="Arial" w:hAnsi="Arial"/>
          <w:sz w:val="18"/>
          <w:szCs w:val="18"/>
          <w:color w:val="auto"/>
        </w:rPr>
      </w:pPr>
    </w:p>
    <w:p>
      <w:pPr>
        <w:ind w:right="40" w:firstLine="443"/>
        <w:spacing w:after="0" w:line="272"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right="2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186" w:lineRule="exact"/>
        <w:rPr>
          <w:rFonts w:ascii="Arial" w:cs="Arial" w:eastAsia="Arial" w:hAnsi="Arial"/>
          <w:sz w:val="18"/>
          <w:szCs w:val="18"/>
          <w:color w:val="auto"/>
        </w:rPr>
      </w:pPr>
    </w:p>
    <w:p>
      <w:pPr>
        <w:ind w:firstLine="443"/>
        <w:spacing w:after="0" w:line="25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88"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181" w:lineRule="exact"/>
        <w:rPr>
          <w:rFonts w:ascii="Arial" w:cs="Arial" w:eastAsia="Arial" w:hAnsi="Arial"/>
          <w:sz w:val="18"/>
          <w:szCs w:val="18"/>
          <w:color w:val="auto"/>
        </w:rPr>
      </w:pPr>
    </w:p>
    <w:p>
      <w:pPr>
        <w:ind w:right="80" w:firstLine="443"/>
        <w:spacing w:after="0" w:line="257" w:lineRule="auto"/>
        <w:tabs>
          <w:tab w:leader="none" w:pos="6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2015 and the consolidated statements of comprehensive income, consolidated statements of shareholders’ equity and consolidated statements of cash flows for the year ended December 31, 2015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188" w:lineRule="exact"/>
        <w:rPr>
          <w:rFonts w:ascii="Arial" w:cs="Arial" w:eastAsia="Arial" w:hAnsi="Arial"/>
          <w:sz w:val="18"/>
          <w:szCs w:val="18"/>
          <w:color w:val="auto"/>
        </w:rPr>
      </w:pPr>
    </w:p>
    <w:p>
      <w:pPr>
        <w:ind w:firstLine="443"/>
        <w:spacing w:after="0" w:line="276" w:lineRule="auto"/>
        <w:tabs>
          <w:tab w:leader="none" w:pos="6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95" w:lineRule="exact"/>
        <w:rPr>
          <w:sz w:val="20"/>
          <w:szCs w:val="20"/>
          <w:color w:val="auto"/>
        </w:rPr>
      </w:pPr>
    </w:p>
    <w:p>
      <w:pPr>
        <w:ind w:right="340" w:firstLine="443"/>
        <w:spacing w:after="0" w:line="308" w:lineRule="auto"/>
        <w:tabs>
          <w:tab w:leader="none" w:pos="6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146" w:lineRule="exact"/>
        <w:rPr>
          <w:rFonts w:ascii="Arial" w:cs="Arial" w:eastAsia="Arial" w:hAnsi="Arial"/>
          <w:sz w:val="17"/>
          <w:szCs w:val="17"/>
          <w:color w:val="auto"/>
        </w:rPr>
      </w:pPr>
    </w:p>
    <w:p>
      <w:pPr>
        <w:ind w:right="100" w:firstLine="443"/>
        <w:spacing w:after="0" w:line="272"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77" w:lineRule="exact"/>
        <w:rPr>
          <w:rFonts w:ascii="Arial" w:cs="Arial" w:eastAsia="Arial" w:hAnsi="Arial"/>
          <w:sz w:val="17"/>
          <w:szCs w:val="17"/>
          <w:color w:val="auto"/>
        </w:rPr>
      </w:pPr>
    </w:p>
    <w:p>
      <w:pPr>
        <w:ind w:right="140" w:firstLine="443"/>
        <w:spacing w:after="0" w:line="25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14" w:name="page15"/>
    <w:bookmarkEnd w:id="14"/>
    <w:p>
      <w:pPr>
        <w:ind w:firstLine="443"/>
        <w:spacing w:after="0" w:line="293" w:lineRule="auto"/>
        <w:tabs>
          <w:tab w:leader="none" w:pos="733"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64"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69" w:lineRule="exact"/>
        <w:rPr>
          <w:rFonts w:ascii="Arial" w:cs="Arial" w:eastAsia="Arial" w:hAnsi="Arial"/>
          <w:sz w:val="16"/>
          <w:szCs w:val="16"/>
          <w:color w:val="auto"/>
        </w:rPr>
      </w:pPr>
    </w:p>
    <w:p>
      <w:pPr>
        <w:ind w:left="700" w:hanging="257"/>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20" w:right="60" w:firstLine="443"/>
        <w:spacing w:after="0" w:line="291" w:lineRule="auto"/>
        <w:tabs>
          <w:tab w:leader="none" w:pos="1103"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67" w:lineRule="exact"/>
        <w:rPr>
          <w:sz w:val="20"/>
          <w:szCs w:val="20"/>
          <w:color w:val="auto"/>
        </w:rPr>
      </w:pPr>
    </w:p>
    <w:p>
      <w:pPr>
        <w:jc w:val="both"/>
        <w:ind w:left="420" w:right="160" w:firstLine="443"/>
        <w:spacing w:after="0" w:line="342" w:lineRule="auto"/>
        <w:tabs>
          <w:tab w:leader="none" w:pos="118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23" w:lineRule="exact"/>
        <w:rPr>
          <w:rFonts w:ascii="Arial" w:cs="Arial" w:eastAsia="Arial" w:hAnsi="Arial"/>
          <w:sz w:val="16"/>
          <w:szCs w:val="16"/>
          <w:color w:val="auto"/>
        </w:rPr>
      </w:pPr>
    </w:p>
    <w:p>
      <w:pPr>
        <w:jc w:val="both"/>
        <w:ind w:left="-40" w:right="40" w:firstLine="464"/>
        <w:spacing w:after="0" w:line="264" w:lineRule="auto"/>
        <w:tabs>
          <w:tab w:leader="none" w:pos="5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40" w:firstLine="464"/>
        <w:spacing w:after="0" w:line="291" w:lineRule="auto"/>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7" w:lineRule="exact"/>
        <w:rPr>
          <w:rFonts w:ascii="Arial" w:cs="Arial" w:eastAsia="Arial" w:hAnsi="Arial"/>
          <w:sz w:val="16"/>
          <w:szCs w:val="16"/>
          <w:color w:val="auto"/>
        </w:rPr>
      </w:pPr>
    </w:p>
    <w:p>
      <w:pPr>
        <w:ind w:left="600" w:hanging="17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225" w:lineRule="exact"/>
        <w:rPr>
          <w:rFonts w:ascii="Arial" w:cs="Arial" w:eastAsia="Arial" w:hAnsi="Arial"/>
          <w:sz w:val="18"/>
          <w:szCs w:val="18"/>
          <w:color w:val="auto"/>
        </w:rPr>
      </w:pPr>
    </w:p>
    <w:p>
      <w:pPr>
        <w:ind w:left="420" w:right="100" w:firstLine="443"/>
        <w:spacing w:after="0" w:line="279" w:lineRule="auto"/>
        <w:tabs>
          <w:tab w:leader="none" w:pos="1103"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72" w:lineRule="exact"/>
        <w:rPr>
          <w:sz w:val="20"/>
          <w:szCs w:val="20"/>
          <w:color w:val="auto"/>
        </w:rPr>
      </w:pPr>
    </w:p>
    <w:p>
      <w:pPr>
        <w:ind w:right="20" w:firstLine="443"/>
        <w:spacing w:after="0" w:line="269" w:lineRule="auto"/>
        <w:tabs>
          <w:tab w:leader="none" w:pos="6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74" w:right="279" w:bottom="1440" w:gutter="0" w:footer="0" w:header="0"/>
        </w:sectPr>
      </w:pPr>
    </w:p>
    <w:bookmarkStart w:id="17" w:name="page18"/>
    <w:bookmarkEnd w:id="17"/>
    <w:p>
      <w:pPr>
        <w:ind w:right="20" w:firstLine="443"/>
        <w:spacing w:after="0" w:line="270" w:lineRule="auto"/>
        <w:tabs>
          <w:tab w:leader="none" w:pos="683"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77" w:lineRule="exact"/>
        <w:rPr>
          <w:rFonts w:ascii="Arial" w:cs="Arial" w:eastAsia="Arial" w:hAnsi="Arial"/>
          <w:sz w:val="17"/>
          <w:szCs w:val="17"/>
          <w:color w:val="auto"/>
        </w:rPr>
      </w:pPr>
    </w:p>
    <w:p>
      <w:pPr>
        <w:ind w:right="80" w:firstLine="443"/>
        <w:spacing w:after="0" w:line="25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188" w:lineRule="exact"/>
        <w:rPr>
          <w:rFonts w:ascii="Arial" w:cs="Arial" w:eastAsia="Arial" w:hAnsi="Arial"/>
          <w:sz w:val="18"/>
          <w:szCs w:val="18"/>
          <w:color w:val="auto"/>
        </w:rPr>
      </w:pPr>
    </w:p>
    <w:p>
      <w:pPr>
        <w:ind w:firstLine="443"/>
        <w:spacing w:after="0" w:line="255"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firstLine="443"/>
        <w:spacing w:after="0" w:line="270" w:lineRule="auto"/>
        <w:tabs>
          <w:tab w:leader="none" w:pos="663"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177" w:lineRule="exact"/>
        <w:rPr>
          <w:rFonts w:ascii="Arial" w:cs="Arial" w:eastAsia="Arial" w:hAnsi="Arial"/>
          <w:sz w:val="17"/>
          <w:szCs w:val="17"/>
          <w:color w:val="auto"/>
        </w:rPr>
      </w:pPr>
    </w:p>
    <w:p>
      <w:pPr>
        <w:ind w:firstLine="443"/>
        <w:spacing w:after="0" w:line="285" w:lineRule="auto"/>
        <w:tabs>
          <w:tab w:leader="none" w:pos="6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1" w:lineRule="exact"/>
        <w:rPr>
          <w:sz w:val="20"/>
          <w:szCs w:val="20"/>
          <w:color w:val="auto"/>
        </w:rPr>
      </w:pPr>
    </w:p>
    <w:p>
      <w:pPr>
        <w:ind w:right="160" w:firstLine="443"/>
        <w:spacing w:after="0" w:line="264"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181" w:lineRule="exact"/>
        <w:rPr>
          <w:rFonts w:ascii="Arial" w:cs="Arial" w:eastAsia="Arial" w:hAnsi="Arial"/>
          <w:sz w:val="18"/>
          <w:szCs w:val="18"/>
          <w:color w:val="auto"/>
        </w:rPr>
      </w:pPr>
    </w:p>
    <w:p>
      <w:pPr>
        <w:ind w:firstLine="443"/>
        <w:spacing w:after="0" w:line="291" w:lineRule="auto"/>
        <w:tabs>
          <w:tab w:leader="none" w:pos="6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55" w:lineRule="exact"/>
        <w:rPr>
          <w:rFonts w:ascii="Arial" w:cs="Arial" w:eastAsia="Arial" w:hAnsi="Arial"/>
          <w:sz w:val="16"/>
          <w:szCs w:val="16"/>
          <w:color w:val="auto"/>
        </w:rPr>
      </w:pPr>
    </w:p>
    <w:p>
      <w:pPr>
        <w:ind w:right="280" w:firstLine="443"/>
        <w:spacing w:after="0" w:line="277" w:lineRule="auto"/>
        <w:tabs>
          <w:tab w:leader="none" w:pos="6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170"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170" w:lineRule="exact"/>
        <w:rPr>
          <w:rFonts w:ascii="Arial" w:cs="Arial" w:eastAsia="Arial" w:hAnsi="Arial"/>
          <w:sz w:val="18"/>
          <w:szCs w:val="18"/>
          <w:color w:val="auto"/>
        </w:rPr>
      </w:pPr>
    </w:p>
    <w:p>
      <w:pPr>
        <w:ind w:right="40" w:firstLine="443"/>
        <w:spacing w:after="0" w:line="271" w:lineRule="auto"/>
        <w:tabs>
          <w:tab w:leader="none" w:pos="6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w:t>
      </w:r>
    </w:p>
    <w:p>
      <w:pPr>
        <w:spacing w:after="0" w:line="1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45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81" w:lineRule="exact"/>
        <w:rPr>
          <w:sz w:val="20"/>
          <w:szCs w:val="20"/>
          <w:color w:val="auto"/>
        </w:rPr>
      </w:pPr>
    </w:p>
    <w:p>
      <w:pPr>
        <w:ind w:left="-8" w:right="40" w:firstLine="464"/>
        <w:spacing w:after="0" w:line="284" w:lineRule="auto"/>
        <w:tabs>
          <w:tab w:leader="none" w:pos="628"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98" w:lineRule="exact"/>
        <w:rPr>
          <w:rFonts w:ascii="Arial" w:cs="Arial" w:eastAsia="Arial" w:hAnsi="Arial"/>
          <w:sz w:val="18"/>
          <w:szCs w:val="18"/>
          <w:color w:val="auto"/>
        </w:rPr>
      </w:pPr>
    </w:p>
    <w:p>
      <w:pPr>
        <w:ind w:left="-8" w:right="560" w:firstLine="464"/>
        <w:spacing w:after="0" w:line="264" w:lineRule="auto"/>
        <w:tabs>
          <w:tab w:leader="none" w:pos="6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170" w:lineRule="exact"/>
        <w:rPr>
          <w:sz w:val="20"/>
          <w:szCs w:val="20"/>
          <w:color w:val="auto"/>
        </w:rPr>
      </w:pPr>
    </w:p>
    <w:p>
      <w:pPr>
        <w:ind w:left="460" w:right="20" w:firstLine="443"/>
        <w:spacing w:after="0" w:line="270" w:lineRule="auto"/>
        <w:tabs>
          <w:tab w:leader="none" w:pos="11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81" w:lineRule="exact"/>
        <w:rPr>
          <w:rFonts w:ascii="Arial" w:cs="Arial" w:eastAsia="Arial" w:hAnsi="Arial"/>
          <w:sz w:val="17"/>
          <w:szCs w:val="17"/>
          <w:color w:val="auto"/>
        </w:rPr>
      </w:pPr>
    </w:p>
    <w:p>
      <w:pPr>
        <w:ind w:left="460" w:right="60" w:firstLine="443"/>
        <w:spacing w:after="0" w:line="276" w:lineRule="auto"/>
        <w:tabs>
          <w:tab w:leader="none" w:pos="11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172" w:lineRule="exact"/>
        <w:rPr>
          <w:rFonts w:ascii="Arial" w:cs="Arial" w:eastAsia="Arial" w:hAnsi="Arial"/>
          <w:sz w:val="17"/>
          <w:szCs w:val="17"/>
          <w:color w:val="auto"/>
        </w:rPr>
      </w:pPr>
    </w:p>
    <w:p>
      <w:pPr>
        <w:ind w:left="460" w:firstLine="443"/>
        <w:spacing w:after="0" w:line="312" w:lineRule="auto"/>
        <w:tabs>
          <w:tab w:leader="none" w:pos="11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146" w:lineRule="exact"/>
        <w:rPr>
          <w:rFonts w:ascii="Arial" w:cs="Arial" w:eastAsia="Arial" w:hAnsi="Arial"/>
          <w:sz w:val="16"/>
          <w:szCs w:val="16"/>
          <w:color w:val="auto"/>
        </w:rPr>
      </w:pPr>
    </w:p>
    <w:p>
      <w:pPr>
        <w:jc w:val="both"/>
        <w:ind w:left="460" w:right="500" w:firstLine="443"/>
        <w:spacing w:after="0" w:line="264"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181" w:lineRule="exact"/>
        <w:rPr>
          <w:rFonts w:ascii="Arial" w:cs="Arial" w:eastAsia="Arial" w:hAnsi="Arial"/>
          <w:sz w:val="18"/>
          <w:szCs w:val="18"/>
          <w:color w:val="auto"/>
        </w:rPr>
      </w:pPr>
    </w:p>
    <w:p>
      <w:pPr>
        <w:ind w:left="460" w:right="20" w:firstLine="443"/>
        <w:spacing w:after="0" w:line="259" w:lineRule="auto"/>
        <w:tabs>
          <w:tab w:leader="none" w:pos="11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[reserved] by Moody’s Investor’s Service Inc. and [reserved]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ind w:firstLine="443"/>
        <w:spacing w:after="0" w:line="285" w:lineRule="auto"/>
        <w:tabs>
          <w:tab w:leader="none" w:pos="66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May 11, 2015 between the Company and Wells Fargo Securities, LLC and (b) the Equity Distribution Agreement dated May 11, 2015 between the Company and Merrill Lynch, Pierce, Fenner &amp; Smith Incorporated,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386" w:lineRule="exact"/>
        <w:rPr>
          <w:rFonts w:ascii="Arial" w:cs="Arial" w:eastAsia="Arial" w:hAnsi="Arial"/>
          <w:sz w:val="16"/>
          <w:szCs w:val="16"/>
          <w:color w:val="auto"/>
        </w:rPr>
      </w:pPr>
    </w:p>
    <w:p>
      <w:pPr>
        <w:ind w:right="120" w:firstLine="443"/>
        <w:spacing w:after="0" w:line="279" w:lineRule="auto"/>
        <w:tabs>
          <w:tab w:leader="none" w:pos="6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3" w:name="page24"/>
    <w:bookmarkEnd w:id="23"/>
    <w:p>
      <w:pPr>
        <w:ind w:left="440" w:firstLine="443"/>
        <w:spacing w:after="0" w:line="254" w:lineRule="auto"/>
        <w:tabs>
          <w:tab w:leader="none" w:pos="1133"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192" w:lineRule="exact"/>
        <w:rPr>
          <w:rFonts w:ascii="Arial" w:cs="Arial" w:eastAsia="Arial" w:hAnsi="Arial"/>
          <w:sz w:val="18"/>
          <w:szCs w:val="18"/>
          <w:color w:val="auto"/>
        </w:rPr>
      </w:pPr>
    </w:p>
    <w:p>
      <w:pPr>
        <w:ind w:left="440" w:right="320" w:firstLine="443"/>
        <w:spacing w:after="0" w:line="27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170" w:lineRule="exact"/>
        <w:rPr>
          <w:rFonts w:ascii="Arial" w:cs="Arial" w:eastAsia="Arial" w:hAnsi="Arial"/>
          <w:sz w:val="18"/>
          <w:szCs w:val="18"/>
          <w:color w:val="auto"/>
        </w:rPr>
      </w:pPr>
    </w:p>
    <w:p>
      <w:pPr>
        <w:ind w:left="440" w:firstLine="443"/>
        <w:spacing w:after="0" w:line="25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88" w:lineRule="exact"/>
        <w:rPr>
          <w:rFonts w:ascii="Arial" w:cs="Arial" w:eastAsia="Arial" w:hAnsi="Arial"/>
          <w:sz w:val="18"/>
          <w:szCs w:val="18"/>
          <w:color w:val="auto"/>
        </w:rPr>
      </w:pPr>
    </w:p>
    <w:p>
      <w:pPr>
        <w:ind w:left="-20" w:right="20" w:firstLine="464"/>
        <w:spacing w:after="0" w:line="288"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87" w:lineRule="exact"/>
        <w:rPr>
          <w:sz w:val="20"/>
          <w:szCs w:val="20"/>
          <w:color w:val="auto"/>
        </w:rPr>
      </w:pPr>
    </w:p>
    <w:p>
      <w:pPr>
        <w:ind w:firstLine="464"/>
        <w:spacing w:after="0" w:line="286"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4" w:lineRule="exact"/>
        <w:rPr>
          <w:rFonts w:ascii="Arial" w:cs="Arial" w:eastAsia="Arial" w:hAnsi="Arial"/>
          <w:sz w:val="16"/>
          <w:szCs w:val="16"/>
          <w:color w:val="auto"/>
        </w:rPr>
      </w:pPr>
    </w:p>
    <w:p>
      <w:pPr>
        <w:ind w:right="40" w:firstLine="464"/>
        <w:spacing w:after="0" w:line="270" w:lineRule="auto"/>
        <w:tabs>
          <w:tab w:leader="none" w:pos="7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65" w:lineRule="exact"/>
        <w:rPr>
          <w:sz w:val="20"/>
          <w:szCs w:val="20"/>
          <w:color w:val="auto"/>
        </w:rPr>
      </w:pPr>
    </w:p>
    <w:p>
      <w:pPr>
        <w:ind w:left="720" w:hanging="256"/>
        <w:spacing w:after="0"/>
        <w:tabs>
          <w:tab w:leader="none" w:pos="7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firstLine="8"/>
        <w:spacing w:after="0" w:line="284"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right="2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78" w:lineRule="exact"/>
        <w:rPr>
          <w:sz w:val="20"/>
          <w:szCs w:val="20"/>
          <w:color w:val="auto"/>
        </w:rPr>
      </w:pPr>
    </w:p>
    <w:p>
      <w:pPr>
        <w:ind w:right="100" w:firstLine="464"/>
        <w:spacing w:after="0" w:line="25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88" w:lineRule="exact"/>
        <w:rPr>
          <w:sz w:val="20"/>
          <w:szCs w:val="20"/>
          <w:color w:val="auto"/>
        </w:rPr>
      </w:pPr>
    </w:p>
    <w:p>
      <w:pPr>
        <w:ind w:firstLine="464"/>
        <w:spacing w:after="0" w:line="287"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9" w:lineRule="exact"/>
        <w:rPr>
          <w:sz w:val="20"/>
          <w:szCs w:val="20"/>
          <w:color w:val="auto"/>
        </w:rPr>
      </w:pPr>
    </w:p>
    <w:p>
      <w:pPr>
        <w:jc w:val="both"/>
        <w:ind w:right="700" w:firstLine="464"/>
        <w:spacing w:after="0" w:line="264"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93" w:lineRule="exact"/>
        <w:rPr>
          <w:sz w:val="20"/>
          <w:szCs w:val="20"/>
          <w:color w:val="auto"/>
        </w:rPr>
      </w:pPr>
    </w:p>
    <w:p>
      <w:pPr>
        <w:ind w:right="160" w:firstLine="464"/>
        <w:spacing w:after="0" w:line="288" w:lineRule="auto"/>
        <w:tabs>
          <w:tab w:leader="none" w:pos="701"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right="120" w:firstLine="8"/>
        <w:spacing w:after="0" w:line="271"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79" w:lineRule="exact"/>
        <w:rPr>
          <w:sz w:val="20"/>
          <w:szCs w:val="20"/>
          <w:color w:val="auto"/>
        </w:rPr>
      </w:pPr>
    </w:p>
    <w:p>
      <w:pPr>
        <w:ind w:right="40" w:firstLine="464"/>
        <w:spacing w:after="0" w:line="302"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54" w:lineRule="exact"/>
        <w:rPr>
          <w:rFonts w:ascii="Arial" w:cs="Arial" w:eastAsia="Arial" w:hAnsi="Arial"/>
          <w:sz w:val="16"/>
          <w:szCs w:val="16"/>
          <w:color w:val="auto"/>
        </w:rPr>
      </w:pPr>
    </w:p>
    <w:p>
      <w:pPr>
        <w:ind w:firstLine="464"/>
        <w:spacing w:after="0" w:line="255"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ind w:right="40" w:firstLine="464"/>
        <w:spacing w:after="0" w:line="286" w:lineRule="auto"/>
        <w:tabs>
          <w:tab w:leader="none" w:pos="726"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8" w:lineRule="exact"/>
        <w:rPr>
          <w:sz w:val="20"/>
          <w:szCs w:val="20"/>
          <w:color w:val="auto"/>
        </w:rPr>
      </w:pPr>
    </w:p>
    <w:p>
      <w:pPr>
        <w:ind w:right="140" w:firstLine="464"/>
        <w:spacing w:after="0" w:line="277" w:lineRule="auto"/>
        <w:tabs>
          <w:tab w:leader="none" w:pos="7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464"/>
        <w:spacing w:after="0" w:line="276" w:lineRule="auto"/>
        <w:tabs>
          <w:tab w:leader="none" w:pos="72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72" w:lineRule="exact"/>
        <w:rPr>
          <w:rFonts w:ascii="Arial" w:cs="Arial" w:eastAsia="Arial" w:hAnsi="Arial"/>
          <w:sz w:val="17"/>
          <w:szCs w:val="17"/>
          <w:color w:val="auto"/>
        </w:rPr>
      </w:pPr>
    </w:p>
    <w:p>
      <w:pPr>
        <w:ind w:right="500" w:firstLine="464"/>
        <w:spacing w:after="0" w:line="277" w:lineRule="auto"/>
        <w:tabs>
          <w:tab w:leader="none" w:pos="7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120" w:firstLine="464"/>
        <w:spacing w:after="0" w:line="342" w:lineRule="auto"/>
        <w:tabs>
          <w:tab w:leader="none" w:pos="7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Donald C. Wood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9940"/>
          </w:cols>
          <w:pgMar w:left="700" w:top="274" w:right="1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Teresa Hee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Teresa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U.S. Bancorp Investments,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Charles P. Carpenter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N. Tryon St., 26th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July 7, 2016 (the “Underwriting Agreement”), between the Company on the one hand and Wells Fargo Securities, LLC, Deutsche Bank Securities Inc. and U.S. Bancorp Investments, Inc.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2" w:name="page33"/>
    <w:bookmarkEnd w:id="32"/>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280"/>
          </w:cols>
          <w:pgMar w:left="240" w:top="274" w:right="37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U.S. Bancorp Investments,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1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360" w:type="dxa"/>
            <w:vAlign w:val="bottom"/>
            <w:gridSpan w:val="2"/>
          </w:tcPr>
          <w:p>
            <w:pPr>
              <w:ind w:left="640"/>
              <w:spacing w:after="0"/>
              <w:rPr>
                <w:sz w:val="20"/>
                <w:szCs w:val="20"/>
                <w:color w:val="auto"/>
              </w:rPr>
            </w:pPr>
            <w:r>
              <w:rPr>
                <w:rFonts w:ascii="Arial" w:cs="Arial" w:eastAsia="Arial" w:hAnsi="Arial"/>
                <w:sz w:val="18"/>
                <w:szCs w:val="18"/>
                <w:color w:val="auto"/>
              </w:rPr>
              <w:t>SCHEDULE I</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400" w:type="dxa"/>
            <w:vAlign w:val="bottom"/>
            <w:vMerge w:val="restart"/>
          </w:tcPr>
          <w:p>
            <w:pPr>
              <w:spacing w:after="0"/>
              <w:rPr>
                <w:sz w:val="24"/>
                <w:szCs w:val="24"/>
                <w:color w:val="auto"/>
              </w:rPr>
            </w:pPr>
          </w:p>
        </w:tc>
        <w:tc>
          <w:tcPr>
            <w:tcW w:w="5500" w:type="dxa"/>
            <w:vAlign w:val="bottom"/>
            <w:gridSpan w:val="4"/>
          </w:tcPr>
          <w:p>
            <w:pPr>
              <w:ind w:left="414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4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74" w:right="1440"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3.625% Notes due 2046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97.756% of the principal amount of the Designated Securities, plus accrued interest from July 12,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96.881%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 2046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3.625%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 and August 1, beginning on February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040"/>
          </w:cols>
          <w:pgMar w:left="240" w:top="274"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3:15 p.m. (Eastern time) on July 7, 2016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12,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N. Tryon St., 26th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Credit Fixed Income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(877) 774-3462</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Final Term Sheet, attached hereto as Schedule I to this Exhibit B</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0"/>
          </w:cols>
          <w:pgMar w:left="700" w:top="270" w:right="239" w:bottom="1440" w:gutter="0" w:footer="0" w:header="0"/>
        </w:sectPr>
      </w:pPr>
    </w:p>
    <w:bookmarkStart w:id="39" w:name="page40"/>
    <w:bookmarkEnd w:id="39"/>
    <w:p>
      <w:pPr>
        <w:ind w:left="96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252"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Filed Pursuant to Rule 433</w:t>
      </w:r>
    </w:p>
    <w:p>
      <w:pPr>
        <w:spacing w:after="0" w:line="46"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Dated July 7, 2016</w:t>
      </w:r>
    </w:p>
    <w:p>
      <w:pPr>
        <w:spacing w:after="0" w:line="32"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Registration Statement No. 333-203999</w:t>
      </w:r>
    </w:p>
    <w:p>
      <w:pPr>
        <w:spacing w:after="0" w:line="32" w:lineRule="exact"/>
        <w:rPr>
          <w:sz w:val="20"/>
          <w:szCs w:val="20"/>
          <w:color w:val="auto"/>
        </w:rPr>
      </w:pPr>
    </w:p>
    <w:p>
      <w:pPr>
        <w:ind w:left="10620"/>
        <w:spacing w:after="0"/>
        <w:rPr>
          <w:sz w:val="20"/>
          <w:szCs w:val="20"/>
          <w:color w:val="auto"/>
        </w:rPr>
      </w:pPr>
      <w:r>
        <w:rPr>
          <w:rFonts w:ascii="Arial" w:cs="Arial" w:eastAsia="Arial" w:hAnsi="Arial"/>
          <w:sz w:val="16"/>
          <w:szCs w:val="16"/>
          <w:color w:val="auto"/>
        </w:rPr>
        <w:t>Relating to</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Preliminary Prospectus Supplement Dated July 7, 2016 to</w:t>
      </w:r>
    </w:p>
    <w:p>
      <w:pPr>
        <w:spacing w:after="0" w:line="32"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Prospectus dated May 8, 2015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3.625% Notes due 2046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sheet dated July 7, 2016</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3.625% Notes due 2046</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$250,000,000</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7, 2016</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12, 2016 (T+3)</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 2046</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 and August 1, beginning on February 1, 2017</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 due February 15, 2046</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107-20 / 2.150%</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+160 basis points</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3.750%</w:t>
      </w:r>
    </w:p>
    <w:p>
      <w:pPr>
        <w:spacing w:after="0" w:line="151"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3.625% per year</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6"/>
          <w:szCs w:val="16"/>
          <w:color w:val="auto"/>
        </w:rPr>
        <w:t>97.756% of principal amount, plus accrued interest, if any, from July 12, 2016</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7"/>
          <w:szCs w:val="17"/>
          <w:color w:val="auto"/>
        </w:rPr>
        <w:t>At any time before February 1, 2046, make-whole call based on U.S. Treasury plus 25 basis points (0.25%); if redeemed on or after February 1, 2046, at 100% of the principal amount of the notes being redeemed, in each case plus accrued and unpaid interest thereon to, but excluding, the redemption date</w:t>
      </w:r>
    </w:p>
    <w:p>
      <w:pPr>
        <w:spacing w:after="0" w:line="57"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313747AX5 / US313747AX55</w:t>
      </w:r>
    </w:p>
    <w:p>
      <w:pPr>
        <w:spacing w:after="0" w:line="140"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139"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57"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Sch. I to Exhibit B, Page 1</w:t>
      </w:r>
    </w:p>
    <w:p>
      <w:pPr>
        <w:sectPr>
          <w:pgSz w:w="11900" w:h="16838" w:orient="portrait"/>
          <w:cols w:equalWidth="0" w:num="1">
            <w:col w:w="11420"/>
          </w:cols>
          <w:pgMar w:left="240" w:top="270" w:right="239" w:bottom="1440" w:gutter="0" w:footer="0" w:header="0"/>
          <w:type w:val="continuous"/>
        </w:sectPr>
      </w:pPr>
    </w:p>
    <w:bookmarkStart w:id="40" w:name="page41"/>
    <w:bookmarkEnd w:id="40"/>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U.S. Bancorp Investments, Inc. toll free at 1-877-558-2607.</w:t>
      </w:r>
    </w:p>
    <w:p>
      <w:pPr>
        <w:spacing w:after="0" w:line="172"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1">
            <w:col w:w="11360"/>
          </w:cols>
          <w:pgMar w:left="240" w:top="270"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July 7,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N. Tryon St., 26th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July 7, 2016 (the “Underwriting Agreement”), between the Company on the one hand and Wells Fargo Securities, LLC, Deutsche Bank Securities Inc. and U.S. Bancorp Investments, Inc.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2" w:name="page43"/>
    <w:bookmarkEnd w:id="42"/>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43" w:name="page44"/>
    <w:bookmarkEnd w:id="4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220"/>
          </w:cols>
          <w:pgMar w:left="240" w:top="274"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5"/>
          <w:szCs w:val="15"/>
          <w:color w:val="auto"/>
        </w:rPr>
        <w:t>ANCORP</w:t>
      </w:r>
      <w:r>
        <w:rPr>
          <w:rFonts w:ascii="Arial" w:cs="Arial" w:eastAsia="Arial" w:hAnsi="Arial"/>
          <w:sz w:val="18"/>
          <w:szCs w:val="18"/>
          <w:color w:val="auto"/>
        </w:rPr>
        <w:t xml:space="preserve">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Teresa Hee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Teresa 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U.S. Bancorp Investments,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Charles P. Carpenter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5" w:name="page46"/>
    <w:bookmarkEnd w:id="45"/>
    <w:tbl>
      <w:tblPr>
        <w:tblLayout w:type="fixed"/>
        <w:tblInd w:w="1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360" w:type="dxa"/>
            <w:vAlign w:val="bottom"/>
            <w:gridSpan w:val="2"/>
          </w:tcPr>
          <w:p>
            <w:pPr>
              <w:ind w:left="640"/>
              <w:spacing w:after="0"/>
              <w:rPr>
                <w:sz w:val="20"/>
                <w:szCs w:val="20"/>
                <w:color w:val="auto"/>
              </w:rPr>
            </w:pPr>
            <w:r>
              <w:rPr>
                <w:rFonts w:ascii="Arial" w:cs="Arial" w:eastAsia="Arial" w:hAnsi="Arial"/>
                <w:sz w:val="18"/>
                <w:szCs w:val="18"/>
                <w:color w:val="auto"/>
              </w:rPr>
              <w:t>SCHEDULE I</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400" w:type="dxa"/>
            <w:vAlign w:val="bottom"/>
            <w:vMerge w:val="restart"/>
          </w:tcPr>
          <w:p>
            <w:pPr>
              <w:spacing w:after="0"/>
              <w:rPr>
                <w:sz w:val="24"/>
                <w:szCs w:val="24"/>
                <w:color w:val="auto"/>
              </w:rPr>
            </w:pPr>
          </w:p>
        </w:tc>
        <w:tc>
          <w:tcPr>
            <w:tcW w:w="5500" w:type="dxa"/>
            <w:vAlign w:val="bottom"/>
            <w:gridSpan w:val="4"/>
          </w:tcPr>
          <w:p>
            <w:pPr>
              <w:ind w:left="414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4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3.625% Notes due 2046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97.756% of the principal amount of the Designated Securities, plus accrued interest from July 12,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96.881%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 2046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3.625%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 and August 1, beginning on February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ectPr>
          <w:pgSz w:w="11900" w:h="16838" w:orient="portrait"/>
          <w:cols w:equalWidth="0" w:num="1">
            <w:col w:w="11040"/>
          </w:cols>
          <w:pgMar w:left="240" w:top="274" w:right="6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3:15 p.m. (Eastern time) on July 7, 2016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12,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N. Tryon St., 26th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Credit Fixed Income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(877) 774-3462</w:t>
      </w:r>
    </w:p>
    <w:p>
      <w:pPr>
        <w:sectPr>
          <w:pgSz w:w="11900" w:h="16838" w:orient="portrait"/>
          <w:cols w:equalWidth="0" w:num="1">
            <w:col w:w="10219"/>
          </w:cols>
          <w:pgMar w:left="240" w:top="27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3.625% Note due 2046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CUSIP No. 313747 AX5</w:t>
            </w:r>
          </w:p>
        </w:tc>
        <w:tc>
          <w:tcPr>
            <w:tcW w:w="5300" w:type="dxa"/>
            <w:vAlign w:val="bottom"/>
          </w:tcPr>
          <w:p>
            <w:pPr>
              <w:jc w:val="right"/>
              <w:spacing w:after="0"/>
              <w:rPr>
                <w:sz w:val="20"/>
                <w:szCs w:val="20"/>
                <w:color w:val="auto"/>
              </w:rPr>
            </w:pPr>
            <w:r>
              <w:rPr>
                <w:rFonts w:ascii="Arial" w:cs="Arial" w:eastAsia="Arial" w:hAnsi="Arial"/>
                <w:sz w:val="18"/>
                <w:szCs w:val="18"/>
                <w:color w:val="auto"/>
              </w:rPr>
              <w:t>$250,000,000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Fifty Million Dollars ($250,000,000) on August 1, 2046 (the “Stated Maturity Date”) or the date fixed for earlier redemption (the “Redemption Date,” and together with the Stated Maturity Date with respect to principal repayable on such date, the “Maturity Date”), and to pay interest on the outstanding principal amount thereof from July 12, 2016 or from the most recent interest payment date to which interest has been paid or duly provided for, semi-annually on February 1 and August 1 in each year (each, an “Interest Payment Date”), commencing February 1, 2017, at the rate of 3.625%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15 or July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w:t>
      </w:r>
    </w:p>
    <w:p>
      <w:pPr>
        <w:sectPr>
          <w:pgSz w:w="11900" w:h="16838" w:orient="portrait"/>
          <w:cols w:equalWidth="0" w:num="1">
            <w:col w:w="11420"/>
          </w:cols>
          <w:pgMar w:left="240" w:top="121" w:right="2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12, 2016,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Trustee</w:t>
      </w:r>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8"/>
          <w:szCs w:val="18"/>
          <w:color w:val="auto"/>
        </w:rPr>
        <w:t>Executive Vice President-Managing Director</w:t>
        <w:tab/>
        <w:t>Mixed-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Use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Darlene Hough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3.625% Note due 2046</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“3.625% Notes due 2046” (collectively, the “Notes”), and the aggregate principal amount of the Notes to be issued under such series is limited to $250,000,000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left="460" w:right="460" w:firstLine="443"/>
        <w:spacing w:after="0" w:line="277" w:lineRule="auto"/>
        <w:tabs>
          <w:tab w:leader="none" w:pos="11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17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400"/>
          </w:cols>
          <w:pgMar w:left="240" w:top="274" w:right="259" w:bottom="1440" w:gutter="0" w:footer="0" w:header="0"/>
        </w:sectPr>
      </w:pPr>
    </w:p>
    <w:bookmarkStart w:id="52" w:name="page53"/>
    <w:bookmarkEnd w:id="52"/>
    <w:p>
      <w:pPr>
        <w:ind w:right="80" w:firstLine="443"/>
        <w:spacing w:after="0" w:line="276" w:lineRule="auto"/>
        <w:tabs>
          <w:tab w:leader="none" w:pos="693"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172" w:lineRule="exact"/>
        <w:rPr>
          <w:rFonts w:ascii="Arial" w:cs="Arial" w:eastAsia="Arial" w:hAnsi="Arial"/>
          <w:sz w:val="17"/>
          <w:szCs w:val="17"/>
          <w:color w:val="auto"/>
        </w:rPr>
      </w:pPr>
    </w:p>
    <w:p>
      <w:pPr>
        <w:ind w:firstLine="443"/>
        <w:spacing w:after="0" w:line="290" w:lineRule="auto"/>
        <w:tabs>
          <w:tab w:leader="none" w:pos="6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166" w:lineRule="exact"/>
        <w:rPr>
          <w:rFonts w:ascii="Arial" w:cs="Arial" w:eastAsia="Arial" w:hAnsi="Arial"/>
          <w:sz w:val="16"/>
          <w:szCs w:val="16"/>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225"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1"/>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170" w:lineRule="exact"/>
        <w:rPr>
          <w:rFonts w:ascii="Arial" w:cs="Arial" w:eastAsia="Arial" w:hAnsi="Arial"/>
          <w:sz w:val="18"/>
          <w:szCs w:val="18"/>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53" w:name="page54"/>
    <w:bookmarkEnd w:id="53"/>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February 1, 2046 (the “Par Call Date”),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25 basis points (twenty-five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4" w:name="page55"/>
    <w:bookmarkEnd w:id="54"/>
    <w:p>
      <w:pPr>
        <w:ind w:left="460" w:right="20" w:firstLine="438"/>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means each of (1) a Primary Treasury Dealer (as defined below) selected by Wells Fargo Securities, LLC, Deutsche Bank Securities Inc. and U.S. Bancorp Investments, Inc. and their respective successors; provided, however, that if any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171"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60" w:firstLine="913"/>
        <w:spacing w:after="0" w:line="279" w:lineRule="auto"/>
        <w:rPr>
          <w:sz w:val="20"/>
          <w:szCs w:val="20"/>
          <w:color w:val="auto"/>
        </w:rPr>
      </w:pPr>
      <w:r>
        <w:rPr>
          <w:rFonts w:ascii="Arial" w:cs="Arial" w:eastAsia="Arial" w:hAnsi="Arial"/>
          <w:sz w:val="17"/>
          <w:szCs w:val="17"/>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8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181"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170"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166" w:lineRule="exact"/>
        <w:rPr>
          <w:sz w:val="20"/>
          <w:szCs w:val="20"/>
          <w:color w:val="auto"/>
        </w:rPr>
      </w:pPr>
    </w:p>
    <w:p>
      <w:pPr>
        <w:ind w:right="3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60" w:firstLine="4"/>
        <w:spacing w:after="0" w:line="255"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190" w:lineRule="exact"/>
        <w:rPr>
          <w:sz w:val="20"/>
          <w:szCs w:val="20"/>
          <w:color w:val="auto"/>
        </w:rPr>
      </w:pPr>
    </w:p>
    <w:p>
      <w:pPr>
        <w:ind w:right="3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18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24" w:lineRule="exact"/>
        <w:rPr>
          <w:sz w:val="20"/>
          <w:szCs w:val="20"/>
          <w:color w:val="auto"/>
        </w:rPr>
      </w:pPr>
    </w:p>
    <w:p>
      <w:pPr>
        <w:ind w:right="1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181" w:lineRule="exact"/>
        <w:rPr>
          <w:sz w:val="20"/>
          <w:szCs w:val="20"/>
          <w:color w:val="auto"/>
        </w:rPr>
      </w:pPr>
    </w:p>
    <w:p>
      <w:pPr>
        <w:ind w:right="20" w:firstLine="43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58" w:name="page59"/>
    <w:bookmarkEnd w:id="58"/>
    <w:p>
      <w:pPr>
        <w:ind w:left="460" w:right="4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of $250,000,000 aggregate principal amount of 3.625% Notes due 2046 (the “Notes”) of the Company, pursuant to the Underwriting Agreement and related Pricing Agreement, each dated July 7, 2016,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July 12, 2016 setting forth the terms of the Notes, the “Indenture”).</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333-203999) (the “Registration Statement”) filed by the Company to register the offer and sale of the Notes with the Securities and Exchange Commission (the “Commission”) under the Securities Act of 1933 (the “Securities Act”), (d) the Prospectus dated May 8, 2015, as supplemented by the Prospectus Supplement dated July 7, 2016,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limited to the law of the States of New York and Maryland, in each case as in effect on the date hereof.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July 12, 2016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July 7, 2016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62" w:name="page63"/>
    <w:bookmarkEnd w:id="6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(2016)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63" w:name="page64"/>
    <w:bookmarkEnd w:id="63"/>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Combined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7"/>
          </w:tcPr>
          <w:p>
            <w:pPr>
              <w:jc w:val="right"/>
              <w:ind w:right="640"/>
              <w:spacing w:after="0"/>
              <w:rPr>
                <w:sz w:val="20"/>
                <w:szCs w:val="20"/>
                <w:color w:val="auto"/>
              </w:rPr>
            </w:pPr>
            <w:r>
              <w:rPr>
                <w:rFonts w:ascii="Arial" w:cs="Arial" w:eastAsia="Arial" w:hAnsi="Arial"/>
                <w:sz w:val="14"/>
                <w:szCs w:val="14"/>
                <w:color w:val="auto"/>
              </w:rPr>
              <w:t>Year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83"/>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Earnings:</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w w:val="94"/>
              </w:rPr>
              <w:t>Income from continuing operations before income or loss from equity investees</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53,929</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$189,317</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$165,655</w:t>
            </w:r>
          </w:p>
        </w:tc>
        <w:tc>
          <w:tcPr>
            <w:tcW w:w="2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$134,986</w:t>
            </w: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$139,380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126,715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Distributed income of equity investees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3,287</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3,792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Fixed charges (excluding capitalized interest)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24,021</w:t>
            </w:r>
          </w:p>
        </w:tc>
        <w:tc>
          <w:tcPr>
            <w:tcW w:w="18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112,543</w:t>
            </w:r>
          </w:p>
        </w:tc>
        <w:tc>
          <w:tcPr>
            <w:tcW w:w="620" w:type="dxa"/>
            <w:vAlign w:val="bottom"/>
          </w:tcPr>
          <w:p>
            <w:pPr>
              <w:jc w:val="right"/>
              <w:spacing w:after="0"/>
              <w:rPr>
                <w:sz w:val="20"/>
                <w:szCs w:val="20"/>
                <w:color w:val="auto"/>
              </w:rPr>
            </w:pPr>
            <w:r>
              <w:rPr>
                <w:rFonts w:ascii="Arial" w:cs="Arial" w:eastAsia="Arial" w:hAnsi="Arial"/>
                <w:sz w:val="16"/>
                <w:szCs w:val="16"/>
                <w:color w:val="auto"/>
              </w:rPr>
              <w:t>105,137</w:t>
            </w:r>
          </w:p>
        </w:tc>
        <w:tc>
          <w:tcPr>
            <w:tcW w:w="2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118,920</w:t>
            </w: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114,066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98,851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 interests in income of subsidiaries with no fixed charges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(4,204)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(4,691)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(3,995)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color w:val="auto"/>
              </w:rPr>
              <w:t>Total earnings (A)</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76,928</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300,357</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268,882</w:t>
            </w:r>
          </w:p>
        </w:tc>
        <w:tc>
          <w:tcPr>
            <w:tcW w:w="2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253,198</w:t>
            </w:r>
          </w:p>
        </w:tc>
        <w:tc>
          <w:tcPr>
            <w:tcW w:w="900" w:type="dxa"/>
            <w:vAlign w:val="bottom"/>
            <w:gridSpan w:val="3"/>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253,540</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225,664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23,729</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$111,625</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$104,486</w:t>
            </w:r>
          </w:p>
        </w:tc>
        <w:tc>
          <w:tcPr>
            <w:tcW w:w="2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$118,281</w:t>
            </w: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$113,336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98,169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Capitalized interest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18,122</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20,971</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16,181</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10,105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Portion of rents representing interest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918</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Total fixed charges (B)</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27,851</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130,665</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126,108</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135,101</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124,171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106,948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6"/>
                <w:szCs w:val="16"/>
                <w:color w:val="auto"/>
              </w:rPr>
              <w:t>Ratio of earnings to fixed charges</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(A divided by B)</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lvl w:ilvl="1">
      <w:lvlJc w:val="left"/>
      <w:lvlText w:val="(%2)"/>
      <w:numFmt w:val="lowerLetter"/>
      <w:start w:val="1"/>
    </w:lvl>
  </w:abstractNum>
  <w:abstractNum w:abstractNumId="3">
    <w:nsid w:val="6763845E"/>
    <w:multiLevelType w:val="hybridMultilevel"/>
    <w:lvl w:ilvl="0">
      <w:lvlJc w:val="left"/>
      <w:lvlText w:val="(%1)"/>
      <w:numFmt w:val="lowerLetter"/>
      <w:start w:val="2"/>
    </w:lvl>
    <w:lvl w:ilvl="1">
      <w:lvlJc w:val="left"/>
      <w:lvlText w:val="%2"/>
      <w:numFmt w:val="lowerLetter"/>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upperLetter"/>
      <w:start w:val="1"/>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7"/>
    </w:lvl>
  </w:abstractNum>
  <w:abstractNum w:abstractNumId="9">
    <w:nsid w:val="189A769B"/>
    <w:multiLevelType w:val="hybridMultilevel"/>
    <w:lvl w:ilvl="0">
      <w:lvlJc w:val="left"/>
      <w:lvlText w:val="(%1)"/>
      <w:numFmt w:val="lowerLetter"/>
      <w:start w:val="8"/>
    </w:lvl>
  </w:abstractNum>
  <w:abstractNum w:abstractNumId="10">
    <w:nsid w:val="54E49EB4"/>
    <w:multiLevelType w:val="hybridMultilevel"/>
    <w:lvl w:ilvl="0">
      <w:lvlJc w:val="left"/>
      <w:lvlText w:val="(%1)"/>
      <w:numFmt w:val="lowerLetter"/>
      <w:start w:val="12"/>
    </w:lvl>
  </w:abstractNum>
  <w:abstractNum w:abstractNumId="11">
    <w:nsid w:val="71F32454"/>
    <w:multiLevelType w:val="hybridMultilevel"/>
    <w:lvl w:ilvl="0">
      <w:lvlJc w:val="left"/>
      <w:lvlText w:val="(%1)"/>
      <w:numFmt w:val="lowerLetter"/>
      <w:start w:val="15"/>
    </w:lvl>
  </w:abstractNum>
  <w:abstractNum w:abstractNumId="12">
    <w:nsid w:val="2CA88611"/>
    <w:multiLevelType w:val="hybridMultilevel"/>
    <w:lvl w:ilvl="0">
      <w:lvlJc w:val="left"/>
      <w:lvlText w:val="(%1)"/>
      <w:numFmt w:val="lowerLetter"/>
      <w:start w:val="20"/>
    </w:lvl>
  </w:abstractNum>
  <w:abstractNum w:abstractNumId="13">
    <w:nsid w:val="836C40E"/>
    <w:multiLevelType w:val="hybridMultilevel"/>
    <w:lvl w:ilvl="0">
      <w:lvlJc w:val="left"/>
      <w:lvlText w:val="(%1)"/>
      <w:numFmt w:val="lowerLetter"/>
      <w:start w:val="23"/>
    </w:lvl>
  </w:abstractNum>
  <w:abstractNum w:abstractNumId="14">
    <w:nsid w:val="2901D82"/>
    <w:multiLevelType w:val="hybridMultilevel"/>
    <w:lvl w:ilvl="0">
      <w:lvlJc w:val="left"/>
      <w:lvlText w:val="(%1)"/>
      <w:numFmt w:val="lowerLetter"/>
      <w:start w:val="26"/>
    </w:lvl>
  </w:abstractNum>
  <w:abstractNum w:abstractNumId="15">
    <w:nsid w:val="3A95F874"/>
    <w:multiLevelType w:val="hybridMultilevel"/>
    <w:lvl w:ilvl="0">
      <w:lvlJc w:val="left"/>
      <w:lvlText w:val="%1"/>
      <w:numFmt w:val="decimal"/>
      <w:start w:val="1"/>
    </w:lvl>
    <w:lvl w:ilvl="1">
      <w:lvlJc w:val="left"/>
      <w:lvlText w:val="(%2)"/>
      <w:numFmt w:val="lowerLetter"/>
      <w:start w:val="27"/>
    </w:lvl>
  </w:abstractNum>
  <w:abstractNum w:abstractNumId="16">
    <w:nsid w:val="8138641"/>
    <w:multiLevelType w:val="hybridMultilevel"/>
    <w:lvl w:ilvl="0">
      <w:lvlJc w:val="left"/>
      <w:lvlText w:val="%1."/>
      <w:numFmt w:val="decimal"/>
      <w:start w:val="3"/>
    </w:lvl>
    <w:lvl w:ilvl="1">
      <w:lvlJc w:val="left"/>
      <w:lvlText w:val="(%2)"/>
      <w:numFmt w:val="lowerLetter"/>
      <w:start w:val="1"/>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lowerLetter"/>
      <w:start w:val="6"/>
    </w:lvl>
  </w:abstractNum>
  <w:abstractNum w:abstractNumId="20">
    <w:nsid w:val="6CEAF087"/>
    <w:multiLevelType w:val="hybridMultilevel"/>
    <w:lvl w:ilvl="0">
      <w:lvlJc w:val="left"/>
      <w:lvlText w:val="%1"/>
      <w:numFmt w:val="lowerLetter"/>
      <w:start w:val="1"/>
    </w:lvl>
    <w:lvl w:ilvl="1">
      <w:lvlJc w:val="left"/>
      <w:lvlText w:val="(%2)"/>
      <w:numFmt w:val="lowerLetter"/>
      <w:start w:val="8"/>
    </w:lvl>
  </w:abstractNum>
  <w:abstractNum w:abstractNumId="21">
    <w:nsid w:val="22221A70"/>
    <w:multiLevelType w:val="hybridMultilevel"/>
    <w:lvl w:ilvl="0">
      <w:lvlJc w:val="left"/>
      <w:lvlText w:val="(%1)"/>
      <w:numFmt w:val="lowerLetter"/>
      <w:start w:val="35"/>
    </w:lvl>
    <w:lvl w:ilvl="1">
      <w:lvlJc w:val="left"/>
      <w:lvlText w:val="(%2)"/>
      <w:numFmt w:val="lowerLetter"/>
      <w:start w:val="10"/>
    </w:lvl>
  </w:abstractNum>
  <w:abstractNum w:abstractNumId="22">
    <w:nsid w:val="4516DDE9"/>
    <w:multiLevelType w:val="hybridMultilevel"/>
    <w:lvl w:ilvl="0">
      <w:lvlJc w:val="left"/>
      <w:lvlText w:val="%1"/>
      <w:numFmt w:val="lowerRoman"/>
      <w:start w:val="1"/>
    </w:lvl>
    <w:lvl w:ilvl="1">
      <w:lvlJc w:val="left"/>
      <w:lvlText w:val="%2."/>
      <w:numFmt w:val="decimal"/>
      <w:start w:val="6"/>
    </w:lvl>
  </w:abstractNum>
  <w:abstractNum w:abstractNumId="23">
    <w:nsid w:val="3006C83E"/>
    <w:multiLevelType w:val="hybridMultilevel"/>
    <w:lvl w:ilvl="0">
      <w:lvlJc w:val="left"/>
      <w:lvlText w:val="(%1)"/>
      <w:numFmt w:val="lowerRoman"/>
      <w:start w:val="4"/>
    </w:lvl>
    <w:lvl w:ilvl="1">
      <w:lvlJc w:val="left"/>
      <w:lvlText w:val="%2."/>
      <w:numFmt w:val="decimal"/>
      <w:start w:val="7"/>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6"/>
    </w:lvl>
  </w:abstractNum>
  <w:abstractNum w:abstractNumId="26">
    <w:nsid w:val="5577F8E1"/>
    <w:multiLevelType w:val="hybridMultilevel"/>
    <w:lvl w:ilvl="0">
      <w:lvlJc w:val="left"/>
      <w:lvlText w:val="%1"/>
      <w:numFmt w:val="decimal"/>
      <w:start w:val="1"/>
    </w:lvl>
    <w:lvl w:ilvl="1">
      <w:lvlJc w:val="left"/>
      <w:lvlText w:val="(%2)"/>
      <w:numFmt w:val="lowerLetter"/>
      <w:start w:val="8"/>
    </w:lvl>
  </w:abstractNum>
  <w:abstractNum w:abstractNumId="27">
    <w:nsid w:val="440BADFC"/>
    <w:multiLevelType w:val="hybridMultilevel"/>
    <w:lvl w:ilvl="0">
      <w:lvlJc w:val="left"/>
      <w:lvlText w:val="%1."/>
      <w:numFmt w:val="decimal"/>
      <w:start w:val="8"/>
    </w:lvl>
    <w:lvl w:ilvl="1">
      <w:lvlJc w:val="left"/>
      <w:lvlText w:val="%2"/>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1"/>
    </w:lvl>
    <w:lvl w:ilvl="1">
      <w:lvlJc w:val="left"/>
      <w:lvlText w:val="(%2)"/>
      <w:numFmt w:val="lowerLetter"/>
      <w:start w:val="4"/>
    </w:lvl>
  </w:abstractNum>
  <w:abstractNum w:abstractNumId="30">
    <w:nsid w:val="77465F01"/>
    <w:multiLevelType w:val="hybridMultilevel"/>
    <w:lvl w:ilvl="0">
      <w:lvlJc w:val="left"/>
      <w:lvlText w:val="(%1)"/>
      <w:numFmt w:val="lowerLetter"/>
      <w:start w:val="2"/>
    </w:lvl>
    <w:lvl w:ilvl="1">
      <w:lvlJc w:val="left"/>
      <w:lvlText w:val="%2"/>
      <w:numFmt w:val="lowerLetter"/>
      <w:start w:val="1"/>
    </w:lvl>
  </w:abstractNum>
  <w:abstractNum w:abstractNumId="31">
    <w:nsid w:val="7724C67E"/>
    <w:multiLevelType w:val="hybridMultilevel"/>
    <w:lvl w:ilvl="0">
      <w:lvlJc w:val="left"/>
      <w:lvlText w:val="(%1)"/>
      <w:numFmt w:val="lowerLetter"/>
      <w:start w:val="5"/>
    </w:lvl>
  </w:abstractNum>
  <w:abstractNum w:abstractNumId="32">
    <w:nsid w:val="5C482A97"/>
    <w:multiLevelType w:val="hybridMultilevel"/>
    <w:lvl w:ilvl="0">
      <w:lvlJc w:val="left"/>
      <w:lvlText w:val="%1."/>
      <w:numFmt w:val="decimal"/>
      <w:start w:val="9"/>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1"/>
    </w:lvl>
    <w:lvl w:ilvl="1">
      <w:lvlJc w:val="left"/>
      <w:lvlText w:val="(%2)"/>
      <w:numFmt w:val="lowerLetter"/>
      <w:start w:val="3"/>
    </w:lvl>
  </w:abstractNum>
  <w:abstractNum w:abstractNumId="35">
    <w:nsid w:val="51EAD36B"/>
    <w:multiLevelType w:val="hybridMultilevel"/>
    <w:lvl w:ilvl="0">
      <w:lvlJc w:val="left"/>
      <w:lvlText w:val="(%1)"/>
      <w:numFmt w:val="lowerLetter"/>
      <w:start w:val="2"/>
    </w:lvl>
    <w:lvl w:ilvl="1">
      <w:lvlJc w:val="left"/>
      <w:lvlText w:val="%2"/>
      <w:numFmt w:val="lowerLetter"/>
      <w:start w:val="1"/>
    </w:lvl>
  </w:abstractNum>
  <w:abstractNum w:abstractNumId="36">
    <w:nsid w:val="2D517796"/>
    <w:multiLevelType w:val="hybridMultilevel"/>
    <w:lvl w:ilvl="0">
      <w:lvlJc w:val="left"/>
      <w:lvlText w:val="%1."/>
      <w:numFmt w:val="decimal"/>
      <w:start w:val="10"/>
    </w:lvl>
  </w:abstractNum>
  <w:abstractNum w:abstractNumId="37">
    <w:nsid w:val="580BD78F"/>
    <w:multiLevelType w:val="hybridMultilevel"/>
    <w:lvl w:ilvl="0">
      <w:lvlJc w:val="left"/>
      <w:lvlText w:val="%1."/>
      <w:numFmt w:val="decimal"/>
      <w:start w:val="12"/>
    </w:lvl>
  </w:abstractNum>
  <w:abstractNum w:abstractNumId="38">
    <w:nsid w:val="153EA438"/>
    <w:multiLevelType w:val="hybridMultilevel"/>
    <w:lvl w:ilvl="0">
      <w:lvlJc w:val="left"/>
      <w:lvlText w:val="%1."/>
      <w:numFmt w:val="decimal"/>
      <w:start w:val="13"/>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4"/>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2019-12-05T05:50:18Z</dcterms:created>
  <dcterms:modified xsi:type="dcterms:W3CDTF">2019-12-05T05:50:18Z</dcterms:modified>
</cp:coreProperties>
</file>