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145" w:lineRule="exact"/>
        <w:rPr>
          <w:sz w:val="24"/>
          <w:szCs w:val="24"/>
          <w:color w:val="auto"/>
        </w:rPr>
      </w:pPr>
    </w:p>
    <w:p>
      <w:pPr>
        <w:ind w:right="500"/>
        <w:spacing w:after="0" w:line="258" w:lineRule="auto"/>
        <w:rPr>
          <w:sz w:val="20"/>
          <w:szCs w:val="20"/>
          <w:color w:val="auto"/>
        </w:rPr>
      </w:pPr>
      <w:r>
        <w:rPr>
          <w:rFonts w:ascii="Arial" w:cs="Arial" w:eastAsia="Arial" w:hAnsi="Arial"/>
          <w:sz w:val="18"/>
          <w:szCs w:val="18"/>
          <w:b w:val="1"/>
          <w:bCs w:val="1"/>
          <w:color w:val="DE1A1E"/>
        </w:rPr>
        <w:t>The information in this preliminary prospectus supplement and the accompanying prospectus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DE1A1E"/>
        </w:rPr>
        <w:t>SUBJECT TO COMPLETION, DATED DECEMBER 4, 2013</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2552065</wp:posOffset>
            </wp:positionH>
            <wp:positionV relativeFrom="paragraph">
              <wp:posOffset>422910</wp:posOffset>
            </wp:positionV>
            <wp:extent cx="215265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5265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 Notes due 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4"/>
          <w:szCs w:val="24"/>
          <w:color w:val="auto"/>
        </w:rPr>
      </w:pPr>
    </w:p>
    <w:p>
      <w:pPr>
        <w:spacing w:after="0"/>
        <w:tabs>
          <w:tab w:leader="none" w:pos="5760" w:val="left"/>
          <w:tab w:leader="none" w:pos="10140" w:val="left"/>
          <w:tab w:leader="none" w:pos="11180" w:val="left"/>
        </w:tabs>
        <w:rPr>
          <w:sz w:val="20"/>
          <w:szCs w:val="20"/>
          <w:color w:val="auto"/>
        </w:rPr>
      </w:pPr>
      <w:r>
        <w:rPr>
          <w:rFonts w:ascii="Arial" w:cs="Arial" w:eastAsia="Arial" w:hAnsi="Arial"/>
          <w:sz w:val="18"/>
          <w:szCs w:val="18"/>
          <w:color w:val="auto"/>
        </w:rPr>
        <w:t>The notes offered by this prospectus supplement will bear interest at the rate of</w:t>
        <w:tab/>
        <w:t>% per year. Interest on the notes will be payable on</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of</w:t>
      </w:r>
    </w:p>
    <w:p>
      <w:pPr>
        <w:spacing w:after="0" w:line="15" w:lineRule="exact"/>
        <w:rPr>
          <w:sz w:val="24"/>
          <w:szCs w:val="24"/>
          <w:color w:val="auto"/>
        </w:rPr>
      </w:pPr>
    </w:p>
    <w:p>
      <w:pPr>
        <w:spacing w:after="0"/>
        <w:tabs>
          <w:tab w:leader="none" w:pos="2220" w:val="left"/>
          <w:tab w:leader="none" w:pos="5080" w:val="left"/>
          <w:tab w:leader="none" w:pos="5520" w:val="left"/>
        </w:tabs>
        <w:rPr>
          <w:sz w:val="20"/>
          <w:szCs w:val="20"/>
          <w:color w:val="auto"/>
        </w:rPr>
      </w:pPr>
      <w:r>
        <w:rPr>
          <w:rFonts w:ascii="Arial" w:cs="Arial" w:eastAsia="Arial" w:hAnsi="Arial"/>
          <w:sz w:val="18"/>
          <w:szCs w:val="18"/>
          <w:color w:val="auto"/>
        </w:rPr>
        <w:t>each year, beginning on</w:t>
      </w:r>
      <w:r>
        <w:rPr>
          <w:sz w:val="20"/>
          <w:szCs w:val="20"/>
          <w:color w:val="auto"/>
        </w:rPr>
        <w:tab/>
      </w:r>
      <w:r>
        <w:rPr>
          <w:rFonts w:ascii="Arial" w:cs="Arial" w:eastAsia="Arial" w:hAnsi="Arial"/>
          <w:sz w:val="18"/>
          <w:szCs w:val="18"/>
          <w:color w:val="auto"/>
        </w:rPr>
        <w:t>, 2014. The notes will mature on</w:t>
      </w:r>
      <w:r>
        <w:rPr>
          <w:sz w:val="20"/>
          <w:szCs w:val="20"/>
          <w:color w:val="auto"/>
        </w:rPr>
        <w:tab/>
      </w:r>
      <w:r>
        <w:rPr>
          <w:rFonts w:ascii="Arial" w:cs="Arial" w:eastAsia="Arial" w:hAnsi="Arial"/>
          <w:sz w:val="18"/>
          <w:szCs w:val="18"/>
          <w:color w:val="auto"/>
        </w:rPr>
        <w:t>, 20</w:t>
      </w:r>
      <w:r>
        <w:rPr>
          <w:sz w:val="20"/>
          <w:szCs w:val="20"/>
          <w:color w:val="auto"/>
        </w:rPr>
        <w:tab/>
      </w:r>
      <w:r>
        <w:rPr>
          <w:rFonts w:ascii="Arial" w:cs="Arial" w:eastAsia="Arial" w:hAnsi="Arial"/>
          <w:sz w:val="15"/>
          <w:szCs w:val="15"/>
          <w:color w:val="auto"/>
        </w:rPr>
        <w:t>. We may redeem some or all of the notes at any time before maturity. The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redemption prices are discussed under the caption “Description of Notes — Optional Redemption.”</w:t>
      </w:r>
    </w:p>
    <w:p>
      <w:pPr>
        <w:spacing w:after="0" w:line="84" w:lineRule="exact"/>
        <w:rPr>
          <w:sz w:val="24"/>
          <w:szCs w:val="24"/>
          <w:color w:val="auto"/>
        </w:rPr>
      </w:pPr>
    </w:p>
    <w:p>
      <w:pPr>
        <w:ind w:right="20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senior unsecured and unsubordinated indebtedness. The notes will be effectively subordinated to the prior claims of each secured mortgage lender to any specific property that secures such lender’s mortgage and to all of the unsecured indebtedness of our subsidiaries.</w:t>
      </w:r>
    </w:p>
    <w:p>
      <w:pPr>
        <w:spacing w:after="0" w:line="59" w:lineRule="exact"/>
        <w:rPr>
          <w:sz w:val="24"/>
          <w:szCs w:val="24"/>
          <w:color w:val="auto"/>
        </w:rPr>
      </w:pPr>
    </w:p>
    <w:p>
      <w:pPr>
        <w:spacing w:after="0"/>
        <w:rPr>
          <w:sz w:val="20"/>
          <w:szCs w:val="20"/>
          <w:color w:val="auto"/>
        </w:rPr>
      </w:pPr>
      <w:r>
        <w:rPr>
          <w:rFonts w:ascii="Arial" w:cs="Arial" w:eastAsia="Arial" w:hAnsi="Arial"/>
          <w:sz w:val="18"/>
          <w:szCs w:val="18"/>
          <w:color w:val="auto"/>
        </w:rPr>
        <w:t>The notes will not be listed on any securities exchange. There is currently no public market for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Investing in the notes involves risks. See “Risk Factors” beginning on page S-6 of this prospectus supplement,</w:t>
      </w:r>
    </w:p>
    <w:p>
      <w:pPr>
        <w:spacing w:after="0" w:line="70" w:lineRule="exact"/>
        <w:rPr>
          <w:sz w:val="24"/>
          <w:szCs w:val="24"/>
          <w:color w:val="auto"/>
        </w:rPr>
      </w:pPr>
    </w:p>
    <w:p>
      <w:pPr>
        <w:jc w:val="center"/>
        <w:spacing w:after="0" w:line="328" w:lineRule="auto"/>
        <w:rPr>
          <w:sz w:val="20"/>
          <w:szCs w:val="20"/>
          <w:color w:val="auto"/>
        </w:rPr>
      </w:pPr>
      <w:r>
        <w:rPr>
          <w:rFonts w:ascii="Arial" w:cs="Arial" w:eastAsia="Arial" w:hAnsi="Arial"/>
          <w:sz w:val="21"/>
          <w:szCs w:val="21"/>
          <w:b w:val="1"/>
          <w:bCs w:val="1"/>
          <w:color w:val="auto"/>
        </w:rPr>
        <w:t>on page 3 of the accompanying prospectus and in our Annual Report on Form 10-K for the year ended December 31, 2012, filed with the Securities and Exchange Commission, or the SEC, on February 12, 2013.</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90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280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Note</w:t>
            </w: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212"/>
        </w:trPr>
        <w:tc>
          <w:tcPr>
            <w:tcW w:w="29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Public offering price</w:t>
            </w:r>
            <w:r>
              <w:rPr>
                <w:rFonts w:ascii="Arial" w:cs="Arial" w:eastAsia="Arial" w:hAnsi="Arial"/>
                <w:sz w:val="11"/>
                <w:szCs w:val="11"/>
                <w:color w:val="auto"/>
              </w:rPr>
              <w:t>(1)</w:t>
            </w:r>
          </w:p>
        </w:tc>
        <w:tc>
          <w:tcPr>
            <w:tcW w:w="50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Underwriting discount</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r>
              <w:rPr>
                <w:rFonts w:ascii="Arial" w:cs="Arial" w:eastAsia="Arial" w:hAnsi="Arial"/>
                <w:sz w:val="11"/>
                <w:szCs w:val="11"/>
                <w:color w:val="auto"/>
              </w:rPr>
              <w:t>(1)</w:t>
            </w:r>
          </w:p>
        </w:tc>
        <w:tc>
          <w:tcPr>
            <w:tcW w:w="5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32"/>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r>
      <w:tr>
        <w:trPr>
          <w:trHeight w:val="376"/>
        </w:trPr>
        <w:tc>
          <w:tcPr>
            <w:tcW w:w="2900" w:type="dxa"/>
            <w:vAlign w:val="bottom"/>
          </w:tcPr>
          <w:p>
            <w:pPr>
              <w:spacing w:after="0"/>
              <w:rPr>
                <w:sz w:val="20"/>
                <w:szCs w:val="20"/>
                <w:color w:val="auto"/>
              </w:rPr>
            </w:pPr>
            <w:r>
              <w:rPr>
                <w:rFonts w:ascii="Arial" w:cs="Arial" w:eastAsia="Arial" w:hAnsi="Arial"/>
                <w:sz w:val="11"/>
                <w:szCs w:val="11"/>
                <w:color w:val="auto"/>
                <w:w w:val="96"/>
              </w:rPr>
              <w:t xml:space="preserve">(1) </w:t>
            </w:r>
            <w:r>
              <w:rPr>
                <w:rFonts w:ascii="Arial" w:cs="Arial" w:eastAsia="Arial" w:hAnsi="Arial"/>
                <w:sz w:val="17"/>
                <w:szCs w:val="17"/>
                <w:color w:val="auto"/>
                <w:w w:val="96"/>
              </w:rPr>
              <w:t>Plus accrued interest from December</w:t>
            </w:r>
          </w:p>
        </w:tc>
        <w:tc>
          <w:tcPr>
            <w:tcW w:w="7800" w:type="dxa"/>
            <w:vAlign w:val="bottom"/>
            <w:gridSpan w:val="3"/>
          </w:tcPr>
          <w:p>
            <w:pPr>
              <w:ind w:left="100"/>
              <w:spacing w:after="0"/>
              <w:rPr>
                <w:sz w:val="20"/>
                <w:szCs w:val="20"/>
                <w:color w:val="auto"/>
              </w:rPr>
            </w:pPr>
            <w:r>
              <w:rPr>
                <w:rFonts w:ascii="Arial" w:cs="Arial" w:eastAsia="Arial" w:hAnsi="Arial"/>
                <w:sz w:val="18"/>
                <w:szCs w:val="18"/>
                <w:color w:val="auto"/>
              </w:rPr>
              <w:t>, 2013, if settlement occurs after that date.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56" w:lineRule="exact"/>
        <w:rPr>
          <w:sz w:val="24"/>
          <w:szCs w:val="24"/>
          <w:color w:val="auto"/>
        </w:rPr>
      </w:pPr>
    </w:p>
    <w:p>
      <w:pPr>
        <w:ind w:left="180" w:right="40" w:hanging="175"/>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December , 2013.</w:t>
      </w:r>
    </w:p>
    <w:p>
      <w:pPr>
        <w:spacing w:after="0" w:line="126" w:lineRule="exact"/>
        <w:rPr>
          <w:sz w:val="24"/>
          <w:szCs w:val="24"/>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Joint Book-Running Managers</w:t>
      </w:r>
    </w:p>
    <w:p>
      <w:pPr>
        <w:spacing w:after="0" w:line="185" w:lineRule="exact"/>
        <w:rPr>
          <w:sz w:val="24"/>
          <w:szCs w:val="24"/>
          <w:color w:val="auto"/>
        </w:rPr>
      </w:pPr>
    </w:p>
    <w:p>
      <w:pPr>
        <w:spacing w:after="0"/>
        <w:tabs>
          <w:tab w:leader="none" w:pos="5080" w:val="left"/>
          <w:tab w:leader="none" w:pos="9720" w:val="left"/>
        </w:tabs>
        <w:rPr>
          <w:sz w:val="20"/>
          <w:szCs w:val="20"/>
          <w:color w:val="auto"/>
        </w:rPr>
      </w:pPr>
      <w:r>
        <w:rPr>
          <w:rFonts w:ascii="Arial" w:cs="Arial" w:eastAsia="Arial" w:hAnsi="Arial"/>
          <w:sz w:val="32"/>
          <w:szCs w:val="32"/>
          <w:b w:val="1"/>
          <w:bCs w:val="1"/>
          <w:color w:val="auto"/>
        </w:rPr>
        <w:t>Wells Fargo Securities</w:t>
      </w:r>
      <w:r>
        <w:rPr>
          <w:sz w:val="20"/>
          <w:szCs w:val="20"/>
          <w:color w:val="auto"/>
        </w:rPr>
        <w:tab/>
      </w:r>
      <w:r>
        <w:rPr>
          <w:rFonts w:ascii="Arial" w:cs="Arial" w:eastAsia="Arial" w:hAnsi="Arial"/>
          <w:sz w:val="32"/>
          <w:szCs w:val="32"/>
          <w:b w:val="1"/>
          <w:bCs w:val="1"/>
          <w:color w:val="auto"/>
        </w:rPr>
        <w:t>Citigroup</w:t>
      </w:r>
      <w:r>
        <w:rPr>
          <w:sz w:val="20"/>
          <w:szCs w:val="20"/>
          <w:color w:val="auto"/>
        </w:rPr>
        <w:tab/>
      </w:r>
      <w:r>
        <w:rPr>
          <w:rFonts w:ascii="Arial" w:cs="Arial" w:eastAsia="Arial" w:hAnsi="Arial"/>
          <w:sz w:val="29"/>
          <w:szCs w:val="29"/>
          <w:b w:val="1"/>
          <w:bCs w:val="1"/>
          <w:color w:val="auto"/>
        </w:rPr>
        <w:t>J.P. Morgan</w:t>
      </w:r>
    </w:p>
    <w:p>
      <w:pPr>
        <w:sectPr>
          <w:pgSz w:w="11900" w:h="16838" w:orient="portrait"/>
          <w:cols w:equalWidth="0" w:num="1">
            <w:col w:w="11420"/>
          </w:cols>
          <w:pgMar w:left="240" w:top="230" w:right="239" w:bottom="1440" w:gutter="0" w:footer="0" w:header="0"/>
        </w:sectPr>
      </w:pPr>
    </w:p>
    <w:p>
      <w:pPr>
        <w:spacing w:after="0" w:line="199" w:lineRule="exact"/>
        <w:rPr>
          <w:sz w:val="24"/>
          <w:szCs w:val="24"/>
          <w:color w:val="auto"/>
        </w:rPr>
      </w:pPr>
    </w:p>
    <w:p>
      <w:pPr>
        <w:jc w:val="center"/>
        <w:ind w:right="-19"/>
        <w:spacing w:after="0"/>
        <w:tabs>
          <w:tab w:leader="none" w:pos="200" w:val="left"/>
        </w:tabs>
        <w:rPr>
          <w:sz w:val="20"/>
          <w:szCs w:val="20"/>
          <w:color w:val="auto"/>
        </w:rPr>
      </w:pPr>
      <w:r>
        <w:rPr>
          <w:rFonts w:ascii="Arial" w:cs="Arial" w:eastAsia="Arial" w:hAnsi="Arial"/>
          <w:sz w:val="18"/>
          <w:szCs w:val="18"/>
          <w:b w:val="1"/>
          <w:bCs w:val="1"/>
          <w:color w:val="auto"/>
        </w:rPr>
        <w:t>The date of this prospectus supplement is December</w:t>
      </w:r>
      <w:r>
        <w:rPr>
          <w:sz w:val="20"/>
          <w:szCs w:val="20"/>
          <w:color w:val="auto"/>
        </w:rPr>
        <w:tab/>
      </w:r>
      <w:r>
        <w:rPr>
          <w:rFonts w:ascii="Arial" w:cs="Arial" w:eastAsia="Arial" w:hAnsi="Arial"/>
          <w:sz w:val="16"/>
          <w:szCs w:val="16"/>
          <w:b w:val="1"/>
          <w:bCs w:val="1"/>
          <w:color w:val="auto"/>
        </w:rPr>
        <w:t>, 2013.</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1"/>
            <w:vMerge w:val="restart"/>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1"/>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8"/>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Description of Notes</w:t>
              </w:r>
            </w:hyperlink>
          </w:p>
        </w:tc>
        <w:tc>
          <w:tcPr>
            <w:tcW w:w="3420" w:type="dxa"/>
            <w:vAlign w:val="bottom"/>
            <w:gridSpan w:val="1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S-17</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S-22</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S-24</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8"/>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8"/>
            <w:vMerge w:val="continue"/>
          </w:tcPr>
          <w:p>
            <w:pPr>
              <w:spacing w:after="0"/>
              <w:rPr>
                <w:sz w:val="13"/>
                <w:szCs w:val="13"/>
                <w:color w:val="auto"/>
              </w:rPr>
            </w:pPr>
          </w:p>
        </w:tc>
        <w:tc>
          <w:tcPr>
            <w:tcW w:w="6060" w:type="dxa"/>
            <w:vAlign w:val="bottom"/>
            <w:gridSpan w:val="2"/>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3500" w:type="dxa"/>
            <w:vAlign w:val="bottom"/>
            <w:gridSpan w:val="1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3920" w:type="dxa"/>
            <w:vAlign w:val="bottom"/>
            <w:gridSpan w:val="15"/>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2012, filed with the SEC on February 12, 2013, describe risks that may affect these statements but are not exhaustive,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right="14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requires spending a substantial amount upfront in infrastructure, and assumes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2"/>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right="2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September 30, 2013, we owned or had a controlling interest in community and neighborhood shopping centers and mixed-use properties which are operated as 87 predominantly retail real estate projects comprising approximately 19.5 million square feet (excludes unconsolidated joint venture properties). In total, the real estate projects were 95.3% leased and 94.6% occupied at September 30, 2013. A joint venture in which we own a 30% interest owned seven retail real estate projects totaling approximately 1.0 million square feet as of September 30, 2013. In total, the joint venture properties in which we own a 30% interest were 85.3% leased and occupied at September 30, 2013. We have paid quarterly dividends to our shareholders continuously since our founding in 1962 and have increased our dividends per common share for 46 consecutive years.</w:t>
      </w:r>
    </w:p>
    <w:p>
      <w:pPr>
        <w:spacing w:after="0" w:line="3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8420" w:type="dxa"/>
            <w:vAlign w:val="bottom"/>
            <w:gridSpan w:val="7"/>
          </w:tcPr>
          <w:p>
            <w:pPr>
              <w:ind w:left="440"/>
              <w:spacing w:after="0"/>
              <w:rPr>
                <w:sz w:val="20"/>
                <w:szCs w:val="20"/>
                <w:color w:val="auto"/>
              </w:rPr>
            </w:pPr>
            <w:r>
              <w:rPr>
                <w:rFonts w:ascii="Arial" w:cs="Arial" w:eastAsia="Arial" w:hAnsi="Arial"/>
                <w:sz w:val="18"/>
                <w:szCs w:val="18"/>
                <w:color w:val="auto"/>
                <w:w w:val="97"/>
              </w:rPr>
              <w:t>The following table sets forth our historical ratios of earnings to fixed charges for the periods indicated:</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4200" w:type="dxa"/>
            <w:vAlign w:val="bottom"/>
          </w:tcPr>
          <w:p>
            <w:pPr>
              <w:spacing w:after="0"/>
              <w:rPr>
                <w:sz w:val="24"/>
                <w:szCs w:val="24"/>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9"/>
              </w:rPr>
              <w:t>For the Nine Months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200" w:type="dxa"/>
            <w:vAlign w:val="bottom"/>
          </w:tcPr>
          <w:p>
            <w:pPr>
              <w:spacing w:after="0"/>
              <w:rPr>
                <w:sz w:val="19"/>
                <w:szCs w:val="19"/>
                <w:color w:val="auto"/>
              </w:rPr>
            </w:pPr>
          </w:p>
        </w:tc>
        <w:tc>
          <w:tcPr>
            <w:tcW w:w="218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87"/>
              </w:rPr>
              <w:t>Ended September 30,</w:t>
            </w:r>
          </w:p>
        </w:tc>
        <w:tc>
          <w:tcPr>
            <w:tcW w:w="420" w:type="dxa"/>
            <w:vAlign w:val="bottom"/>
          </w:tcPr>
          <w:p>
            <w:pPr>
              <w:spacing w:after="0"/>
              <w:rPr>
                <w:sz w:val="19"/>
                <w:szCs w:val="19"/>
                <w:color w:val="auto"/>
              </w:rPr>
            </w:pPr>
          </w:p>
        </w:tc>
        <w:tc>
          <w:tcPr>
            <w:tcW w:w="3700" w:type="dxa"/>
            <w:vAlign w:val="bottom"/>
            <w:gridSpan w:val="7"/>
          </w:tcPr>
          <w:p>
            <w:pPr>
              <w:ind w:left="580"/>
              <w:spacing w:after="0"/>
              <w:rPr>
                <w:sz w:val="20"/>
                <w:szCs w:val="20"/>
                <w:color w:val="auto"/>
              </w:rPr>
            </w:pPr>
            <w:r>
              <w:rPr>
                <w:rFonts w:ascii="Arial" w:cs="Arial" w:eastAsia="Arial" w:hAnsi="Arial"/>
                <w:sz w:val="18"/>
                <w:szCs w:val="18"/>
                <w:b w:val="1"/>
                <w:bCs w:val="1"/>
                <w:color w:val="auto"/>
              </w:rPr>
              <w:t>For the Years Ended December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20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58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2012</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2009</w:t>
            </w:r>
          </w:p>
        </w:tc>
        <w:tc>
          <w:tcPr>
            <w:tcW w:w="6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3"/>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300" w:firstLine="443"/>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320" w:type="dxa"/>
            <w:vAlign w:val="bottom"/>
          </w:tcPr>
          <w:p>
            <w:pPr>
              <w:spacing w:after="0"/>
              <w:rPr>
                <w:sz w:val="20"/>
                <w:szCs w:val="20"/>
                <w:color w:val="auto"/>
              </w:rPr>
            </w:pPr>
            <w:r>
              <w:rPr>
                <w:rFonts w:ascii="Arial" w:cs="Arial" w:eastAsia="Arial" w:hAnsi="Arial"/>
                <w:sz w:val="18"/>
                <w:szCs w:val="18"/>
                <w:color w:val="auto"/>
              </w:rPr>
              <w:t>Issuer</w:t>
            </w:r>
          </w:p>
        </w:tc>
        <w:tc>
          <w:tcPr>
            <w:tcW w:w="6060" w:type="dxa"/>
            <w:vAlign w:val="bottom"/>
            <w:gridSpan w:val="3"/>
          </w:tcPr>
          <w:p>
            <w:pPr>
              <w:ind w:left="980"/>
              <w:spacing w:after="0"/>
              <w:rPr>
                <w:sz w:val="20"/>
                <w:szCs w:val="20"/>
                <w:color w:val="auto"/>
              </w:rPr>
            </w:pPr>
            <w:r>
              <w:rPr>
                <w:rFonts w:ascii="Arial" w:cs="Arial" w:eastAsia="Arial" w:hAnsi="Arial"/>
                <w:sz w:val="18"/>
                <w:szCs w:val="18"/>
                <w:color w:val="auto"/>
              </w:rPr>
              <w:t>Federal Realty Investment Trust.</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Securities offered</w:t>
            </w:r>
          </w:p>
        </w:tc>
        <w:tc>
          <w:tcPr>
            <w:tcW w:w="1320" w:type="dxa"/>
            <w:vAlign w:val="bottom"/>
          </w:tcPr>
          <w:p>
            <w:pPr>
              <w:ind w:left="980"/>
              <w:spacing w:after="0"/>
              <w:rPr>
                <w:sz w:val="20"/>
                <w:szCs w:val="20"/>
                <w:color w:val="auto"/>
              </w:rPr>
            </w:pPr>
            <w:r>
              <w:rPr>
                <w:rFonts w:ascii="Arial" w:cs="Arial" w:eastAsia="Arial" w:hAnsi="Arial"/>
                <w:sz w:val="18"/>
                <w:szCs w:val="18"/>
                <w:color w:val="auto"/>
              </w:rPr>
              <w:t>$</w:t>
            </w:r>
          </w:p>
        </w:tc>
        <w:tc>
          <w:tcPr>
            <w:tcW w:w="4740" w:type="dxa"/>
            <w:vAlign w:val="bottom"/>
            <w:gridSpan w:val="2"/>
          </w:tcPr>
          <w:p>
            <w:pPr>
              <w:ind w:left="140"/>
              <w:spacing w:after="0"/>
              <w:rPr>
                <w:sz w:val="20"/>
                <w:szCs w:val="20"/>
                <w:color w:val="auto"/>
              </w:rPr>
            </w:pPr>
            <w:r>
              <w:rPr>
                <w:rFonts w:ascii="Arial" w:cs="Arial" w:eastAsia="Arial" w:hAnsi="Arial"/>
                <w:sz w:val="18"/>
                <w:szCs w:val="18"/>
                <w:color w:val="auto"/>
              </w:rPr>
              <w:t>million aggregate principal amount of   % notes due 20   .</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11"/>
        </w:trPr>
        <w:tc>
          <w:tcPr>
            <w:tcW w:w="3320" w:type="dxa"/>
            <w:vAlign w:val="bottom"/>
          </w:tcPr>
          <w:p>
            <w:pPr>
              <w:spacing w:after="0"/>
              <w:rPr>
                <w:sz w:val="20"/>
                <w:szCs w:val="20"/>
                <w:color w:val="auto"/>
              </w:rPr>
            </w:pPr>
            <w:r>
              <w:rPr>
                <w:rFonts w:ascii="Arial" w:cs="Arial" w:eastAsia="Arial" w:hAnsi="Arial"/>
                <w:sz w:val="18"/>
                <w:szCs w:val="18"/>
                <w:color w:val="auto"/>
              </w:rPr>
              <w:t>Maturity</w:t>
            </w:r>
          </w:p>
        </w:tc>
        <w:tc>
          <w:tcPr>
            <w:tcW w:w="7120" w:type="dxa"/>
            <w:vAlign w:val="bottom"/>
            <w:gridSpan w:val="4"/>
          </w:tcPr>
          <w:p>
            <w:pPr>
              <w:ind w:left="980"/>
              <w:spacing w:after="0"/>
              <w:rPr>
                <w:sz w:val="20"/>
                <w:szCs w:val="20"/>
                <w:color w:val="auto"/>
              </w:rPr>
            </w:pPr>
            <w:r>
              <w:rPr>
                <w:rFonts w:ascii="Arial" w:cs="Arial" w:eastAsia="Arial" w:hAnsi="Arial"/>
                <w:sz w:val="18"/>
                <w:szCs w:val="18"/>
                <w:color w:val="auto"/>
                <w:w w:val="97"/>
              </w:rPr>
              <w:t>Unless redeemed prior to maturity as described below, the notes will mature on</w:t>
            </w:r>
          </w:p>
        </w:tc>
        <w:tc>
          <w:tcPr>
            <w:tcW w:w="560" w:type="dxa"/>
            <w:vAlign w:val="bottom"/>
          </w:tcPr>
          <w:p>
            <w:pPr>
              <w:jc w:val="right"/>
              <w:spacing w:after="0"/>
              <w:rPr>
                <w:sz w:val="20"/>
                <w:szCs w:val="20"/>
                <w:color w:val="auto"/>
              </w:rPr>
            </w:pPr>
            <w:r>
              <w:rPr>
                <w:rFonts w:ascii="Arial" w:cs="Arial" w:eastAsia="Arial" w:hAnsi="Arial"/>
                <w:sz w:val="18"/>
                <w:szCs w:val="18"/>
                <w:color w:val="auto"/>
                <w:w w:val="99"/>
              </w:rPr>
              <w:t>, 20   .</w:t>
            </w:r>
          </w:p>
        </w:tc>
      </w:tr>
      <w:tr>
        <w:trPr>
          <w:trHeight w:val="304"/>
        </w:trPr>
        <w:tc>
          <w:tcPr>
            <w:tcW w:w="33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6060" w:type="dxa"/>
            <w:vAlign w:val="bottom"/>
            <w:gridSpan w:val="3"/>
          </w:tcPr>
          <w:p>
            <w:pPr>
              <w:ind w:left="980"/>
              <w:spacing w:after="0"/>
              <w:rPr>
                <w:sz w:val="20"/>
                <w:szCs w:val="20"/>
                <w:color w:val="auto"/>
              </w:rPr>
            </w:pPr>
            <w:r>
              <w:rPr>
                <w:rFonts w:ascii="Arial" w:cs="Arial" w:eastAsia="Arial" w:hAnsi="Arial"/>
                <w:sz w:val="18"/>
                <w:szCs w:val="18"/>
                <w:color w:val="auto"/>
                <w:w w:val="92"/>
              </w:rPr>
              <w:t>Interest on the notes will be payable semi-annually in arrears on and</w:t>
            </w:r>
          </w:p>
        </w:tc>
        <w:tc>
          <w:tcPr>
            <w:tcW w:w="1620" w:type="dxa"/>
            <w:vAlign w:val="bottom"/>
            <w:gridSpan w:val="2"/>
          </w:tcPr>
          <w:p>
            <w:pPr>
              <w:jc w:val="right"/>
              <w:ind w:right="452"/>
              <w:spacing w:after="0"/>
              <w:rPr>
                <w:sz w:val="20"/>
                <w:szCs w:val="20"/>
                <w:color w:val="auto"/>
              </w:rPr>
            </w:pPr>
            <w:r>
              <w:rPr>
                <w:rFonts w:ascii="Arial" w:cs="Arial" w:eastAsia="Arial" w:hAnsi="Arial"/>
                <w:sz w:val="18"/>
                <w:szCs w:val="18"/>
                <w:color w:val="auto"/>
              </w:rPr>
              <w:t>, beginning</w:t>
            </w:r>
          </w:p>
        </w:tc>
      </w:tr>
      <w:tr>
        <w:trPr>
          <w:trHeight w:val="222"/>
        </w:trPr>
        <w:tc>
          <w:tcPr>
            <w:tcW w:w="3320" w:type="dxa"/>
            <w:vAlign w:val="bottom"/>
          </w:tcPr>
          <w:p>
            <w:pPr>
              <w:spacing w:after="0"/>
              <w:rPr>
                <w:sz w:val="19"/>
                <w:szCs w:val="19"/>
                <w:color w:val="auto"/>
              </w:rPr>
            </w:pPr>
          </w:p>
        </w:tc>
        <w:tc>
          <w:tcPr>
            <w:tcW w:w="1320" w:type="dxa"/>
            <w:vAlign w:val="bottom"/>
          </w:tcPr>
          <w:p>
            <w:pPr>
              <w:ind w:left="980"/>
              <w:spacing w:after="0"/>
              <w:rPr>
                <w:sz w:val="20"/>
                <w:szCs w:val="20"/>
                <w:color w:val="auto"/>
              </w:rPr>
            </w:pPr>
            <w:r>
              <w:rPr>
                <w:rFonts w:ascii="Arial" w:cs="Arial" w:eastAsia="Arial" w:hAnsi="Arial"/>
                <w:sz w:val="18"/>
                <w:szCs w:val="18"/>
                <w:color w:val="auto"/>
              </w:rPr>
              <w:t>on</w:t>
            </w:r>
          </w:p>
        </w:tc>
        <w:tc>
          <w:tcPr>
            <w:tcW w:w="4740" w:type="dxa"/>
            <w:vAlign w:val="bottom"/>
            <w:gridSpan w:val="2"/>
          </w:tcPr>
          <w:p>
            <w:pPr>
              <w:ind w:left="420"/>
              <w:spacing w:after="0"/>
              <w:rPr>
                <w:sz w:val="20"/>
                <w:szCs w:val="20"/>
                <w:color w:val="auto"/>
              </w:rPr>
            </w:pPr>
            <w:r>
              <w:rPr>
                <w:rFonts w:ascii="Arial" w:cs="Arial" w:eastAsia="Arial" w:hAnsi="Arial"/>
                <w:sz w:val="18"/>
                <w:szCs w:val="18"/>
                <w:color w:val="auto"/>
              </w:rPr>
              <w:t>, 2014, and at maturity.</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Ranking</w:t>
            </w: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89"/>
              </w:rPr>
              <w:t xml:space="preserve">The notes will be our senior unsecured obligations and will rank </w:t>
            </w:r>
            <w:r>
              <w:rPr>
                <w:rFonts w:ascii="Arial" w:cs="Arial" w:eastAsia="Arial" w:hAnsi="Arial"/>
                <w:sz w:val="18"/>
                <w:szCs w:val="18"/>
                <w:i w:val="1"/>
                <w:iCs w:val="1"/>
                <w:color w:val="auto"/>
                <w:w w:val="89"/>
              </w:rPr>
              <w:t>pari passu</w:t>
            </w:r>
            <w:r>
              <w:rPr>
                <w:rFonts w:ascii="Arial" w:cs="Arial" w:eastAsia="Arial" w:hAnsi="Arial"/>
                <w:sz w:val="18"/>
                <w:szCs w:val="18"/>
                <w:color w:val="auto"/>
                <w:w w:val="89"/>
              </w:rPr>
              <w:t>, or equally, with all</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0"/>
              </w:rPr>
              <w:t>of our other senior unsecured and unsubordinated indebtedness. The notes will be effectively</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89"/>
              </w:rPr>
              <w:t>subordinated to the prior claims of each secured mortgage lender to any specific property that</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87"/>
              </w:rPr>
              <w:t>secures such lender’s mortgage and to all of the unsecured indebtedness of our subsidiaries. At</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89"/>
              </w:rPr>
              <w:t>September 30, 2013, after giving effect to this offering and to the use of the net proceeds from</w:t>
            </w:r>
          </w:p>
        </w:tc>
      </w:tr>
      <w:tr>
        <w:trPr>
          <w:trHeight w:val="216"/>
        </w:trPr>
        <w:tc>
          <w:tcPr>
            <w:tcW w:w="3320" w:type="dxa"/>
            <w:vAlign w:val="bottom"/>
          </w:tcPr>
          <w:p>
            <w:pPr>
              <w:spacing w:after="0"/>
              <w:rPr>
                <w:sz w:val="18"/>
                <w:szCs w:val="18"/>
                <w:color w:val="auto"/>
              </w:rPr>
            </w:pPr>
          </w:p>
        </w:tc>
        <w:tc>
          <w:tcPr>
            <w:tcW w:w="7120" w:type="dxa"/>
            <w:vAlign w:val="bottom"/>
            <w:gridSpan w:val="4"/>
          </w:tcPr>
          <w:p>
            <w:pPr>
              <w:ind w:left="980"/>
              <w:spacing w:after="0"/>
              <w:rPr>
                <w:sz w:val="20"/>
                <w:szCs w:val="20"/>
                <w:color w:val="auto"/>
              </w:rPr>
            </w:pPr>
            <w:r>
              <w:rPr>
                <w:rFonts w:ascii="Arial" w:cs="Arial" w:eastAsia="Arial" w:hAnsi="Arial"/>
                <w:sz w:val="18"/>
                <w:szCs w:val="18"/>
                <w:color w:val="auto"/>
                <w:w w:val="90"/>
              </w:rPr>
              <w:t>this offering, including the Mortgage Note Redemption described below under “Use of</w:t>
            </w:r>
          </w:p>
        </w:tc>
        <w:tc>
          <w:tcPr>
            <w:tcW w:w="5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7"/>
              </w:rPr>
              <w:t>Proceeds,” we had outstanding approximately $581 million (excluding net unamortized</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4"/>
              </w:rPr>
              <w:t>premium) of secured indebtedness collateralized by all or parts of 14 properties (of which</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5"/>
              </w:rPr>
              <w:t>approximately $404 million was issued by our subsidiaries), approximately $25 million of</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3"/>
              </w:rPr>
              <w:t>unsecured indebtedness issued by our subsidiaries (which will be senior to the notes) and</w:t>
            </w:r>
          </w:p>
        </w:tc>
      </w:tr>
      <w:tr>
        <w:trPr>
          <w:trHeight w:val="216"/>
        </w:trPr>
        <w:tc>
          <w:tcPr>
            <w:tcW w:w="3320" w:type="dxa"/>
            <w:vAlign w:val="bottom"/>
          </w:tcPr>
          <w:p>
            <w:pPr>
              <w:spacing w:after="0"/>
              <w:rPr>
                <w:sz w:val="18"/>
                <w:szCs w:val="18"/>
                <w:color w:val="auto"/>
              </w:rPr>
            </w:pPr>
          </w:p>
        </w:tc>
        <w:tc>
          <w:tcPr>
            <w:tcW w:w="2480" w:type="dxa"/>
            <w:vAlign w:val="bottom"/>
            <w:gridSpan w:val="2"/>
          </w:tcPr>
          <w:p>
            <w:pPr>
              <w:ind w:left="980"/>
              <w:spacing w:after="0"/>
              <w:rPr>
                <w:sz w:val="20"/>
                <w:szCs w:val="20"/>
                <w:color w:val="auto"/>
              </w:rPr>
            </w:pPr>
            <w:r>
              <w:rPr>
                <w:rFonts w:ascii="Arial" w:cs="Arial" w:eastAsia="Arial" w:hAnsi="Arial"/>
                <w:sz w:val="18"/>
                <w:szCs w:val="18"/>
                <w:color w:val="auto"/>
              </w:rPr>
              <w:t>approximately $</w:t>
            </w:r>
          </w:p>
        </w:tc>
        <w:tc>
          <w:tcPr>
            <w:tcW w:w="5200" w:type="dxa"/>
            <w:vAlign w:val="bottom"/>
            <w:gridSpan w:val="3"/>
          </w:tcPr>
          <w:p>
            <w:pPr>
              <w:jc w:val="right"/>
              <w:ind w:right="112"/>
              <w:spacing w:after="0"/>
              <w:rPr>
                <w:sz w:val="20"/>
                <w:szCs w:val="20"/>
                <w:color w:val="auto"/>
              </w:rPr>
            </w:pPr>
            <w:r>
              <w:rPr>
                <w:rFonts w:ascii="Arial" w:cs="Arial" w:eastAsia="Arial" w:hAnsi="Arial"/>
                <w:sz w:val="18"/>
                <w:szCs w:val="18"/>
                <w:color w:val="auto"/>
                <w:w w:val="92"/>
              </w:rPr>
              <w:t>million of other unsecured indebtedness (excluding net unamortized</w:t>
            </w:r>
          </w:p>
        </w:tc>
      </w:tr>
      <w:tr>
        <w:trPr>
          <w:trHeight w:val="222"/>
        </w:trPr>
        <w:tc>
          <w:tcPr>
            <w:tcW w:w="3320" w:type="dxa"/>
            <w:vAlign w:val="bottom"/>
          </w:tcPr>
          <w:p>
            <w:pPr>
              <w:spacing w:after="0"/>
              <w:rPr>
                <w:sz w:val="19"/>
                <w:szCs w:val="19"/>
                <w:color w:val="auto"/>
              </w:rPr>
            </w:pPr>
          </w:p>
        </w:tc>
        <w:tc>
          <w:tcPr>
            <w:tcW w:w="6060" w:type="dxa"/>
            <w:vAlign w:val="bottom"/>
            <w:gridSpan w:val="3"/>
          </w:tcPr>
          <w:p>
            <w:pPr>
              <w:ind w:left="980"/>
              <w:spacing w:after="0"/>
              <w:rPr>
                <w:sz w:val="20"/>
                <w:szCs w:val="20"/>
                <w:color w:val="auto"/>
              </w:rPr>
            </w:pPr>
            <w:r>
              <w:rPr>
                <w:rFonts w:ascii="Arial" w:cs="Arial" w:eastAsia="Arial" w:hAnsi="Arial"/>
                <w:sz w:val="18"/>
                <w:szCs w:val="18"/>
                <w:color w:val="auto"/>
              </w:rPr>
              <w:t>discount) ranking equally with the notes.</w:t>
            </w: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91"/>
        </w:trPr>
        <w:tc>
          <w:tcPr>
            <w:tcW w:w="3320" w:type="dxa"/>
            <w:vAlign w:val="bottom"/>
          </w:tcPr>
          <w:p>
            <w:pPr>
              <w:spacing w:after="0"/>
              <w:rPr>
                <w:sz w:val="20"/>
                <w:szCs w:val="20"/>
                <w:color w:val="auto"/>
              </w:rPr>
            </w:pPr>
            <w:r>
              <w:rPr>
                <w:rFonts w:ascii="Arial" w:cs="Arial" w:eastAsia="Arial" w:hAnsi="Arial"/>
                <w:sz w:val="18"/>
                <w:szCs w:val="18"/>
                <w:color w:val="auto"/>
              </w:rPr>
              <w:t>Use of proceeds</w:t>
            </w: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0"/>
              </w:rPr>
              <w:t>We intend to use the net proceeds from this offering to redeem our outstanding 5.95% Notes</w:t>
            </w: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89"/>
              </w:rPr>
              <w:t>due 2014, to pay off the outstanding balance under our revolving credit facility and for general</w:t>
            </w:r>
          </w:p>
        </w:tc>
      </w:tr>
      <w:tr>
        <w:trPr>
          <w:trHeight w:val="216"/>
        </w:trPr>
        <w:tc>
          <w:tcPr>
            <w:tcW w:w="3320" w:type="dxa"/>
            <w:vAlign w:val="bottom"/>
          </w:tcPr>
          <w:p>
            <w:pPr>
              <w:spacing w:after="0"/>
              <w:rPr>
                <w:sz w:val="18"/>
                <w:szCs w:val="18"/>
                <w:color w:val="auto"/>
              </w:rPr>
            </w:pPr>
          </w:p>
        </w:tc>
        <w:tc>
          <w:tcPr>
            <w:tcW w:w="7120" w:type="dxa"/>
            <w:vAlign w:val="bottom"/>
            <w:gridSpan w:val="4"/>
          </w:tcPr>
          <w:p>
            <w:pPr>
              <w:ind w:left="980"/>
              <w:spacing w:after="0"/>
              <w:rPr>
                <w:sz w:val="20"/>
                <w:szCs w:val="20"/>
                <w:color w:val="auto"/>
              </w:rPr>
            </w:pPr>
            <w:r>
              <w:rPr>
                <w:rFonts w:ascii="Arial" w:cs="Arial" w:eastAsia="Arial" w:hAnsi="Arial"/>
                <w:sz w:val="18"/>
                <w:szCs w:val="18"/>
                <w:color w:val="auto"/>
                <w:w w:val="90"/>
              </w:rPr>
              <w:t>corporate purposes, which may include without limitation funding potential acquisition</w:t>
            </w:r>
          </w:p>
        </w:tc>
        <w:tc>
          <w:tcPr>
            <w:tcW w:w="560" w:type="dxa"/>
            <w:vAlign w:val="bottom"/>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680" w:type="dxa"/>
            <w:vAlign w:val="bottom"/>
            <w:gridSpan w:val="5"/>
          </w:tcPr>
          <w:p>
            <w:pPr>
              <w:ind w:left="980"/>
              <w:spacing w:after="0"/>
              <w:rPr>
                <w:sz w:val="20"/>
                <w:szCs w:val="20"/>
                <w:color w:val="auto"/>
              </w:rPr>
            </w:pPr>
            <w:r>
              <w:rPr>
                <w:rFonts w:ascii="Arial" w:cs="Arial" w:eastAsia="Arial" w:hAnsi="Arial"/>
                <w:sz w:val="18"/>
                <w:szCs w:val="18"/>
                <w:color w:val="auto"/>
                <w:w w:val="91"/>
              </w:rPr>
              <w:t>opportunities or funding our redevelopment pipeline. See “Use of Proceeds” on page S-8 for</w:t>
            </w:r>
          </w:p>
        </w:tc>
      </w:tr>
      <w:tr>
        <w:trPr>
          <w:trHeight w:val="222"/>
        </w:trPr>
        <w:tc>
          <w:tcPr>
            <w:tcW w:w="3320" w:type="dxa"/>
            <w:vAlign w:val="bottom"/>
          </w:tcPr>
          <w:p>
            <w:pPr>
              <w:spacing w:after="0"/>
              <w:rPr>
                <w:sz w:val="19"/>
                <w:szCs w:val="19"/>
                <w:color w:val="auto"/>
              </w:rPr>
            </w:pPr>
          </w:p>
        </w:tc>
        <w:tc>
          <w:tcPr>
            <w:tcW w:w="2480" w:type="dxa"/>
            <w:vAlign w:val="bottom"/>
            <w:gridSpan w:val="2"/>
          </w:tcPr>
          <w:p>
            <w:pPr>
              <w:ind w:left="980"/>
              <w:spacing w:after="0"/>
              <w:rPr>
                <w:sz w:val="20"/>
                <w:szCs w:val="20"/>
                <w:color w:val="auto"/>
              </w:rPr>
            </w:pPr>
            <w:r>
              <w:rPr>
                <w:rFonts w:ascii="Arial" w:cs="Arial" w:eastAsia="Arial" w:hAnsi="Arial"/>
                <w:sz w:val="18"/>
                <w:szCs w:val="18"/>
                <w:color w:val="auto"/>
              </w:rPr>
              <w:t>more information.</w:t>
            </w:r>
          </w:p>
        </w:tc>
        <w:tc>
          <w:tcPr>
            <w:tcW w:w="3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97"/>
        </w:trPr>
        <w:tc>
          <w:tcPr>
            <w:tcW w:w="3320" w:type="dxa"/>
            <w:vAlign w:val="bottom"/>
          </w:tcPr>
          <w:p>
            <w:pPr>
              <w:spacing w:after="0"/>
              <w:rPr>
                <w:sz w:val="20"/>
                <w:szCs w:val="20"/>
                <w:color w:val="auto"/>
              </w:rPr>
            </w:pPr>
            <w:r>
              <w:rPr>
                <w:rFonts w:ascii="Arial" w:cs="Arial" w:eastAsia="Arial" w:hAnsi="Arial"/>
                <w:sz w:val="18"/>
                <w:szCs w:val="18"/>
                <w:color w:val="auto"/>
              </w:rPr>
              <w:t>Limitations on incurrence of debt</w:t>
            </w:r>
          </w:p>
        </w:tc>
        <w:tc>
          <w:tcPr>
            <w:tcW w:w="6060" w:type="dxa"/>
            <w:vAlign w:val="bottom"/>
            <w:gridSpan w:val="3"/>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88" w:lineRule="exact"/>
        <w:rPr>
          <w:sz w:val="20"/>
          <w:szCs w:val="20"/>
          <w:color w:val="auto"/>
        </w:rPr>
      </w:pPr>
    </w:p>
    <w:p>
      <w:pPr>
        <w:ind w:left="4500" w:firstLine="5"/>
        <w:spacing w:after="0" w:line="288" w:lineRule="auto"/>
        <w:tabs>
          <w:tab w:leader="none" w:pos="47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immediately after 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(a) Total Assets as of the end of the calendar quarter covered in our Annual Report on Form 10-K or Quarterly Report on Form 10-Q, as the case may be, most recently filed with the SEC (or, if such filing is not permitted under the Exchange Act, with U.S. Bank National Association, the trustee) prior to the incurrence of such additional Debt and</w:t>
      </w:r>
    </w:p>
    <w:p>
      <w:pPr>
        <w:spacing w:after="0" w:line="28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right="100" w:firstLine="5"/>
        <w:spacing w:after="0" w:line="294" w:lineRule="auto"/>
        <w:tabs>
          <w:tab w:leader="none" w:pos="47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48" w:lineRule="exact"/>
        <w:rPr>
          <w:sz w:val="20"/>
          <w:szCs w:val="20"/>
          <w:color w:val="auto"/>
        </w:rPr>
      </w:pPr>
    </w:p>
    <w:p>
      <w:pPr>
        <w:ind w:left="4500" w:firstLine="5"/>
        <w:spacing w:after="0" w:line="285"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0" w:lineRule="exact"/>
        <w:rPr>
          <w:rFonts w:ascii="Arial" w:cs="Arial" w:eastAsia="Arial" w:hAnsi="Arial"/>
          <w:sz w:val="16"/>
          <w:szCs w:val="16"/>
          <w:color w:val="auto"/>
        </w:rPr>
      </w:pPr>
    </w:p>
    <w:p>
      <w:pPr>
        <w:ind w:left="4500" w:right="80" w:firstLine="5"/>
        <w:spacing w:after="0" w:line="286"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w:t>
      </w:r>
    </w:p>
    <w:p>
      <w:pPr>
        <w:spacing w:after="0" w:line="2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754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computed based upon the 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55" w:lineRule="exact"/>
        <w:rPr>
          <w:sz w:val="20"/>
          <w:szCs w:val="20"/>
          <w:color w:val="auto"/>
        </w:rPr>
      </w:pPr>
    </w:p>
    <w:p>
      <w:pPr>
        <w:jc w:val="both"/>
        <w:ind w:right="80" w:firstLine="5"/>
        <w:spacing w:after="0" w:line="259"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90 days prior to the maturity date, the redemption price will be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basis points (0. %), plus, in each case, accrued and unpaid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detailed description is in “Description of Notes — Optional Redemption.”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and in our Annual Report on Form 10-K for the year ended December 31, 2012, filed with the SEC on February 12, 2013, and the other information contained or incorporated by reference</w:t>
      </w:r>
    </w:p>
    <w:p>
      <w:pPr>
        <w:spacing w:after="0" w:line="200"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spacing w:after="0" w:line="75"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30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930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spacing w:after="0" w:line="318" w:lineRule="auto"/>
        <w:rPr>
          <w:sz w:val="20"/>
          <w:szCs w:val="20"/>
          <w:color w:val="auto"/>
        </w:rPr>
      </w:pPr>
      <w:r>
        <w:rPr>
          <w:rFonts w:ascii="Arial" w:cs="Arial" w:eastAsia="Arial" w:hAnsi="Arial"/>
          <w:sz w:val="15"/>
          <w:szCs w:val="15"/>
          <w:color w:val="auto"/>
        </w:rPr>
        <w:t>in this prospectus supplement and the accompanying prospectus 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for the year ended December 31, 2012 filed with the SEC on February 12, 2013 before you decide to purchase the notes. The risks and uncertainties described below and in the incorporated Form 10-K for the year ended December 31, 2012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96"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September 30, 2013, after giving effect to this offering, and to the issuance of the notes and the application of the net proceeds of this offering, including the Mortgage Note Redemption described below under “Use of Proceeds,” our subsidiaries had approximately $429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2013, after giving effect to this offering and the application of the net proceeds of this offering, including the Mortgage Note Redemption described below under “Use of Proceeds,” we had approximately $581 million (excluding net unamortized premium) of secured debt outstanding, all of which was effectively senior to the notes to the extent of the value of the securing assets.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460"/>
        <w:spacing w:after="0"/>
        <w:tabs>
          <w:tab w:leader="none" w:pos="9520" w:val="left"/>
        </w:tabs>
        <w:rPr>
          <w:sz w:val="20"/>
          <w:szCs w:val="20"/>
          <w:color w:val="auto"/>
        </w:rPr>
      </w:pPr>
      <w:r>
        <w:rPr>
          <w:rFonts w:ascii="Arial" w:cs="Arial" w:eastAsia="Arial" w:hAnsi="Arial"/>
          <w:sz w:val="18"/>
          <w:szCs w:val="18"/>
          <w:color w:val="auto"/>
        </w:rPr>
        <w:t>The net proceeds to us from the sale of the notes offered by this prospectus supplement are estimated to be approximately $</w:t>
      </w:r>
      <w:r>
        <w:rPr>
          <w:sz w:val="20"/>
          <w:szCs w:val="20"/>
          <w:color w:val="auto"/>
        </w:rPr>
        <w:tab/>
      </w:r>
      <w:r>
        <w:rPr>
          <w:rFonts w:ascii="Arial" w:cs="Arial" w:eastAsia="Arial" w:hAnsi="Arial"/>
          <w:sz w:val="16"/>
          <w:szCs w:val="16"/>
          <w:color w:val="auto"/>
        </w:rPr>
        <w:t>million after deducting the</w:t>
      </w:r>
    </w:p>
    <w:p>
      <w:pPr>
        <w:spacing w:after="0" w:line="1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underwriting discount and other estimated expenses of this offering payable by us. We intend to use these net proceeds to redeem all of our outstanding 5.95% Notes due 2014, to pay off an expected balance of $72 million outstanding under our revolving credit facility due to the Mortgage Note Redemption described below, and for general corporate purposes, which may include without limitation funding potential acquisition opportunities or funding our redevelopment pipeline. As of September 30, 2013, $150 million of our 5.95% Notes due 2014 was outstanding. In addition to the payment of outstanding principal amount and accrued but unpaid interest, redemption of the 5.95% Notes due 2014 will be subject to a make-whole premium in the aggregate amount of approximately $5.0 million. The 5.95% Notes due 2014 are scheduled to mature on August 15, 2014.</w:t>
      </w:r>
    </w:p>
    <w:p>
      <w:pPr>
        <w:spacing w:after="0" w:line="3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$600 million revolving credit facility matures on April 21, 2017, subject to a one-year extension at our option. LIBOR loans outstanding under our revolving credit facility bear interest at seven day, one month, three month or six month LIBOR, at our election, plus a spread of 90 basis points, subject to adjustment based on our credit rating. As of December 1, 2013, we had no outstanding balance under our revolving credit facility. On December 5, 2013, we intend to repay our 7.50% mortgage notes due 2014 in full (the “Mortgage Note Redemption”) in accordance with their terms using cash on hand and a draw of approximately $72 million under our revolving credit facility. Our 7.50% mortgage notes due 2014 have an outstanding principal balance of $129 million and are scheduled to mature on June 5, 2014. In addition to the payment of our outstanding principal amount and accrued but unpaid interest, the Mortgage Note Redemption is subject to a prepayment premium of approximately $4.4 million.</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In addition, certain of the underwriters and their affiliates may be holders of 5.95% Notes due 2014. Such underwriters and their affiliates will receive a portion of the net proceeds from this offering to the extent they continue to hold 5.95% Notes due 2014 on any scheduled redemption date in relation thereto. See “Underwriting (Conflicts of Interest) — Conflicts of Interest.” Pending application of the net proceeds, we may invest the net proceeds in short-term income-producing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ectPr>
          <w:pgSz w:w="11900" w:h="16838" w:orient="portrait"/>
          <w:cols w:equalWidth="0" w:num="1">
            <w:col w:w="11400"/>
          </w:cols>
          <w:pgMar w:left="240" w:top="459" w:right="25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million of our</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notes maturing 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 which may be redeemed prior to that date in accordance with their terms.</w:t>
      </w:r>
    </w:p>
    <w:p>
      <w:pPr>
        <w:spacing w:after="0" w:line="124" w:lineRule="exact"/>
        <w:rPr>
          <w:sz w:val="20"/>
          <w:szCs w:val="20"/>
          <w:color w:val="auto"/>
        </w:rPr>
      </w:pPr>
    </w:p>
    <w:p>
      <w:pPr>
        <w:sectPr>
          <w:pgSz w:w="11900" w:h="16838" w:orient="portrait"/>
          <w:cols w:equalWidth="0" w:num="5">
            <w:col w:w="1700" w:space="380"/>
            <w:col w:w="980" w:space="220"/>
            <w:col w:w="1460" w:space="560"/>
            <w:col w:w="280" w:space="160"/>
            <w:col w:w="5660"/>
          </w:cols>
          <w:pgMar w:left="240" w:top="459" w:right="259" w:bottom="1440" w:gutter="0" w:footer="0" w:header="0"/>
          <w:type w:val="continuous"/>
        </w:sectPr>
      </w:pPr>
    </w:p>
    <w:p>
      <w:pPr>
        <w:ind w:right="80" w:firstLine="456"/>
        <w:spacing w:after="0" w:line="254" w:lineRule="auto"/>
        <w:rPr>
          <w:sz w:val="20"/>
          <w:szCs w:val="20"/>
          <w:color w:val="auto"/>
        </w:rPr>
      </w:pPr>
      <w:r>
        <w:rPr>
          <w:rFonts w:ascii="Arial" w:cs="Arial" w:eastAsia="Arial" w:hAnsi="Arial"/>
          <w:sz w:val="18"/>
          <w:szCs w:val="18"/>
          <w:color w:val="auto"/>
        </w:rPr>
        <w:t>We will pay interest on the notes semi-annually in arrears on and of each year, beginning , 2014, to the registered holders of the notes on the preceding and . Interest will be computed and paid on the basis of a 360-day year consisting of twelve 30-day months. If any interest</w:t>
      </w:r>
    </w:p>
    <w:p>
      <w:pPr>
        <w:sectPr>
          <w:pgSz w:w="11900" w:h="16838" w:orient="portrait"/>
          <w:cols w:equalWidth="0" w:num="1">
            <w:col w:w="11400"/>
          </w:cols>
          <w:pgMar w:left="240" w:top="459" w:right="259" w:bottom="1440" w:gutter="0" w:footer="0" w:header="0"/>
          <w:type w:val="continuous"/>
        </w:sectPr>
      </w:pPr>
    </w:p>
    <w:p>
      <w:pPr>
        <w:ind w:right="240"/>
        <w:spacing w:after="0" w:line="261" w:lineRule="auto"/>
        <w:rPr>
          <w:sz w:val="20"/>
          <w:szCs w:val="20"/>
          <w:color w:val="auto"/>
        </w:rPr>
      </w:pPr>
      <w:r>
        <w:rPr>
          <w:rFonts w:ascii="Arial" w:cs="Arial" w:eastAsia="Arial" w:hAnsi="Arial"/>
          <w:sz w:val="18"/>
          <w:szCs w:val="18"/>
          <w:color w:val="auto"/>
        </w:rPr>
        <w:t>payment date falls on a day that is not a business day, the payment will be made on the next business day, and no interest shall accrue on the amount of interest due on that interest payment date for the period from and after such interest payment date to the next business day.</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notes will be our senior unsecured obligations and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senior unsecured and unsubordinated indebtedness. The notes will be effectively subordinated to the prior claims of each secured mortgage lender to any specific property that secures such lender’s mortgage and to all of the unsecured indebtedness of our subsidiaries. At September 30, 2013, after giving effect to this offering and to the use of the net proceeds from this offering, including the Mortgage Note Redemption described above under “Use of Proceeds,” we had outstanding approximately $581 million (excluding net unamortized premium) of secured indebtedness collateralized by all or parts of 14 properties (of which approximately $404 million was issued by our subsidiaries), approximately $25 million of unsecured indebtedness issued by our subsidiaries (which will be senior to the notes) and approximately $ million of other unsecured indebtedness (excluding net unamortized discount) ranking equally with the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The notes are redeemable at any time at our option, in whole or in part. If the notes are redeemed before 90 days prior to the maturity date,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w:t>
      </w:r>
    </w:p>
    <w:p>
      <w:pPr>
        <w:spacing w:after="0" w:line="3"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months) at the Adjusted Treasury Rate (as defined below) plus basis points (0. %), plus, in each case, accrued and unpaid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5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five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a Primary Treasury Dealer (as defined below) selected by Wells Fargo Securities, LLC, Citigroup Global Markets Inc. and J.P. Morgan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Reference Treasury Dealers ceases to be a primary U.S. Government securities dealer, or a Primary Treasury Dealer, we will substitute therefor another Primary Treasury Dealer; and (2) any two other Primary Treasury Dealers selected by us.</w:t>
      </w:r>
    </w:p>
    <w:p>
      <w:pPr>
        <w:spacing w:after="0" w:line="6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3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4"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right="180"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5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4"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i w:val="1"/>
          <w:iCs w:val="1"/>
          <w:color w:val="auto"/>
        </w:rPr>
        <w:t xml:space="preserve">“Unencumbered Total Asset Value” </w:t>
      </w:r>
      <w:r>
        <w:rPr>
          <w:rFonts w:ascii="Arial" w:cs="Arial" w:eastAsia="Arial" w:hAnsi="Arial"/>
          <w:sz w:val="15"/>
          <w:szCs w:val="15"/>
          <w:color w:val="auto"/>
        </w:rPr>
        <w:t>as of any date means the sum of (a) those Undepreciated Real Estate Assets not encumbered by any mortgage, lien,</w:t>
      </w:r>
      <w:r>
        <w:rPr>
          <w:rFonts w:ascii="Arial" w:cs="Arial" w:eastAsia="Arial" w:hAnsi="Arial"/>
          <w:sz w:val="15"/>
          <w:szCs w:val="15"/>
          <w:i w:val="1"/>
          <w:iCs w:val="1"/>
          <w:color w:val="auto"/>
        </w:rPr>
        <w:t xml:space="preserve"> </w:t>
      </w:r>
      <w:r>
        <w:rPr>
          <w:rFonts w:ascii="Arial" w:cs="Arial" w:eastAsia="Arial" w:hAnsi="Arial"/>
          <w:sz w:val="15"/>
          <w:szCs w:val="15"/>
          <w:color w:val="auto"/>
        </w:rPr>
        <w:t>charge, pledge or security interest and (b) all of our and our subsidiaries’ other assets on a consolidated basis determined in accordance with generally accepted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90" w:lineRule="exact"/>
        <w:rPr>
          <w:sz w:val="20"/>
          <w:szCs w:val="20"/>
          <w:color w:val="auto"/>
        </w:rPr>
      </w:pPr>
    </w:p>
    <w:p>
      <w:pPr>
        <w:ind w:right="44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right="58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right="20"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90" w:lineRule="exact"/>
        <w:rPr>
          <w:rFonts w:ascii="Arial" w:cs="Arial" w:eastAsia="Arial" w:hAnsi="Arial"/>
          <w:sz w:val="18"/>
          <w:szCs w:val="18"/>
          <w:color w:val="auto"/>
        </w:rPr>
      </w:pPr>
    </w:p>
    <w:p>
      <w:pPr>
        <w:ind w:right="40" w:firstLine="464"/>
        <w:spacing w:after="0" w:line="289"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6"/>
          <w:szCs w:val="16"/>
          <w:color w:val="auto"/>
        </w:rPr>
      </w:pPr>
      <w:r>
        <w:rPr>
          <w:rFonts w:ascii="Arial" w:cs="Arial" w:eastAsia="Arial" w:hAnsi="Arial"/>
          <w:sz w:val="16"/>
          <w:szCs w:val="16"/>
          <w:color w:val="auto"/>
        </w:rPr>
        <w:t>orders our liquidation or the liquidation of any of our significant subsidiaries, and the order or decree remains unstayed and in effect for 90 days.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right="200" w:firstLine="693"/>
        <w:spacing w:after="0" w:line="268" w:lineRule="auto"/>
        <w:tabs>
          <w:tab w:leader="none" w:pos="933"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40" w:hanging="247"/>
        <w:spacing w:after="0"/>
        <w:tabs>
          <w:tab w:leader="none" w:pos="9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 or</w:t>
      </w:r>
    </w:p>
    <w:p>
      <w:pPr>
        <w:spacing w:after="0" w:line="113" w:lineRule="exact"/>
        <w:rPr>
          <w:rFonts w:ascii="Arial" w:cs="Arial" w:eastAsia="Arial" w:hAnsi="Arial"/>
          <w:sz w:val="16"/>
          <w:szCs w:val="16"/>
          <w:color w:val="auto"/>
        </w:rPr>
      </w:pPr>
    </w:p>
    <w:p>
      <w:pPr>
        <w:ind w:left="940" w:hanging="247"/>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 through or maintain a custodial relationship with a Direct Participant, either directly or indirectly, or Indirect Participants. The rules applicable to the Depositary and its Participants are on file with the SEC.</w:t>
      </w:r>
    </w:p>
    <w:p>
      <w:pPr>
        <w:spacing w:after="0" w:line="4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82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40" w:hanging="206"/>
        <w:spacing w:after="0" w:line="357"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30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as ordinary income when received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in accordance with the U.S. Holder’s regular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 redemption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31"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i w:val="1"/>
          <w:iCs w:val="1"/>
          <w:color w:val="auto"/>
        </w:rPr>
        <w:t>Unearned Income Medicare Contribution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December 31, 2012, certain U.S. Holders that are individuals, estates or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subject to a 3.8% Medicare tax on all or a 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22" w:lineRule="exact"/>
        <w:rPr>
          <w:sz w:val="20"/>
          <w:szCs w:val="20"/>
          <w:color w:val="auto"/>
        </w:rPr>
      </w:pPr>
    </w:p>
    <w:p>
      <w:pPr>
        <w:ind w:right="66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 otherwise comply with applicable requirements of the backup withholding rules. A U.S. Holder that does not provide its correct taxpayer identification number also may be subject to penalties imposed by the IRS.</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rules described below under “— Unearned Income Medicare Contribution for Foreign Estates and Trusts,”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Reporting and Backup Withholding” and “— FATCA Regime,” a Non-U.S. Holder generally will not be subject to U.S. federal income or withholding tax on payments of interest on a note, provided that:</w:t>
      </w:r>
    </w:p>
    <w:p>
      <w:pPr>
        <w:spacing w:after="0" w:line="59"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right="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These forms may be required to be periodically updated.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b w:val="1"/>
          <w:bCs w:val="1"/>
          <w:i w:val="1"/>
          <w:iCs w:val="1"/>
          <w:color w:val="auto"/>
        </w:rPr>
        <w:t xml:space="preserve">Sale, Exchange, Redemption, or Other Taxable Disposition of the Notes. </w:t>
      </w:r>
      <w:r>
        <w:rPr>
          <w:rFonts w:ascii="Arial" w:cs="Arial" w:eastAsia="Arial" w:hAnsi="Arial"/>
          <w:sz w:val="15"/>
          <w:szCs w:val="15"/>
          <w:color w:val="auto"/>
        </w:rPr>
        <w:t>Subject to the rules described below under “— Unearned Income Medicare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Contribution for Foreign Estates and Trusts,” “—Information Reporting and Backup Withholding” and “— FATCA Regime,” a Non-U.S. Holder generally will not be subject to U.S. federal income or withholding tax on gain from the sale, exchange, redemption or other taxable disposition of a note unless:</w:t>
      </w:r>
    </w:p>
    <w:p>
      <w:pPr>
        <w:spacing w:after="0" w:line="7" w:lineRule="exact"/>
        <w:rPr>
          <w:sz w:val="20"/>
          <w:szCs w:val="20"/>
          <w:color w:val="auto"/>
        </w:rPr>
      </w:pPr>
    </w:p>
    <w:p>
      <w:pPr>
        <w:ind w:left="660" w:right="56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Unearned Income Medicare Contribution for Foreign Estates and Trusts. </w:t>
      </w:r>
      <w:r>
        <w:rPr>
          <w:rFonts w:ascii="Arial" w:cs="Arial" w:eastAsia="Arial" w:hAnsi="Arial"/>
          <w:sz w:val="18"/>
          <w:szCs w:val="18"/>
          <w:color w:val="auto"/>
        </w:rPr>
        <w:t>As discussed in more detail under “—U.S. Holders — Unearned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Contribution,” a 3.8% Medicare tax will apply, in addition to regular income tax, to certain net investment income. The 3.8% tax generally applies only to U.S. Holders. However, the IRS has indicated in proposed Treasury regulations that the 3.8% Medicare tax may be applicable to Non-U.S. Holders that are estates or trusts and have one or more U.S. beneficiaries. Non-U.S. Holders that are estates or trusts should consult their tax advisors about the possible application of the 3.8% Medicare tax.</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when applicable, will impose a U.S. federal withholding tax of 30% on certain payments to foreign financial institutions and other non-U.S. persons that fail to comply with certain certification and information reporting requirements (unless alternative procedures apply pursuant to an applicable intergovernmental agreement between the United States and the relevant foreign government). The obligation to withhold under FATCA is currently expected to apply to payments of U.S.-source interest and OID on obligations made on or after July 1, 2014 and payments of gross proceeds from the sale or other disposition of such obligations made on or after January 1, 2017. However, FATCA withholding will not apply to obligations outstanding on, and not the subject of a significant modification on or after, July 1, 2014 (or such other date as is specified in guidance issued by the U.S. Treasury Department). Because the notes will be issued prior to, and will be outstanding on, July 1, 2014, this new withholding tax is not expected to apply to payments on the notes unless they are modified on or after such date, in which case payments on, and the gross proceeds from the sale or other disposition of, the notes to certain foreign entities could become subject to the FATCA withholding tax. We will not pay any additional amounts in respect of any amounts withheld under FATCA.</w:t>
      </w:r>
    </w:p>
    <w:p>
      <w:pPr>
        <w:spacing w:after="0" w:line="121" w:lineRule="exact"/>
        <w:rPr>
          <w:sz w:val="20"/>
          <w:szCs w:val="20"/>
          <w:color w:val="auto"/>
        </w:rPr>
      </w:pPr>
    </w:p>
    <w:p>
      <w:pPr>
        <w:ind w:right="300" w:firstLine="456"/>
        <w:spacing w:after="0" w:line="391"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New Tax Rates for U.S. Individuals, Estates and Trusts</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extends most of the reduced rates for U.S. individuals, estates and trusts with respect to ordinary income, qualified dividend income and long-term capital gains that were set to expire on December 31, 2012. The 2012 Relief Act, however, does not extend all of the reduced rates for high-income taxpayers. Beginning January 1, 2013, in the case of married couples filing joint returns with taxable income in excess of $450,000, heads of households with taxable income in excess of $425,000 and other individuals with taxable income in excess of $400,000, the maximum tax rate on ordinary income will be 39.6% (as compared to 35% prior to 2013) and the maximum tax rate on long-term capital gains and qualified dividend income will be 20% (as compared to 15% prior to 2013). Estates and trusts have more compressed rate schedules. Prospective investors are urged to consult their tax advisors regarding the effect of the new tax rates and other tax provisions in the 2012 Relief Act on an investment in the notes.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Citigroup Global Markets Inc. and J.P. Morgan Securities LLC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9480" w:type="dxa"/>
            <w:vAlign w:val="bottom"/>
            <w:vMerge w:val="restart"/>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9"/>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94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79"/>
              </w:rPr>
              <w:t>Notes</w:t>
            </w:r>
          </w:p>
        </w:tc>
        <w:tc>
          <w:tcPr>
            <w:tcW w:w="0" w:type="dxa"/>
            <w:vAlign w:val="bottom"/>
          </w:tcPr>
          <w:p>
            <w:pPr>
              <w:spacing w:after="0"/>
              <w:rPr>
                <w:sz w:val="1"/>
                <w:szCs w:val="1"/>
                <w:color w:val="auto"/>
              </w:rPr>
            </w:pPr>
          </w:p>
        </w:tc>
      </w:tr>
      <w:tr>
        <w:trPr>
          <w:trHeight w:val="203"/>
        </w:trPr>
        <w:tc>
          <w:tcPr>
            <w:tcW w:w="104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048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0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shd w:val="clear" w:color="auto" w:fill="CCEEFF"/>
          </w:tcPr>
          <w:p>
            <w:pPr>
              <w:spacing w:after="0"/>
              <w:rPr>
                <w:sz w:val="12"/>
                <w:szCs w:val="12"/>
                <w:color w:val="auto"/>
              </w:rPr>
            </w:pPr>
          </w:p>
        </w:tc>
        <w:tc>
          <w:tcPr>
            <w:tcW w:w="9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048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have advised us that they propose to offer the notes to the public at the initial public offering price on the cover page of this prospectus</w:t>
      </w:r>
    </w:p>
    <w:p>
      <w:pPr>
        <w:spacing w:after="0" w:line="3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supplement and to dealers at that price less a concession not in excess of % of the principal amount of the notes. The underwriters may allow, and the dealers may reallow, a discount not in excess of % of the principal amount of the notes on sales to other dealers. After the initial offering, the public offering price and concession to dealers may be changed.</w:t>
      </w:r>
    </w:p>
    <w:p>
      <w:pPr>
        <w:spacing w:after="0" w:line="6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0" w:type="dxa"/>
            <w:vAlign w:val="bottom"/>
          </w:tcPr>
          <w:p>
            <w:pPr>
              <w:spacing w:after="0"/>
              <w:rPr>
                <w:sz w:val="19"/>
                <w:szCs w:val="19"/>
                <w:color w:val="auto"/>
              </w:rPr>
            </w:pPr>
          </w:p>
        </w:tc>
        <w:tc>
          <w:tcPr>
            <w:tcW w:w="102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w w:val="86"/>
              </w:rPr>
              <w:t>Paid by Us</w:t>
            </w:r>
          </w:p>
        </w:tc>
      </w:tr>
      <w:tr>
        <w:trPr>
          <w:trHeight w:val="212"/>
        </w:trPr>
        <w:tc>
          <w:tcPr>
            <w:tcW w:w="1040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Per note</w:t>
            </w:r>
          </w:p>
        </w:tc>
        <w:tc>
          <w:tcPr>
            <w:tcW w:w="82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7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35"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Certain of the underwriters and their affiliates may be holders of 5.95% Notes due 2014. Such underwriters and their affiliates will receive a portion of the net proceeds from this offering to the extent they continue to hold 5.95% Notes due 2014 on any scheduled redemption date in relation thereto.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51"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LLP, New York, New York, will act as counsel to the underwriters.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300" w:firstLine="443"/>
        <w:spacing w:after="0" w:line="283"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w:t>
      </w:r>
    </w:p>
    <w:p>
      <w:pPr>
        <w:spacing w:after="0" w:line="3" w:lineRule="exact"/>
        <w:rPr>
          <w:sz w:val="20"/>
          <w:szCs w:val="20"/>
          <w:color w:val="auto"/>
        </w:rPr>
      </w:pPr>
    </w:p>
    <w:p>
      <w:pPr>
        <w:ind w:left="200" w:right="100"/>
        <w:spacing w:after="0" w:line="295" w:lineRule="auto"/>
        <w:rPr>
          <w:sz w:val="20"/>
          <w:szCs w:val="20"/>
          <w:color w:val="auto"/>
        </w:rPr>
      </w:pPr>
      <w:r>
        <w:rPr>
          <w:rFonts w:ascii="Arial" w:cs="Arial" w:eastAsia="Arial" w:hAnsi="Arial"/>
          <w:sz w:val="16"/>
          <w:szCs w:val="16"/>
          <w:color w:val="auto"/>
        </w:rPr>
        <w:t>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8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w:t>
      </w:r>
    </w:p>
    <w:p>
      <w:pPr>
        <w:spacing w:after="0" w:line="1" w:lineRule="exact"/>
        <w:rPr>
          <w:rFonts w:ascii="Arial" w:cs="Arial" w:eastAsia="Arial" w:hAnsi="Arial"/>
          <w:sz w:val="16"/>
          <w:szCs w:val="16"/>
          <w:color w:val="auto"/>
        </w:rPr>
      </w:pPr>
    </w:p>
    <w:p>
      <w:pPr>
        <w:ind w:left="900" w:right="80"/>
        <w:spacing w:after="0" w:line="255" w:lineRule="auto"/>
        <w:rPr>
          <w:rFonts w:ascii="Arial" w:cs="Arial" w:eastAsia="Arial" w:hAnsi="Arial"/>
          <w:sz w:val="16"/>
          <w:szCs w:val="16"/>
          <w:color w:val="auto"/>
        </w:rPr>
      </w:pPr>
      <w:r>
        <w:rPr>
          <w:rFonts w:ascii="Arial" w:cs="Arial" w:eastAsia="Arial" w:hAnsi="Arial"/>
          <w:sz w:val="18"/>
          <w:szCs w:val="18"/>
          <w:color w:val="auto"/>
        </w:rPr>
        <w:t>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39"/>
        <w:spacing w:after="0"/>
        <w:rPr>
          <w:sz w:val="20"/>
          <w:szCs w:val="20"/>
          <w:color w:val="auto"/>
        </w:rPr>
      </w:pPr>
      <w:r>
        <w:rPr>
          <w:rFonts w:ascii="Arial" w:cs="Arial" w:eastAsia="Arial" w:hAnsi="Arial"/>
          <w:sz w:val="24"/>
          <w:szCs w:val="2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614680</wp:posOffset>
            </wp:positionV>
            <wp:extent cx="2152650" cy="814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265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900"/>
        <w:spacing w:after="0"/>
        <w:rPr>
          <w:sz w:val="20"/>
          <w:szCs w:val="20"/>
          <w:color w:val="auto"/>
        </w:rPr>
      </w:pPr>
      <w:r>
        <w:rPr>
          <w:rFonts w:ascii="Arial" w:cs="Arial" w:eastAsia="Arial" w:hAnsi="Arial"/>
          <w:sz w:val="24"/>
          <w:szCs w:val="24"/>
          <w:b w:val="1"/>
          <w:bCs w:val="1"/>
          <w:color w:val="auto"/>
        </w:rPr>
        <w:t>% Notes due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Wells Fargo Securities</w:t>
      </w:r>
    </w:p>
    <w:p>
      <w:pPr>
        <w:spacing w:after="0" w:line="17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Citigroup</w:t>
      </w:r>
    </w:p>
    <w:p>
      <w:pPr>
        <w:spacing w:after="0" w:line="15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J.P. Morgan</w:t>
      </w:r>
    </w:p>
    <w:p>
      <w:pPr>
        <w:spacing w:after="0" w:line="186" w:lineRule="exact"/>
        <w:rPr>
          <w:sz w:val="20"/>
          <w:szCs w:val="20"/>
          <w:color w:val="auto"/>
        </w:rPr>
      </w:pPr>
    </w:p>
    <w:p>
      <w:pPr>
        <w:ind w:left="5000"/>
        <w:spacing w:after="0"/>
        <w:tabs>
          <w:tab w:leader="none" w:pos="5960" w:val="left"/>
        </w:tabs>
        <w:rPr>
          <w:sz w:val="20"/>
          <w:szCs w:val="20"/>
          <w:color w:val="auto"/>
        </w:rPr>
      </w:pPr>
      <w:r>
        <w:rPr>
          <w:rFonts w:ascii="Arial" w:cs="Arial" w:eastAsia="Arial" w:hAnsi="Arial"/>
          <w:sz w:val="18"/>
          <w:szCs w:val="18"/>
          <w:b w:val="1"/>
          <w:bCs w:val="1"/>
          <w:color w:val="auto"/>
        </w:rPr>
        <w:t>December</w:t>
        <w:tab/>
        <w:t>, 2013</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lvl w:ilvl="1">
      <w:lvlJc w:val="left"/>
      <w:lvlText w:val="•"/>
      <w:numFmt w:val="bullet"/>
      <w:start w:val="1"/>
    </w:lvl>
  </w:abstractNum>
  <w:abstractNum w:abstractNumId="2">
    <w:nsid w:val="32FFF902"/>
    <w:multiLevelType w:val="hybridMultilevel"/>
    <w:lvl w:ilvl="0">
      <w:lvlJc w:val="left"/>
      <w:lvlText w:val="(%1)"/>
      <w:numFmt w:val="lowerLetter"/>
      <w:start w:val="1"/>
    </w:lvl>
  </w:abstractNum>
  <w:abstractNum w:abstractNumId="3">
    <w:nsid w:val="684A481A"/>
    <w:multiLevelType w:val="hybridMultilevel"/>
    <w:lvl w:ilvl="0">
      <w:lvlJc w:val="left"/>
      <w:lvlText w:val="(%1)"/>
      <w:numFmt w:val="decimal"/>
      <w:start w:val="1"/>
    </w:lvl>
  </w:abstractNum>
  <w:abstractNum w:abstractNumId="4">
    <w:nsid w:val="579478FE"/>
    <w:multiLevelType w:val="hybridMultilevel"/>
    <w:lvl w:ilvl="0">
      <w:lvlJc w:val="left"/>
      <w:lvlText w:val="(%1)"/>
      <w:numFmt w:val="lowerLetter"/>
      <w:start w:val="2"/>
    </w:lvl>
  </w:abstractNum>
  <w:abstractNum w:abstractNumId="5">
    <w:nsid w:val="749ABB43"/>
    <w:multiLevelType w:val="hybridMultilevel"/>
    <w:lvl w:ilvl="0">
      <w:lvlJc w:val="left"/>
      <w:lvlText w:val="(%1)"/>
      <w:numFmt w:val="decimal"/>
      <w:start w:val="2"/>
    </w:lvl>
  </w:abstractNum>
  <w:abstractNum w:abstractNumId="6">
    <w:nsid w:val="3DC240FB"/>
    <w:multiLevelType w:val="hybridMultilevel"/>
    <w:lvl w:ilvl="0">
      <w:lvlJc w:val="left"/>
      <w:lvlText w:val="(%1)"/>
      <w:numFmt w:val="decimal"/>
      <w:start w:val="4"/>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decimal"/>
      <w:start w:val="1"/>
    </w:lvl>
    <w:lvl w:ilvl="1">
      <w:lvlJc w:val="left"/>
      <w:lvlText w:val="(%2)"/>
      <w:numFmt w:val="lowerLetter"/>
      <w:start w:val="1"/>
    </w:lvl>
  </w:abstractNum>
  <w:abstractNum w:abstractNumId="9">
    <w:nsid w:val="75C6C33A"/>
    <w:multiLevelType w:val="hybridMultilevel"/>
    <w:lvl w:ilvl="0">
      <w:lvlJc w:val="left"/>
      <w:lvlText w:val="%1."/>
      <w:numFmt w:val="decimal"/>
      <w:start w:val="7"/>
    </w:lvl>
    <w:lvl w:ilvl="1">
      <w:lvlJc w:val="left"/>
      <w:lvlText w:val="(%2)"/>
      <w:numFmt w:val="lowerLetter"/>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3"/>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lvl w:ilvl="1">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lvl w:ilvl="1">
      <w:lvlJc w:val="left"/>
      <w:lvlText w:val="(%2)"/>
      <w:numFmt w:val="lowerLetter"/>
      <w:start w:val="1"/>
    </w:lvl>
  </w:abstractNum>
  <w:abstractNum w:abstractNumId="43">
    <w:nsid w:val="6590700B"/>
    <w:multiLevelType w:val="hybridMultilevel"/>
    <w:lvl w:ilvl="0">
      <w:lvlJc w:val="left"/>
      <w:lvlText w:val="%1."/>
      <w:numFmt w:val="decimal"/>
      <w:start w:val="7"/>
    </w:lvl>
    <w:lvl w:ilvl="1">
      <w:lvlJc w:val="left"/>
      <w:lvlText w:val="(%2)"/>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upperLetter"/>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lvl w:ilvl="1">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lvl w:ilvl="1">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Roman"/>
      <w:start w:val="3"/>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lvl w:ilvl="1">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emdash "/>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2019-12-05T09:52:40Z</dcterms:created>
  <dcterms:modified xsi:type="dcterms:W3CDTF">2019-12-05T09:52:40Z</dcterms:modified>
</cp:coreProperties>
</file>