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377"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205740</wp:posOffset>
            </wp:positionV>
            <wp:extent cx="3112770" cy="934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23, 2018</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Please accept this invitation to attend our 2018 Annual Meeting of Shareholders on Wednesday, May 2, 2018 at 10:00 a.m. This year’s meeting will be held at AMP by Strathmore located at our Pike &amp; Rose property, 11810 Grand Park Avenue, North Bethesda, Maryland.</w:t>
      </w:r>
    </w:p>
    <w:p>
      <w:pPr>
        <w:spacing w:after="0" w:line="15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attached notice of the 2018 Annual Meeting of Shareholders and proxy statement provide important information about the annual meeting and the business to be conducted at the meeting. In addition, management will provide a review of 2017 operating results and discuss the outlook for the future. After the formal presentation, our Trustees and management will be available to answer any questions you may have.</w:t>
      </w:r>
    </w:p>
    <w:p>
      <w:pPr>
        <w:spacing w:after="0" w:line="17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Your vote is important to us. We urge you to read this proxy statement carefully. Whether or not you plan to attend the annual meeting in person, we urge you to vote promptly through the internet, by telephone or by mail.</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Thank you for your continued support and we look forward to seeing you on May 2.</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1920875"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143510</wp:posOffset>
            </wp:positionV>
            <wp:extent cx="104648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right="2100"/>
        <w:spacing w:after="0" w:line="246" w:lineRule="auto"/>
        <w:rPr>
          <w:sz w:val="20"/>
          <w:szCs w:val="20"/>
          <w:color w:val="auto"/>
        </w:rPr>
      </w:pPr>
      <w:r>
        <w:rPr>
          <w:rFonts w:ascii="Arial" w:cs="Arial" w:eastAsia="Arial" w:hAnsi="Arial"/>
          <w:sz w:val="18"/>
          <w:szCs w:val="18"/>
          <w:color w:val="auto"/>
        </w:rPr>
        <w:t xml:space="preserve">Joseph S. Vassalluzzo </w:t>
      </w:r>
      <w:r>
        <w:rPr>
          <w:rFonts w:ascii="Arial" w:cs="Arial" w:eastAsia="Arial" w:hAnsi="Arial"/>
          <w:sz w:val="18"/>
          <w:szCs w:val="18"/>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rPr>
          <w:sz w:val="20"/>
          <w:szCs w:val="20"/>
          <w:color w:val="auto"/>
        </w:rPr>
      </w:pPr>
      <w:r>
        <w:rPr>
          <w:rFonts w:ascii="Arial" w:cs="Arial" w:eastAsia="Arial" w:hAnsi="Arial"/>
          <w:sz w:val="17"/>
          <w:szCs w:val="17"/>
          <w:i w:val="1"/>
          <w:iCs w:val="1"/>
          <w:color w:val="auto"/>
        </w:rPr>
        <w:t>President and Chief Executive Officer</w:t>
      </w:r>
    </w:p>
    <w:p>
      <w:pPr>
        <w:sectPr>
          <w:pgSz w:w="11900" w:h="16838" w:orient="portrait"/>
          <w:cols w:equalWidth="0" w:num="2">
            <w:col w:w="5340" w:space="720"/>
            <w:col w:w="516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205740</wp:posOffset>
            </wp:positionV>
            <wp:extent cx="3112770" cy="934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0" w:type="dxa"/>
            <w:vAlign w:val="bottom"/>
          </w:tcPr>
          <w:p>
            <w:pPr>
              <w:ind w:left="780"/>
              <w:spacing w:after="0"/>
              <w:rPr>
                <w:sz w:val="20"/>
                <w:szCs w:val="20"/>
                <w:color w:val="auto"/>
              </w:rPr>
            </w:pPr>
            <w:r>
              <w:rPr>
                <w:rFonts w:ascii="Arial" w:cs="Arial" w:eastAsia="Arial" w:hAnsi="Arial"/>
                <w:sz w:val="18"/>
                <w:szCs w:val="18"/>
                <w:b w:val="1"/>
                <w:bCs w:val="1"/>
                <w:color w:val="auto"/>
              </w:rPr>
              <w:t>1626 East Jefferson Street, Rockville, Maryland 20852</w:t>
            </w:r>
          </w:p>
        </w:tc>
      </w:tr>
      <w:tr>
        <w:trPr>
          <w:trHeight w:val="832"/>
        </w:trPr>
        <w:tc>
          <w:tcPr>
            <w:tcW w:w="11040" w:type="dxa"/>
            <w:vAlign w:val="bottom"/>
            <w:gridSpan w:val="3"/>
          </w:tcPr>
          <w:p>
            <w:pPr>
              <w:spacing w:after="0"/>
              <w:rPr>
                <w:sz w:val="20"/>
                <w:szCs w:val="20"/>
                <w:color w:val="auto"/>
              </w:rPr>
            </w:pPr>
            <w:r>
              <w:rPr>
                <w:rFonts w:ascii="Arial" w:cs="Arial" w:eastAsia="Arial" w:hAnsi="Arial"/>
                <w:sz w:val="25"/>
                <w:szCs w:val="25"/>
                <w:b w:val="1"/>
                <w:bCs w:val="1"/>
                <w:color w:val="auto"/>
              </w:rPr>
              <w:t>NOTICE OF 2018 ANNUAL MEETING OF SHAREHOLDERS</w:t>
            </w:r>
          </w:p>
        </w:tc>
      </w:tr>
      <w:tr>
        <w:trPr>
          <w:trHeight w:val="208"/>
        </w:trPr>
        <w:tc>
          <w:tcPr>
            <w:tcW w:w="2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2420" w:type="dxa"/>
            <w:vAlign w:val="bottom"/>
          </w:tcPr>
          <w:p>
            <w:pPr>
              <w:ind w:left="60"/>
              <w:spacing w:after="0" w:line="173" w:lineRule="exact"/>
              <w:rPr>
                <w:sz w:val="20"/>
                <w:szCs w:val="20"/>
                <w:color w:val="auto"/>
              </w:rPr>
            </w:pPr>
            <w:r>
              <w:rPr>
                <w:rFonts w:ascii="Arial" w:cs="Arial" w:eastAsia="Arial" w:hAnsi="Arial"/>
                <w:sz w:val="18"/>
                <w:szCs w:val="18"/>
                <w:b w:val="1"/>
                <w:bCs w:val="1"/>
                <w:color w:val="auto"/>
              </w:rPr>
              <w:t>DATE:</w:t>
            </w:r>
          </w:p>
        </w:tc>
        <w:tc>
          <w:tcPr>
            <w:tcW w:w="8600" w:type="dxa"/>
            <w:vAlign w:val="bottom"/>
          </w:tcPr>
          <w:p>
            <w:pPr>
              <w:ind w:left="540"/>
              <w:spacing w:after="0" w:line="173" w:lineRule="exact"/>
              <w:rPr>
                <w:sz w:val="20"/>
                <w:szCs w:val="20"/>
                <w:color w:val="auto"/>
              </w:rPr>
            </w:pPr>
            <w:r>
              <w:rPr>
                <w:rFonts w:ascii="Arial" w:cs="Arial" w:eastAsia="Arial" w:hAnsi="Arial"/>
                <w:sz w:val="18"/>
                <w:szCs w:val="18"/>
                <w:color w:val="auto"/>
              </w:rPr>
              <w:t>Wednesday, May 2, 2018</w:t>
            </w:r>
          </w:p>
        </w:tc>
      </w:tr>
      <w:tr>
        <w:trPr>
          <w:trHeight w:val="203"/>
        </w:trPr>
        <w:tc>
          <w:tcPr>
            <w:tcW w:w="20" w:type="dxa"/>
            <w:vAlign w:val="bottom"/>
          </w:tcPr>
          <w:p>
            <w:pPr>
              <w:spacing w:after="0"/>
              <w:rPr>
                <w:sz w:val="17"/>
                <w:szCs w:val="17"/>
                <w:color w:val="auto"/>
              </w:rPr>
            </w:pPr>
          </w:p>
        </w:tc>
        <w:tc>
          <w:tcPr>
            <w:tcW w:w="24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TIME:</w:t>
            </w: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10:00 a.m. local time</w:t>
            </w:r>
          </w:p>
        </w:tc>
      </w:tr>
      <w:tr>
        <w:trPr>
          <w:trHeight w:val="203"/>
        </w:trPr>
        <w:tc>
          <w:tcPr>
            <w:tcW w:w="20" w:type="dxa"/>
            <w:vAlign w:val="bottom"/>
          </w:tcPr>
          <w:p>
            <w:pPr>
              <w:spacing w:after="0"/>
              <w:rPr>
                <w:sz w:val="17"/>
                <w:szCs w:val="17"/>
                <w:color w:val="auto"/>
              </w:rPr>
            </w:pPr>
          </w:p>
        </w:tc>
        <w:tc>
          <w:tcPr>
            <w:tcW w:w="24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PLACE:</w:t>
            </w: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AMP by Strathmore, 11810 Grand Park Avenue, North Bethesda, Maryland</w:t>
            </w:r>
          </w:p>
        </w:tc>
      </w:tr>
      <w:tr>
        <w:trPr>
          <w:trHeight w:val="225"/>
        </w:trPr>
        <w:tc>
          <w:tcPr>
            <w:tcW w:w="20" w:type="dxa"/>
            <w:vAlign w:val="bottom"/>
          </w:tcPr>
          <w:p>
            <w:pPr>
              <w:spacing w:after="0"/>
              <w:rPr>
                <w:sz w:val="19"/>
                <w:szCs w:val="19"/>
                <w:color w:val="auto"/>
              </w:rPr>
            </w:pP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RECORD DATE:</w:t>
            </w:r>
          </w:p>
        </w:tc>
        <w:tc>
          <w:tcPr>
            <w:tcW w:w="86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March 14, 2018</w:t>
            </w:r>
          </w:p>
        </w:tc>
      </w:tr>
      <w:tr>
        <w:trPr>
          <w:trHeight w:val="196"/>
        </w:trPr>
        <w:tc>
          <w:tcPr>
            <w:tcW w:w="2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4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ITEMS OF BUSINESS</w:t>
            </w:r>
          </w:p>
        </w:tc>
        <w:tc>
          <w:tcPr>
            <w:tcW w:w="8600" w:type="dxa"/>
            <w:vAlign w:val="bottom"/>
          </w:tcPr>
          <w:p>
            <w:pPr>
              <w:ind w:left="540"/>
              <w:spacing w:after="0" w:line="195" w:lineRule="exact"/>
              <w:rPr>
                <w:sz w:val="20"/>
                <w:szCs w:val="20"/>
                <w:color w:val="auto"/>
              </w:rPr>
            </w:pPr>
            <w:r>
              <w:rPr>
                <w:rFonts w:ascii="Arial" w:cs="Arial" w:eastAsia="Arial" w:hAnsi="Arial"/>
                <w:sz w:val="18"/>
                <w:szCs w:val="18"/>
                <w:color w:val="auto"/>
              </w:rPr>
              <w:t>•  Election of 7 Trustees to serve until our 2019 Annual Meeting of Shareholders</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  Advisory vote approving the compensation of our named executive officers</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   Ratification of the appointment of Grant Thornton LLP as our independent registered public</w:t>
            </w:r>
          </w:p>
        </w:tc>
      </w:tr>
      <w:tr>
        <w:trPr>
          <w:trHeight w:val="203"/>
        </w:trPr>
        <w:tc>
          <w:tcPr>
            <w:tcW w:w="2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ind w:left="820"/>
              <w:spacing w:after="0" w:line="203" w:lineRule="exact"/>
              <w:rPr>
                <w:sz w:val="20"/>
                <w:szCs w:val="20"/>
                <w:color w:val="auto"/>
              </w:rPr>
            </w:pPr>
            <w:r>
              <w:rPr>
                <w:rFonts w:ascii="Arial" w:cs="Arial" w:eastAsia="Arial" w:hAnsi="Arial"/>
                <w:sz w:val="18"/>
                <w:szCs w:val="18"/>
                <w:color w:val="auto"/>
              </w:rPr>
              <w:t>accounting firm for the fiscal year ending December 31, 2018</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2212340" cy="651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Dawn M. Becker</w:t>
      </w:r>
    </w:p>
    <w:p>
      <w:pPr>
        <w:ind w:left="200"/>
        <w:spacing w:after="0" w:line="234" w:lineRule="auto"/>
        <w:rPr>
          <w:sz w:val="20"/>
          <w:szCs w:val="20"/>
          <w:color w:val="auto"/>
        </w:rPr>
      </w:pPr>
      <w:r>
        <w:rPr>
          <w:rFonts w:ascii="Arial" w:cs="Arial" w:eastAsia="Arial" w:hAnsi="Arial"/>
          <w:sz w:val="18"/>
          <w:szCs w:val="18"/>
          <w:i w:val="1"/>
          <w:iCs w:val="1"/>
          <w:color w:val="auto"/>
        </w:rPr>
        <w:t>Executive Vice President—General Counsel and Secretary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23, 2018</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6"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Your vote is important to us. You are eligible to vote and receive notice of the meeting if you were a registered owner of record of our common shares of beneficial interest (“Shares”) at the close of business on the record date of March 14, 2018. A majority of the Shares entitled to vote at the Annual Meeting must be present in person or by proxy for us to proceed with the Annual Meeting.</w:t>
      </w:r>
    </w:p>
    <w:p>
      <w:pPr>
        <w:spacing w:after="0" w:line="162"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185420</wp:posOffset>
            </wp:positionV>
            <wp:extent cx="531495"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495" cy="57467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133985</wp:posOffset>
            </wp:positionV>
            <wp:extent cx="643255" cy="626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255" cy="62611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125730</wp:posOffset>
            </wp:positionV>
            <wp:extent cx="480060"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060" cy="6343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00"/>
        <w:spacing w:after="0" w:line="247"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u w:val="single" w:color="auto"/>
          <w:color w:val="auto"/>
        </w:rPr>
        <w:t>www.voteproxy.com.</w:t>
      </w:r>
      <w:r>
        <w:rPr>
          <w:rFonts w:ascii="Arial" w:cs="Arial" w:eastAsia="Arial" w:hAnsi="Arial"/>
          <w:sz w:val="14"/>
          <w:szCs w:val="14"/>
          <w:color w:val="auto"/>
        </w:rPr>
        <w:t xml:space="preserve"> You will need the control number on your Notice of Internet Availability, proxy card or voting instruction form. Votes must be submitted by 11:59pm EDT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Call 1-800-Proxies (1-800-776-9437). You will need the control number on your Notice of Internet Availability, proxy card or voting instruction form. Votes must be submitted by 11:59pm EDT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You can vote my marking, signing and dating your proxy card.</w:t>
      </w:r>
    </w:p>
    <w:p>
      <w:pPr>
        <w:spacing w:after="0" w:line="634" w:lineRule="exact"/>
        <w:rPr>
          <w:sz w:val="20"/>
          <w:szCs w:val="20"/>
          <w:color w:val="auto"/>
        </w:rPr>
      </w:pPr>
    </w:p>
    <w:p>
      <w:pPr>
        <w:sectPr>
          <w:pgSz w:w="11900" w:h="16838" w:orient="portrait"/>
          <w:cols w:equalWidth="0" w:num="3">
            <w:col w:w="4060" w:space="120"/>
            <w:col w:w="3300" w:space="120"/>
            <w:col w:w="3640"/>
          </w:cols>
          <w:pgMar w:left="240" w:top="459" w:right="419" w:bottom="1440" w:gutter="0" w:footer="0" w:header="0"/>
          <w:type w:val="continuous"/>
        </w:sectPr>
      </w:pPr>
    </w:p>
    <w:p>
      <w:pPr>
        <w:jc w:val="both"/>
        <w:ind w:left="200" w:right="20"/>
        <w:spacing w:after="0" w:line="246" w:lineRule="auto"/>
        <w:rPr>
          <w:sz w:val="20"/>
          <w:szCs w:val="20"/>
          <w:color w:val="auto"/>
        </w:rPr>
      </w:pPr>
      <w:r>
        <w:rPr>
          <w:rFonts w:ascii="Arial" w:cs="Arial" w:eastAsia="Arial" w:hAnsi="Arial"/>
          <w:sz w:val="18"/>
          <w:szCs w:val="18"/>
          <w:color w:val="auto"/>
        </w:rPr>
        <w:t>You may revoke your proxy at any time before it is voted at the Annual Meeting by notifying the secretary in writing, submitting a proxy dated later than your original proxy, or attending the Annual Meeting and voting in person.</w:t>
      </w:r>
    </w:p>
    <w:p>
      <w:pPr>
        <w:spacing w:after="0" w:line="148"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OUR ANNUAL MEETING. </w:t>
      </w:r>
      <w:r>
        <w:rPr>
          <w:rFonts w:ascii="Arial" w:cs="Arial" w:eastAsia="Arial" w:hAnsi="Arial"/>
          <w:sz w:val="18"/>
          <w:szCs w:val="18"/>
          <w:color w:val="auto"/>
        </w:rPr>
        <w:t>Our 2018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 and 2017 Annual Report to Shareholders, which includes our Annual Report on Form 10-K for the year ended December 31, 2017, are available at </w:t>
      </w:r>
      <w:r>
        <w:rPr>
          <w:rFonts w:ascii="Arial" w:cs="Arial" w:eastAsia="Arial" w:hAnsi="Arial"/>
          <w:sz w:val="18"/>
          <w:szCs w:val="18"/>
          <w:u w:val="single" w:color="auto"/>
          <w:color w:val="auto"/>
        </w:rPr>
        <w:t>www.federalrealty.com.</w:t>
      </w:r>
    </w:p>
    <w:p>
      <w:pPr>
        <w:sectPr>
          <w:pgSz w:w="11900" w:h="16838" w:orient="portrait"/>
          <w:cols w:equalWidth="0" w:num="1">
            <w:col w:w="11240"/>
          </w:cols>
          <w:pgMar w:left="240" w:top="459"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TABLE OF CONTENTS</w:t>
      </w:r>
    </w:p>
    <w:p>
      <w:pPr>
        <w:spacing w:after="0" w:line="260" w:lineRule="exact"/>
        <w:rPr>
          <w:sz w:val="20"/>
          <w:szCs w:val="20"/>
          <w:color w:val="auto"/>
        </w:rPr>
      </w:pPr>
    </w:p>
    <w:tbl>
      <w:tblPr>
        <w:tblLayout w:type="fixed"/>
        <w:tblInd w:w="680" w:type="dxa"/>
        <w:tblCellMar>
          <w:top w:w="0" w:type="dxa"/>
          <w:left w:w="0" w:type="dxa"/>
          <w:bottom w:w="0" w:type="dxa"/>
          <w:right w:w="0" w:type="dxa"/>
        </w:tblCellMar>
      </w:tblPr>
      <w:tr>
        <w:trPr>
          <w:trHeight w:val="244"/>
        </w:trPr>
        <w:tc>
          <w:tcPr>
            <w:tcW w:w="1860" w:type="dxa"/>
            <w:vAlign w:val="bottom"/>
            <w:vMerge w:val="restart"/>
          </w:tcPr>
          <w:p>
            <w:pPr>
              <w:spacing w:after="0"/>
              <w:rPr>
                <w:rFonts w:ascii="Arial" w:cs="Arial" w:eastAsia="Arial" w:hAnsi="Arial"/>
                <w:sz w:val="20"/>
                <w:szCs w:val="20"/>
                <w:color w:val="0000EE"/>
                <w:w w:val="97"/>
              </w:rPr>
            </w:pPr>
            <w:hyperlink w:anchor="page7">
              <w:r>
                <w:rPr>
                  <w:rFonts w:ascii="Arial" w:cs="Arial" w:eastAsia="Arial" w:hAnsi="Arial"/>
                  <w:sz w:val="20"/>
                  <w:szCs w:val="20"/>
                  <w:color w:val="0000EE"/>
                  <w:w w:val="97"/>
                </w:rPr>
                <w:t>About Federal Realty</w:t>
              </w:r>
            </w:hyperlink>
          </w:p>
        </w:tc>
        <w:tc>
          <w:tcPr>
            <w:tcW w:w="2460" w:type="dxa"/>
            <w:vAlign w:val="bottom"/>
            <w:gridSpan w:val="2"/>
            <w:vMerge w:val="restart"/>
          </w:tcPr>
          <w:p>
            <w:pPr>
              <w:spacing w:after="0"/>
              <w:rPr>
                <w:sz w:val="21"/>
                <w:szCs w:val="21"/>
                <w:color w:val="auto"/>
              </w:rPr>
            </w:pPr>
          </w:p>
        </w:tc>
        <w:tc>
          <w:tcPr>
            <w:tcW w:w="6160" w:type="dxa"/>
            <w:vAlign w:val="bottom"/>
            <w:gridSpan w:val="2"/>
          </w:tcPr>
          <w:p>
            <w:pPr>
              <w:jc w:val="right"/>
              <w:spacing w:after="0"/>
              <w:rPr>
                <w:sz w:val="20"/>
                <w:szCs w:val="20"/>
                <w:color w:val="auto"/>
              </w:rPr>
            </w:pPr>
            <w:r>
              <w:rPr>
                <w:rFonts w:ascii="Arial" w:cs="Arial" w:eastAsia="Arial" w:hAnsi="Arial"/>
                <w:sz w:val="20"/>
                <w:szCs w:val="20"/>
                <w:b w:val="1"/>
                <w:bCs w:val="1"/>
                <w:color w:val="1F2A44"/>
              </w:rPr>
              <w:t>Page</w:t>
            </w:r>
          </w:p>
        </w:tc>
        <w:tc>
          <w:tcPr>
            <w:tcW w:w="0" w:type="dxa"/>
            <w:vAlign w:val="bottom"/>
          </w:tcPr>
          <w:p>
            <w:pPr>
              <w:spacing w:after="0"/>
              <w:rPr>
                <w:sz w:val="1"/>
                <w:szCs w:val="1"/>
                <w:color w:val="auto"/>
              </w:rPr>
            </w:pPr>
          </w:p>
        </w:tc>
      </w:tr>
      <w:tr>
        <w:trPr>
          <w:trHeight w:val="174"/>
        </w:trPr>
        <w:tc>
          <w:tcPr>
            <w:tcW w:w="1860" w:type="dxa"/>
            <w:vAlign w:val="bottom"/>
            <w:tcBorders>
              <w:bottom w:val="single" w:sz="8" w:color="0000EE"/>
            </w:tcBorders>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5680" w:type="dxa"/>
            <w:vAlign w:val="bottom"/>
          </w:tcPr>
          <w:p>
            <w:pPr>
              <w:spacing w:after="0"/>
              <w:rPr>
                <w:sz w:val="14"/>
                <w:szCs w:val="14"/>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0000EE"/>
            </w:tcBorders>
            <w:gridSpan w:val="2"/>
          </w:tcPr>
          <w:p>
            <w:pPr>
              <w:spacing w:after="0" w:line="209" w:lineRule="exact"/>
              <w:rPr>
                <w:rFonts w:ascii="Arial" w:cs="Arial" w:eastAsia="Arial" w:hAnsi="Arial"/>
                <w:sz w:val="20"/>
                <w:szCs w:val="20"/>
                <w:color w:val="0000EE"/>
                <w:w w:val="98"/>
              </w:rPr>
            </w:pPr>
            <w:hyperlink w:anchor="page7">
              <w:r>
                <w:rPr>
                  <w:rFonts w:ascii="Arial" w:cs="Arial" w:eastAsia="Arial" w:hAnsi="Arial"/>
                  <w:sz w:val="20"/>
                  <w:szCs w:val="20"/>
                  <w:color w:val="0000EE"/>
                  <w:w w:val="98"/>
                </w:rPr>
                <w:t>Annual Meeting Information</w:t>
              </w:r>
            </w:hyperlink>
          </w:p>
        </w:tc>
        <w:tc>
          <w:tcPr>
            <w:tcW w:w="1900" w:type="dxa"/>
            <w:vAlign w:val="bottom"/>
          </w:tcPr>
          <w:p>
            <w:pPr>
              <w:spacing w:after="0"/>
              <w:rPr>
                <w:sz w:val="18"/>
                <w:szCs w:val="18"/>
                <w:color w:val="auto"/>
              </w:rPr>
            </w:pPr>
          </w:p>
        </w:tc>
        <w:tc>
          <w:tcPr>
            <w:tcW w:w="616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3"/>
          </w:tcPr>
          <w:p>
            <w:pPr>
              <w:spacing w:after="0" w:line="196" w:lineRule="exact"/>
              <w:rPr>
                <w:rFonts w:ascii="Arial" w:cs="Arial" w:eastAsia="Arial" w:hAnsi="Arial"/>
                <w:sz w:val="20"/>
                <w:szCs w:val="20"/>
                <w:color w:val="0000EE"/>
                <w:w w:val="98"/>
              </w:rPr>
            </w:pPr>
            <w:hyperlink w:anchor="page7">
              <w:r>
                <w:rPr>
                  <w:rFonts w:ascii="Arial" w:cs="Arial" w:eastAsia="Arial" w:hAnsi="Arial"/>
                  <w:sz w:val="20"/>
                  <w:szCs w:val="20"/>
                  <w:color w:val="0000EE"/>
                  <w:w w:val="98"/>
                </w:rPr>
                <w:t>Notice of Electronic Availability of Proxy Materials</w:t>
              </w:r>
            </w:hyperlink>
          </w:p>
        </w:tc>
        <w:tc>
          <w:tcPr>
            <w:tcW w:w="616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60" w:type="dxa"/>
            <w:vAlign w:val="bottom"/>
            <w:tcBorders>
              <w:bottom w:val="single" w:sz="8" w:color="1F2A44"/>
            </w:tcBorders>
            <w:shd w:val="clear" w:color="auto" w:fill="1F2A44"/>
          </w:tcPr>
          <w:p>
            <w:pPr>
              <w:spacing w:after="0"/>
              <w:rPr>
                <w:sz w:val="21"/>
                <w:szCs w:val="21"/>
                <w:color w:val="auto"/>
              </w:rPr>
            </w:pPr>
          </w:p>
        </w:tc>
        <w:tc>
          <w:tcPr>
            <w:tcW w:w="8040" w:type="dxa"/>
            <w:vAlign w:val="bottom"/>
            <w:tcBorders>
              <w:bottom w:val="single" w:sz="8" w:color="1F2A44"/>
            </w:tcBorders>
            <w:gridSpan w:val="13"/>
            <w:shd w:val="clear" w:color="auto" w:fill="1F2A44"/>
          </w:tcPr>
          <w:p>
            <w:pPr>
              <w:spacing w:after="0"/>
              <w:rPr>
                <w:rFonts w:ascii="Arial" w:cs="Arial" w:eastAsia="Arial" w:hAnsi="Arial"/>
                <w:sz w:val="20"/>
                <w:szCs w:val="20"/>
                <w:b w:val="1"/>
                <w:bCs w:val="1"/>
                <w:color w:val="0000EE"/>
              </w:rPr>
            </w:pPr>
            <w:hyperlink w:anchor="page8">
              <w:r>
                <w:rPr>
                  <w:rFonts w:ascii="Arial" w:cs="Arial" w:eastAsia="Arial" w:hAnsi="Arial"/>
                  <w:sz w:val="20"/>
                  <w:szCs w:val="20"/>
                  <w:b w:val="1"/>
                  <w:bCs w:val="1"/>
                  <w:color w:val="0000EE"/>
                </w:rPr>
                <w:t>Corporate Governance Information</w:t>
              </w:r>
            </w:hyperlink>
          </w:p>
        </w:tc>
        <w:tc>
          <w:tcPr>
            <w:tcW w:w="2920" w:type="dxa"/>
            <w:vAlign w:val="bottom"/>
            <w:tcBorders>
              <w:bottom w:val="single" w:sz="8" w:color="1F2A44"/>
            </w:tcBorders>
            <w:shd w:val="clear" w:color="auto" w:fill="1F2A44"/>
          </w:tcPr>
          <w:p>
            <w:pPr>
              <w:jc w:val="right"/>
              <w:spacing w:after="0"/>
              <w:rPr>
                <w:sz w:val="20"/>
                <w:szCs w:val="20"/>
                <w:color w:val="auto"/>
              </w:rPr>
            </w:pPr>
            <w:r>
              <w:rPr>
                <w:rFonts w:ascii="Arial" w:cs="Arial" w:eastAsia="Arial" w:hAnsi="Arial"/>
                <w:sz w:val="20"/>
                <w:szCs w:val="20"/>
                <w:b w:val="1"/>
                <w:bCs w:val="1"/>
                <w:color w:val="FFFFFF"/>
              </w:rPr>
              <w:t>2</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tcBorders>
              <w:bottom w:val="single" w:sz="8" w:color="0000EE"/>
            </w:tcBorders>
            <w:gridSpan w:val="9"/>
          </w:tcPr>
          <w:p>
            <w:pPr>
              <w:spacing w:after="0" w:line="176" w:lineRule="exact"/>
              <w:rPr>
                <w:rFonts w:ascii="Arial" w:cs="Arial" w:eastAsia="Arial" w:hAnsi="Arial"/>
                <w:sz w:val="20"/>
                <w:szCs w:val="20"/>
                <w:color w:val="0000EE"/>
                <w:w w:val="98"/>
              </w:rPr>
            </w:pPr>
            <w:hyperlink w:anchor="page8">
              <w:r>
                <w:rPr>
                  <w:rFonts w:ascii="Arial" w:cs="Arial" w:eastAsia="Arial" w:hAnsi="Arial"/>
                  <w:sz w:val="20"/>
                  <w:szCs w:val="20"/>
                  <w:color w:val="0000EE"/>
                  <w:w w:val="98"/>
                </w:rPr>
                <w:t>Corporate Governance Practices</w:t>
              </w:r>
            </w:hyperlink>
          </w:p>
        </w:tc>
        <w:tc>
          <w:tcPr>
            <w:tcW w:w="4760" w:type="dxa"/>
            <w:vAlign w:val="bottom"/>
            <w:gridSpan w:val="3"/>
          </w:tcPr>
          <w:p>
            <w:pPr>
              <w:spacing w:after="0"/>
              <w:rPr>
                <w:sz w:val="15"/>
                <w:szCs w:val="15"/>
                <w:color w:val="auto"/>
              </w:rPr>
            </w:pPr>
          </w:p>
        </w:tc>
        <w:tc>
          <w:tcPr>
            <w:tcW w:w="2920" w:type="dxa"/>
            <w:vAlign w:val="bottom"/>
          </w:tcPr>
          <w:p>
            <w:pPr>
              <w:jc w:val="right"/>
              <w:spacing w:after="0" w:line="17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Arial" w:cs="Arial" w:eastAsia="Arial" w:hAnsi="Arial"/>
                <w:sz w:val="20"/>
                <w:szCs w:val="20"/>
                <w:color w:val="0000EE"/>
                <w:w w:val="98"/>
              </w:rPr>
            </w:pPr>
            <w:hyperlink w:anchor="page8">
              <w:r>
                <w:rPr>
                  <w:rFonts w:ascii="Arial" w:cs="Arial" w:eastAsia="Arial" w:hAnsi="Arial"/>
                  <w:sz w:val="20"/>
                  <w:szCs w:val="20"/>
                  <w:color w:val="0000EE"/>
                  <w:w w:val="98"/>
                </w:rPr>
                <w:t>Board Leadership Structure</w:t>
              </w:r>
            </w:hyperlink>
          </w:p>
        </w:tc>
        <w:tc>
          <w:tcPr>
            <w:tcW w:w="5220" w:type="dxa"/>
            <w:vAlign w:val="bottom"/>
            <w:gridSpan w:val="7"/>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40" w:type="dxa"/>
            <w:vAlign w:val="bottom"/>
            <w:gridSpan w:val="12"/>
          </w:tcPr>
          <w:p>
            <w:pPr>
              <w:spacing w:after="0" w:line="196" w:lineRule="exact"/>
              <w:rPr>
                <w:rFonts w:ascii="Arial" w:cs="Arial" w:eastAsia="Arial" w:hAnsi="Arial"/>
                <w:sz w:val="20"/>
                <w:szCs w:val="20"/>
                <w:color w:val="0000EE"/>
              </w:rPr>
            </w:pPr>
            <w:hyperlink w:anchor="page9">
              <w:r>
                <w:rPr>
                  <w:rFonts w:ascii="Arial" w:cs="Arial" w:eastAsia="Arial" w:hAnsi="Arial"/>
                  <w:sz w:val="20"/>
                  <w:szCs w:val="20"/>
                  <w:color w:val="0000EE"/>
                </w:rPr>
                <w:t>Independence of Trustees</w:t>
              </w:r>
            </w:hyperlink>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20"/>
                <w:szCs w:val="20"/>
                <w:color w:val="0000EE"/>
                <w:w w:val="97"/>
              </w:rPr>
            </w:pPr>
            <w:hyperlink w:anchor="page9">
              <w:r>
                <w:rPr>
                  <w:rFonts w:ascii="Arial" w:cs="Arial" w:eastAsia="Arial" w:hAnsi="Arial"/>
                  <w:sz w:val="20"/>
                  <w:szCs w:val="20"/>
                  <w:color w:val="0000EE"/>
                  <w:w w:val="97"/>
                </w:rPr>
                <w:t>Board Meetings</w:t>
              </w:r>
            </w:hyperlink>
          </w:p>
        </w:tc>
        <w:tc>
          <w:tcPr>
            <w:tcW w:w="900" w:type="dxa"/>
            <w:vAlign w:val="bottom"/>
            <w:tcBorders>
              <w:top w:val="single" w:sz="8" w:color="0000EE"/>
            </w:tcBorders>
            <w:gridSpan w:val="2"/>
          </w:tcPr>
          <w:p>
            <w:pPr>
              <w:spacing w:after="0"/>
              <w:rPr>
                <w:sz w:val="17"/>
                <w:szCs w:val="17"/>
                <w:color w:val="auto"/>
              </w:rPr>
            </w:pPr>
          </w:p>
        </w:tc>
        <w:tc>
          <w:tcPr>
            <w:tcW w:w="5360" w:type="dxa"/>
            <w:vAlign w:val="bottom"/>
            <w:gridSpan w:val="8"/>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20"/>
                <w:szCs w:val="20"/>
                <w:color w:val="0000EE"/>
                <w:w w:val="97"/>
              </w:rPr>
            </w:pPr>
            <w:hyperlink w:anchor="page10">
              <w:r>
                <w:rPr>
                  <w:rFonts w:ascii="Arial" w:cs="Arial" w:eastAsia="Arial" w:hAnsi="Arial"/>
                  <w:sz w:val="20"/>
                  <w:szCs w:val="20"/>
                  <w:color w:val="0000EE"/>
                  <w:w w:val="97"/>
                </w:rPr>
                <w:t>Board Committees</w:t>
              </w:r>
            </w:hyperlink>
          </w:p>
        </w:tc>
        <w:tc>
          <w:tcPr>
            <w:tcW w:w="6000" w:type="dxa"/>
            <w:vAlign w:val="bottom"/>
            <w:gridSpan w:val="9"/>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40" w:type="dxa"/>
            <w:vAlign w:val="bottom"/>
            <w:gridSpan w:val="12"/>
          </w:tcPr>
          <w:p>
            <w:pPr>
              <w:spacing w:after="0" w:line="196" w:lineRule="exact"/>
              <w:rPr>
                <w:rFonts w:ascii="Arial" w:cs="Arial" w:eastAsia="Arial" w:hAnsi="Arial"/>
                <w:sz w:val="20"/>
                <w:szCs w:val="20"/>
                <w:color w:val="0000EE"/>
              </w:rPr>
            </w:pPr>
            <w:hyperlink w:anchor="page10">
              <w:r>
                <w:rPr>
                  <w:rFonts w:ascii="Arial" w:cs="Arial" w:eastAsia="Arial" w:hAnsi="Arial"/>
                  <w:sz w:val="20"/>
                  <w:szCs w:val="20"/>
                  <w:color w:val="0000EE"/>
                </w:rPr>
                <w:t>Risk Management Oversight</w:t>
              </w:r>
            </w:hyperlink>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40" w:type="dxa"/>
            <w:vAlign w:val="bottom"/>
            <w:gridSpan w:val="12"/>
          </w:tcPr>
          <w:p>
            <w:pPr>
              <w:spacing w:after="0" w:line="196" w:lineRule="exact"/>
              <w:rPr>
                <w:rFonts w:ascii="Arial" w:cs="Arial" w:eastAsia="Arial" w:hAnsi="Arial"/>
                <w:sz w:val="20"/>
                <w:szCs w:val="20"/>
                <w:color w:val="0000EE"/>
              </w:rPr>
            </w:pPr>
            <w:hyperlink w:anchor="page11">
              <w:r>
                <w:rPr>
                  <w:rFonts w:ascii="Arial" w:cs="Arial" w:eastAsia="Arial" w:hAnsi="Arial"/>
                  <w:sz w:val="20"/>
                  <w:szCs w:val="20"/>
                  <w:color w:val="0000EE"/>
                </w:rPr>
                <w:t>Compensation Risk Assessment</w:t>
              </w:r>
            </w:hyperlink>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Borders>
              <w:top w:val="single" w:sz="8" w:color="0000EE"/>
            </w:tcBorders>
            <w:gridSpan w:val="8"/>
          </w:tcPr>
          <w:p>
            <w:pPr>
              <w:spacing w:after="0" w:line="196" w:lineRule="exact"/>
              <w:rPr>
                <w:rFonts w:ascii="Arial" w:cs="Arial" w:eastAsia="Arial" w:hAnsi="Arial"/>
                <w:sz w:val="20"/>
                <w:szCs w:val="20"/>
                <w:color w:val="0000EE"/>
                <w:w w:val="99"/>
              </w:rPr>
            </w:pPr>
            <w:hyperlink w:anchor="page11">
              <w:r>
                <w:rPr>
                  <w:rFonts w:ascii="Arial" w:cs="Arial" w:eastAsia="Arial" w:hAnsi="Arial"/>
                  <w:sz w:val="20"/>
                  <w:szCs w:val="20"/>
                  <w:color w:val="0000EE"/>
                  <w:w w:val="99"/>
                </w:rPr>
                <w:t>Communications with the Board</w:t>
              </w:r>
            </w:hyperlink>
          </w:p>
        </w:tc>
        <w:tc>
          <w:tcPr>
            <w:tcW w:w="4800" w:type="dxa"/>
            <w:vAlign w:val="bottom"/>
            <w:gridSpan w:val="4"/>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420" w:type="dxa"/>
            <w:vAlign w:val="bottom"/>
            <w:tcBorders>
              <w:left w:val="single" w:sz="8" w:color="0000EE"/>
            </w:tcBorders>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Arial" w:cs="Arial" w:eastAsia="Arial" w:hAnsi="Arial"/>
                <w:sz w:val="20"/>
                <w:szCs w:val="20"/>
                <w:color w:val="0000EE"/>
                <w:w w:val="98"/>
              </w:rPr>
            </w:pPr>
            <w:hyperlink w:anchor="page11">
              <w:r>
                <w:rPr>
                  <w:rFonts w:ascii="Arial" w:cs="Arial" w:eastAsia="Arial" w:hAnsi="Arial"/>
                  <w:sz w:val="20"/>
                  <w:szCs w:val="20"/>
                  <w:color w:val="0000EE"/>
                  <w:w w:val="98"/>
                </w:rPr>
                <w:t>Certain Relationships and Related Transactions</w:t>
              </w:r>
            </w:hyperlink>
          </w:p>
        </w:tc>
        <w:tc>
          <w:tcPr>
            <w:tcW w:w="3460" w:type="dxa"/>
            <w:vAlign w:val="bottom"/>
            <w:gridSpan w:val="2"/>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40" w:type="dxa"/>
            <w:vAlign w:val="bottom"/>
            <w:tcBorders>
              <w:bottom w:val="single" w:sz="8" w:color="0000EE"/>
            </w:tcBorders>
            <w:gridSpan w:val="10"/>
          </w:tcPr>
          <w:p>
            <w:pPr>
              <w:spacing w:after="0" w:line="196" w:lineRule="exact"/>
              <w:rPr>
                <w:rFonts w:ascii="Arial" w:cs="Arial" w:eastAsia="Arial" w:hAnsi="Arial"/>
                <w:sz w:val="20"/>
                <w:szCs w:val="20"/>
                <w:color w:val="0000EE"/>
                <w:w w:val="98"/>
              </w:rPr>
            </w:pPr>
            <w:hyperlink w:anchor="page11">
              <w:r>
                <w:rPr>
                  <w:rFonts w:ascii="Arial" w:cs="Arial" w:eastAsia="Arial" w:hAnsi="Arial"/>
                  <w:sz w:val="20"/>
                  <w:szCs w:val="20"/>
                  <w:color w:val="0000EE"/>
                  <w:w w:val="98"/>
                </w:rPr>
                <w:t>Review and Approval of Related Party Transactions</w:t>
              </w:r>
            </w:hyperlink>
          </w:p>
        </w:tc>
        <w:tc>
          <w:tcPr>
            <w:tcW w:w="2720" w:type="dxa"/>
            <w:vAlign w:val="bottom"/>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60" w:type="dxa"/>
            <w:vAlign w:val="bottom"/>
            <w:gridSpan w:val="11"/>
          </w:tcPr>
          <w:p>
            <w:pPr>
              <w:spacing w:after="0" w:line="196" w:lineRule="exact"/>
              <w:rPr>
                <w:rFonts w:ascii="Arial" w:cs="Arial" w:eastAsia="Arial" w:hAnsi="Arial"/>
                <w:sz w:val="20"/>
                <w:szCs w:val="20"/>
                <w:color w:val="0000EE"/>
              </w:rPr>
            </w:pPr>
            <w:hyperlink w:anchor="page11">
              <w:r>
                <w:rPr>
                  <w:rFonts w:ascii="Arial" w:cs="Arial" w:eastAsia="Arial" w:hAnsi="Arial"/>
                  <w:sz w:val="20"/>
                  <w:szCs w:val="20"/>
                  <w:color w:val="0000EE"/>
                </w:rPr>
                <w:t>Related Party Transactions</w:t>
              </w:r>
            </w:hyperlink>
          </w:p>
        </w:tc>
        <w:tc>
          <w:tcPr>
            <w:tcW w:w="2920" w:type="dxa"/>
            <w:vAlign w:val="bottom"/>
          </w:tcPr>
          <w:p>
            <w:pPr>
              <w:jc w:val="right"/>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60" w:type="dxa"/>
            <w:vAlign w:val="bottom"/>
            <w:tcBorders>
              <w:bottom w:val="single" w:sz="8" w:color="1F2A44"/>
            </w:tcBorders>
            <w:shd w:val="clear" w:color="auto" w:fill="1F2A44"/>
          </w:tcPr>
          <w:p>
            <w:pPr>
              <w:spacing w:after="0"/>
              <w:rPr>
                <w:sz w:val="21"/>
                <w:szCs w:val="21"/>
                <w:color w:val="auto"/>
              </w:rPr>
            </w:pPr>
          </w:p>
        </w:tc>
        <w:tc>
          <w:tcPr>
            <w:tcW w:w="8180" w:type="dxa"/>
            <w:vAlign w:val="bottom"/>
            <w:tcBorders>
              <w:bottom w:val="single" w:sz="8" w:color="1F2A44"/>
            </w:tcBorders>
            <w:gridSpan w:val="9"/>
            <w:shd w:val="clear" w:color="auto" w:fill="1F2A44"/>
          </w:tcPr>
          <w:p>
            <w:pPr>
              <w:spacing w:after="0"/>
              <w:rPr>
                <w:rFonts w:ascii="Arial" w:cs="Arial" w:eastAsia="Arial" w:hAnsi="Arial"/>
                <w:sz w:val="20"/>
                <w:szCs w:val="20"/>
                <w:b w:val="1"/>
                <w:bCs w:val="1"/>
                <w:color w:val="0000EE"/>
              </w:rPr>
            </w:pPr>
            <w:hyperlink w:anchor="page12">
              <w:r>
                <w:rPr>
                  <w:rFonts w:ascii="Arial" w:cs="Arial" w:eastAsia="Arial" w:hAnsi="Arial"/>
                  <w:sz w:val="20"/>
                  <w:szCs w:val="20"/>
                  <w:b w:val="1"/>
                  <w:bCs w:val="1"/>
                  <w:color w:val="0000EE"/>
                </w:rPr>
                <w:t>Trustee Information</w:t>
              </w:r>
            </w:hyperlink>
          </w:p>
        </w:tc>
        <w:tc>
          <w:tcPr>
            <w:tcW w:w="2780" w:type="dxa"/>
            <w:vAlign w:val="bottom"/>
            <w:tcBorders>
              <w:bottom w:val="single" w:sz="8" w:color="1F2A44"/>
            </w:tcBorders>
            <w:shd w:val="clear" w:color="auto" w:fill="1F2A44"/>
          </w:tcPr>
          <w:p>
            <w:pPr>
              <w:jc w:val="right"/>
              <w:spacing w:after="0"/>
              <w:rPr>
                <w:sz w:val="20"/>
                <w:szCs w:val="20"/>
                <w:color w:val="auto"/>
              </w:rPr>
            </w:pPr>
            <w:r>
              <w:rPr>
                <w:rFonts w:ascii="Arial" w:cs="Arial" w:eastAsia="Arial" w:hAnsi="Arial"/>
                <w:sz w:val="20"/>
                <w:szCs w:val="20"/>
                <w:b w:val="1"/>
                <w:bCs w:val="1"/>
                <w:color w:val="FFFFFF"/>
              </w:rPr>
              <w:t>6</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tcBorders>
              <w:bottom w:val="single" w:sz="8" w:color="0000EE"/>
            </w:tcBorders>
            <w:gridSpan w:val="5"/>
          </w:tcPr>
          <w:p>
            <w:pPr>
              <w:spacing w:after="0" w:line="176" w:lineRule="exact"/>
              <w:rPr>
                <w:rFonts w:ascii="Arial" w:cs="Arial" w:eastAsia="Arial" w:hAnsi="Arial"/>
                <w:sz w:val="20"/>
                <w:szCs w:val="20"/>
                <w:color w:val="0000EE"/>
                <w:w w:val="97"/>
              </w:rPr>
            </w:pPr>
            <w:hyperlink w:anchor="page12">
              <w:r>
                <w:rPr>
                  <w:rFonts w:ascii="Arial" w:cs="Arial" w:eastAsia="Arial" w:hAnsi="Arial"/>
                  <w:sz w:val="20"/>
                  <w:szCs w:val="20"/>
                  <w:color w:val="0000EE"/>
                  <w:w w:val="97"/>
                </w:rPr>
                <w:t>Proposal 1—Election of Trustees</w:t>
              </w:r>
            </w:hyperlink>
          </w:p>
        </w:tc>
        <w:tc>
          <w:tcPr>
            <w:tcW w:w="4900" w:type="dxa"/>
            <w:vAlign w:val="bottom"/>
            <w:gridSpan w:val="3"/>
          </w:tcPr>
          <w:p>
            <w:pPr>
              <w:spacing w:after="0"/>
              <w:rPr>
                <w:sz w:val="15"/>
                <w:szCs w:val="15"/>
                <w:color w:val="auto"/>
              </w:rPr>
            </w:pPr>
          </w:p>
        </w:tc>
        <w:tc>
          <w:tcPr>
            <w:tcW w:w="2780" w:type="dxa"/>
            <w:vAlign w:val="bottom"/>
          </w:tcPr>
          <w:p>
            <w:pPr>
              <w:jc w:val="right"/>
              <w:spacing w:after="0" w:line="17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8"/>
          </w:tcPr>
          <w:p>
            <w:pPr>
              <w:spacing w:after="0" w:line="196" w:lineRule="exact"/>
              <w:rPr>
                <w:rFonts w:ascii="Arial" w:cs="Arial" w:eastAsia="Arial" w:hAnsi="Arial"/>
                <w:sz w:val="20"/>
                <w:szCs w:val="20"/>
                <w:color w:val="0000EE"/>
              </w:rPr>
            </w:pPr>
            <w:hyperlink w:anchor="page12">
              <w:r>
                <w:rPr>
                  <w:rFonts w:ascii="Arial" w:cs="Arial" w:eastAsia="Arial" w:hAnsi="Arial"/>
                  <w:sz w:val="20"/>
                  <w:szCs w:val="20"/>
                  <w:color w:val="0000EE"/>
                </w:rPr>
                <w:t>Nominees</w:t>
              </w:r>
            </w:hyperlink>
          </w:p>
        </w:tc>
        <w:tc>
          <w:tcPr>
            <w:tcW w:w="2780" w:type="dxa"/>
            <w:vAlign w:val="bottom"/>
          </w:tcPr>
          <w:p>
            <w:pPr>
              <w:jc w:val="right"/>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10</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8"/>
          </w:tcPr>
          <w:p>
            <w:pPr>
              <w:spacing w:after="0" w:line="196" w:lineRule="exact"/>
              <w:rPr>
                <w:rFonts w:ascii="Arial" w:cs="Arial" w:eastAsia="Arial" w:hAnsi="Arial"/>
                <w:sz w:val="20"/>
                <w:szCs w:val="20"/>
                <w:color w:val="0000EE"/>
              </w:rPr>
            </w:pPr>
            <w:hyperlink w:anchor="page16">
              <w:r>
                <w:rPr>
                  <w:rFonts w:ascii="Arial" w:cs="Arial" w:eastAsia="Arial" w:hAnsi="Arial"/>
                  <w:sz w:val="20"/>
                  <w:szCs w:val="20"/>
                  <w:color w:val="0000EE"/>
                </w:rPr>
                <w:t>Qualifications and Characteristics of Trustees</w:t>
              </w:r>
            </w:hyperlink>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7"/>
              </w:rPr>
            </w:pPr>
            <w:hyperlink w:anchor="page16">
              <w:r>
                <w:rPr>
                  <w:rFonts w:ascii="Arial" w:cs="Arial" w:eastAsia="Arial" w:hAnsi="Arial"/>
                  <w:sz w:val="20"/>
                  <w:szCs w:val="20"/>
                  <w:color w:val="0000EE"/>
                  <w:w w:val="97"/>
                </w:rPr>
                <w:t>Process for Selecting Trustees</w:t>
              </w:r>
            </w:hyperlink>
          </w:p>
        </w:tc>
        <w:tc>
          <w:tcPr>
            <w:tcW w:w="1280" w:type="dxa"/>
            <w:vAlign w:val="bottom"/>
            <w:tcBorders>
              <w:top w:val="single" w:sz="8" w:color="0000EE"/>
            </w:tcBorders>
            <w:gridSpan w:val="2"/>
          </w:tcPr>
          <w:p>
            <w:pPr>
              <w:spacing w:after="0"/>
              <w:rPr>
                <w:sz w:val="17"/>
                <w:szCs w:val="17"/>
                <w:color w:val="auto"/>
              </w:rPr>
            </w:pPr>
          </w:p>
        </w:tc>
        <w:tc>
          <w:tcPr>
            <w:tcW w:w="3820" w:type="dxa"/>
            <w:vAlign w:val="bottom"/>
            <w:gridSpan w:val="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8"/>
          </w:tcPr>
          <w:p>
            <w:pPr>
              <w:spacing w:after="0" w:line="196" w:lineRule="exact"/>
              <w:rPr>
                <w:rFonts w:ascii="Arial" w:cs="Arial" w:eastAsia="Arial" w:hAnsi="Arial"/>
                <w:sz w:val="20"/>
                <w:szCs w:val="20"/>
                <w:color w:val="0000EE"/>
              </w:rPr>
            </w:pPr>
            <w:hyperlink w:anchor="page16">
              <w:r>
                <w:rPr>
                  <w:rFonts w:ascii="Arial" w:cs="Arial" w:eastAsia="Arial" w:hAnsi="Arial"/>
                  <w:sz w:val="20"/>
                  <w:szCs w:val="20"/>
                  <w:color w:val="0000EE"/>
                </w:rPr>
                <w:t>Process for Shareholders to Recommend Trustee Nominees</w:t>
              </w:r>
            </w:hyperlink>
          </w:p>
        </w:tc>
        <w:tc>
          <w:tcPr>
            <w:tcW w:w="2780" w:type="dxa"/>
            <w:vAlign w:val="bottom"/>
          </w:tcPr>
          <w:p>
            <w:pPr>
              <w:jc w:val="right"/>
              <w:spacing w:after="0" w:line="196"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80" w:type="dxa"/>
            <w:vAlign w:val="bottom"/>
            <w:tcBorders>
              <w:top w:val="single" w:sz="8" w:color="0000EE"/>
            </w:tcBorders>
            <w:gridSpan w:val="7"/>
          </w:tcPr>
          <w:p>
            <w:pPr>
              <w:spacing w:after="0" w:line="196" w:lineRule="exact"/>
              <w:rPr>
                <w:rFonts w:ascii="Arial" w:cs="Arial" w:eastAsia="Arial" w:hAnsi="Arial"/>
                <w:sz w:val="20"/>
                <w:szCs w:val="20"/>
                <w:color w:val="0000EE"/>
              </w:rPr>
            </w:pPr>
            <w:hyperlink w:anchor="page17">
              <w:r>
                <w:rPr>
                  <w:rFonts w:ascii="Arial" w:cs="Arial" w:eastAsia="Arial" w:hAnsi="Arial"/>
                  <w:sz w:val="20"/>
                  <w:szCs w:val="20"/>
                  <w:color w:val="0000EE"/>
                </w:rPr>
                <w:t>Trustee Compensation</w:t>
              </w:r>
            </w:hyperlink>
          </w:p>
        </w:tc>
        <w:tc>
          <w:tcPr>
            <w:tcW w:w="2500" w:type="dxa"/>
            <w:vAlign w:val="bottom"/>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60" w:type="dxa"/>
            <w:vAlign w:val="bottom"/>
            <w:tcBorders>
              <w:bottom w:val="single" w:sz="8" w:color="1F2A44"/>
            </w:tcBorders>
            <w:shd w:val="clear" w:color="auto" w:fill="1F2A44"/>
          </w:tcPr>
          <w:p>
            <w:pPr>
              <w:spacing w:after="0"/>
              <w:rPr>
                <w:sz w:val="21"/>
                <w:szCs w:val="21"/>
                <w:color w:val="auto"/>
              </w:rPr>
            </w:pPr>
          </w:p>
        </w:tc>
        <w:tc>
          <w:tcPr>
            <w:tcW w:w="9140" w:type="dxa"/>
            <w:vAlign w:val="bottom"/>
            <w:tcBorders>
              <w:bottom w:val="single" w:sz="8" w:color="1F2A44"/>
            </w:tcBorders>
            <w:gridSpan w:val="25"/>
            <w:shd w:val="clear" w:color="auto" w:fill="1F2A44"/>
          </w:tcPr>
          <w:p>
            <w:pPr>
              <w:spacing w:after="0"/>
              <w:rPr>
                <w:rFonts w:ascii="Arial" w:cs="Arial" w:eastAsia="Arial" w:hAnsi="Arial"/>
                <w:sz w:val="20"/>
                <w:szCs w:val="20"/>
                <w:b w:val="1"/>
                <w:bCs w:val="1"/>
                <w:color w:val="0000EE"/>
              </w:rPr>
            </w:pPr>
            <w:hyperlink w:anchor="page18">
              <w:r>
                <w:rPr>
                  <w:rFonts w:ascii="Arial" w:cs="Arial" w:eastAsia="Arial" w:hAnsi="Arial"/>
                  <w:sz w:val="20"/>
                  <w:szCs w:val="20"/>
                  <w:b w:val="1"/>
                  <w:bCs w:val="1"/>
                  <w:color w:val="0000EE"/>
                </w:rPr>
                <w:t>Executive Officer and Compensation Information</w:t>
              </w:r>
            </w:hyperlink>
          </w:p>
        </w:tc>
        <w:tc>
          <w:tcPr>
            <w:tcW w:w="1820" w:type="dxa"/>
            <w:vAlign w:val="bottom"/>
            <w:tcBorders>
              <w:bottom w:val="single" w:sz="8" w:color="1F2A44"/>
            </w:tcBorders>
            <w:shd w:val="clear" w:color="auto" w:fill="1F2A44"/>
          </w:tcPr>
          <w:p>
            <w:pPr>
              <w:jc w:val="right"/>
              <w:spacing w:after="0"/>
              <w:rPr>
                <w:sz w:val="20"/>
                <w:szCs w:val="20"/>
                <w:color w:val="auto"/>
              </w:rPr>
            </w:pPr>
            <w:r>
              <w:rPr>
                <w:rFonts w:ascii="Arial" w:cs="Arial" w:eastAsia="Arial" w:hAnsi="Arial"/>
                <w:sz w:val="20"/>
                <w:szCs w:val="20"/>
                <w:b w:val="1"/>
                <w:bCs w:val="1"/>
                <w:color w:val="FFFFFF"/>
              </w:rPr>
              <w:t>12</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740" w:type="dxa"/>
            <w:vAlign w:val="bottom"/>
            <w:gridSpan w:val="24"/>
          </w:tcPr>
          <w:p>
            <w:pPr>
              <w:spacing w:after="0" w:line="176" w:lineRule="exact"/>
              <w:rPr>
                <w:rFonts w:ascii="Arial" w:cs="Arial" w:eastAsia="Arial" w:hAnsi="Arial"/>
                <w:sz w:val="20"/>
                <w:szCs w:val="20"/>
                <w:color w:val="0000EE"/>
              </w:rPr>
            </w:pPr>
            <w:hyperlink w:anchor="page18">
              <w:r>
                <w:rPr>
                  <w:rFonts w:ascii="Arial" w:cs="Arial" w:eastAsia="Arial" w:hAnsi="Arial"/>
                  <w:sz w:val="20"/>
                  <w:szCs w:val="20"/>
                  <w:color w:val="0000EE"/>
                </w:rPr>
                <w:t>Executive Officers</w:t>
              </w:r>
            </w:hyperlink>
          </w:p>
        </w:tc>
        <w:tc>
          <w:tcPr>
            <w:tcW w:w="1820" w:type="dxa"/>
            <w:vAlign w:val="bottom"/>
          </w:tcPr>
          <w:p>
            <w:pPr>
              <w:jc w:val="right"/>
              <w:spacing w:after="0" w:line="176" w:lineRule="exact"/>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13</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40" w:type="dxa"/>
            <w:vAlign w:val="bottom"/>
            <w:tcBorders>
              <w:bottom w:val="single" w:sz="8" w:color="0000EE"/>
            </w:tcBorders>
            <w:gridSpan w:val="23"/>
          </w:tcPr>
          <w:p>
            <w:pPr>
              <w:spacing w:after="0" w:line="196" w:lineRule="exact"/>
              <w:rPr>
                <w:rFonts w:ascii="Arial" w:cs="Arial" w:eastAsia="Arial" w:hAnsi="Arial"/>
                <w:sz w:val="20"/>
                <w:szCs w:val="20"/>
                <w:color w:val="0000EE"/>
                <w:w w:val="99"/>
              </w:rPr>
            </w:pPr>
            <w:hyperlink w:anchor="page19">
              <w:r>
                <w:rPr>
                  <w:rFonts w:ascii="Arial" w:cs="Arial" w:eastAsia="Arial" w:hAnsi="Arial"/>
                  <w:sz w:val="20"/>
                  <w:szCs w:val="20"/>
                  <w:color w:val="0000EE"/>
                  <w:w w:val="99"/>
                </w:rPr>
                <w:t>Proposal 2—Advisory Vote on the Compensation of our Named Executive Officers</w:t>
              </w:r>
            </w:hyperlink>
          </w:p>
        </w:tc>
        <w:tc>
          <w:tcPr>
            <w:tcW w:w="150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20"/>
                <w:szCs w:val="20"/>
                <w:color w:val="0000EE"/>
                <w:w w:val="98"/>
              </w:rPr>
            </w:pPr>
            <w:hyperlink w:anchor="page20">
              <w:r>
                <w:rPr>
                  <w:rFonts w:ascii="Arial" w:cs="Arial" w:eastAsia="Arial" w:hAnsi="Arial"/>
                  <w:sz w:val="20"/>
                  <w:szCs w:val="20"/>
                  <w:color w:val="0000EE"/>
                  <w:w w:val="98"/>
                </w:rPr>
                <w:t>Compensation Discussion and Analysis</w:t>
              </w:r>
            </w:hyperlink>
          </w:p>
        </w:tc>
        <w:tc>
          <w:tcPr>
            <w:tcW w:w="528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23"/>
          </w:tcPr>
          <w:p>
            <w:pPr>
              <w:spacing w:after="0" w:line="196" w:lineRule="exact"/>
              <w:rPr>
                <w:rFonts w:ascii="Arial" w:cs="Arial" w:eastAsia="Arial" w:hAnsi="Arial"/>
                <w:sz w:val="20"/>
                <w:szCs w:val="20"/>
                <w:color w:val="0000EE"/>
              </w:rPr>
            </w:pPr>
            <w:hyperlink w:anchor="page20">
              <w:r>
                <w:rPr>
                  <w:rFonts w:ascii="Arial" w:cs="Arial" w:eastAsia="Arial" w:hAnsi="Arial"/>
                  <w:sz w:val="20"/>
                  <w:szCs w:val="20"/>
                  <w:color w:val="0000EE"/>
                </w:rPr>
                <w:t>2017 Performance Highlights</w:t>
              </w:r>
            </w:hyperlink>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15</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23"/>
          </w:tcPr>
          <w:p>
            <w:pPr>
              <w:spacing w:after="0" w:line="196" w:lineRule="exact"/>
              <w:rPr>
                <w:rFonts w:ascii="Arial" w:cs="Arial" w:eastAsia="Arial" w:hAnsi="Arial"/>
                <w:sz w:val="20"/>
                <w:szCs w:val="20"/>
                <w:color w:val="0000EE"/>
              </w:rPr>
            </w:pPr>
            <w:hyperlink w:anchor="page21">
              <w:r>
                <w:rPr>
                  <w:rFonts w:ascii="Arial" w:cs="Arial" w:eastAsia="Arial" w:hAnsi="Arial"/>
                  <w:sz w:val="20"/>
                  <w:szCs w:val="20"/>
                  <w:color w:val="0000EE"/>
                </w:rPr>
                <w:t>2017 Compensation Highlights</w:t>
              </w:r>
            </w:hyperlink>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16</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20"/>
                <w:szCs w:val="20"/>
                <w:color w:val="0000EE"/>
                <w:w w:val="98"/>
              </w:rPr>
            </w:pPr>
            <w:hyperlink w:anchor="page22">
              <w:r>
                <w:rPr>
                  <w:rFonts w:ascii="Arial" w:cs="Arial" w:eastAsia="Arial" w:hAnsi="Arial"/>
                  <w:sz w:val="20"/>
                  <w:szCs w:val="20"/>
                  <w:color w:val="0000EE"/>
                  <w:w w:val="98"/>
                </w:rPr>
                <w:t>2017 Compensation and Compensation Components</w:t>
              </w:r>
            </w:hyperlink>
          </w:p>
        </w:tc>
        <w:tc>
          <w:tcPr>
            <w:tcW w:w="3680" w:type="dxa"/>
            <w:vAlign w:val="bottom"/>
            <w:gridSpan w:val="4"/>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Arial" w:cs="Arial" w:eastAsia="Arial" w:hAnsi="Arial"/>
                <w:sz w:val="20"/>
                <w:szCs w:val="20"/>
                <w:color w:val="0000EE"/>
                <w:w w:val="98"/>
              </w:rPr>
            </w:pPr>
            <w:hyperlink w:anchor="page23">
              <w:r>
                <w:rPr>
                  <w:rFonts w:ascii="Arial" w:cs="Arial" w:eastAsia="Arial" w:hAnsi="Arial"/>
                  <w:sz w:val="20"/>
                  <w:szCs w:val="20"/>
                  <w:color w:val="0000EE"/>
                  <w:w w:val="98"/>
                </w:rPr>
                <w:t>Annual Compensation</w:t>
              </w:r>
            </w:hyperlink>
          </w:p>
        </w:tc>
        <w:tc>
          <w:tcPr>
            <w:tcW w:w="640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23"/>
          </w:tcPr>
          <w:p>
            <w:pPr>
              <w:spacing w:after="0" w:line="196" w:lineRule="exact"/>
              <w:rPr>
                <w:rFonts w:ascii="Arial" w:cs="Arial" w:eastAsia="Arial" w:hAnsi="Arial"/>
                <w:sz w:val="20"/>
                <w:szCs w:val="20"/>
                <w:color w:val="0000EE"/>
              </w:rPr>
            </w:pPr>
            <w:hyperlink w:anchor="page23">
              <w:r>
                <w:rPr>
                  <w:rFonts w:ascii="Arial" w:cs="Arial" w:eastAsia="Arial" w:hAnsi="Arial"/>
                  <w:sz w:val="20"/>
                  <w:szCs w:val="20"/>
                  <w:color w:val="0000EE"/>
                </w:rPr>
                <w:t>Fixed Compensation—Base Salary</w:t>
              </w:r>
            </w:hyperlink>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tcBorders>
              <w:top w:val="single" w:sz="8" w:color="0000EE"/>
            </w:tcBorders>
            <w:gridSpan w:val="14"/>
          </w:tcPr>
          <w:p>
            <w:pPr>
              <w:spacing w:after="0" w:line="196" w:lineRule="exact"/>
              <w:rPr>
                <w:rFonts w:ascii="Arial" w:cs="Arial" w:eastAsia="Arial" w:hAnsi="Arial"/>
                <w:sz w:val="20"/>
                <w:szCs w:val="20"/>
                <w:color w:val="0000EE"/>
              </w:rPr>
            </w:pPr>
            <w:hyperlink w:anchor="page24">
              <w:r>
                <w:rPr>
                  <w:rFonts w:ascii="Arial" w:cs="Arial" w:eastAsia="Arial" w:hAnsi="Arial"/>
                  <w:sz w:val="20"/>
                  <w:szCs w:val="20"/>
                  <w:color w:val="0000EE"/>
                </w:rPr>
                <w:t>At Risk Compensation</w:t>
              </w:r>
            </w:hyperlink>
          </w:p>
        </w:tc>
        <w:tc>
          <w:tcPr>
            <w:tcW w:w="528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8"/>
              </w:rPr>
            </w:pPr>
            <w:hyperlink w:anchor="page24">
              <w:r>
                <w:rPr>
                  <w:rFonts w:ascii="Arial" w:cs="Arial" w:eastAsia="Arial" w:hAnsi="Arial"/>
                  <w:sz w:val="20"/>
                  <w:szCs w:val="20"/>
                  <w:color w:val="0000EE"/>
                  <w:w w:val="98"/>
                </w:rPr>
                <w:t>Annual Bonus Plan</w:t>
              </w:r>
            </w:hyperlink>
          </w:p>
        </w:tc>
        <w:tc>
          <w:tcPr>
            <w:tcW w:w="260" w:type="dxa"/>
            <w:vAlign w:val="bottom"/>
            <w:tcBorders>
              <w:top w:val="single" w:sz="8" w:color="0000EE"/>
            </w:tcBorders>
            <w:gridSpan w:val="3"/>
          </w:tcPr>
          <w:p>
            <w:pPr>
              <w:spacing w:after="0"/>
              <w:rPr>
                <w:sz w:val="17"/>
                <w:szCs w:val="17"/>
                <w:color w:val="auto"/>
              </w:rPr>
            </w:pPr>
          </w:p>
        </w:tc>
        <w:tc>
          <w:tcPr>
            <w:tcW w:w="640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23"/>
          </w:tcPr>
          <w:p>
            <w:pPr>
              <w:spacing w:after="0" w:line="196" w:lineRule="exact"/>
              <w:rPr>
                <w:rFonts w:ascii="Arial" w:cs="Arial" w:eastAsia="Arial" w:hAnsi="Arial"/>
                <w:sz w:val="20"/>
                <w:szCs w:val="20"/>
                <w:color w:val="0000EE"/>
              </w:rPr>
            </w:pPr>
            <w:hyperlink w:anchor="page25">
              <w:r>
                <w:rPr>
                  <w:rFonts w:ascii="Arial" w:cs="Arial" w:eastAsia="Arial" w:hAnsi="Arial"/>
                  <w:sz w:val="20"/>
                  <w:szCs w:val="20"/>
                  <w:color w:val="0000EE"/>
                </w:rPr>
                <w:t>Long-Term Incentive Award Program</w:t>
              </w:r>
            </w:hyperlink>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8"/>
          </w:tcPr>
          <w:p>
            <w:pPr>
              <w:spacing w:after="0" w:line="196" w:lineRule="exact"/>
              <w:rPr>
                <w:rFonts w:ascii="Arial" w:cs="Arial" w:eastAsia="Arial" w:hAnsi="Arial"/>
                <w:sz w:val="20"/>
                <w:szCs w:val="20"/>
                <w:color w:val="0000EE"/>
                <w:w w:val="97"/>
              </w:rPr>
            </w:pPr>
            <w:hyperlink w:anchor="page27">
              <w:r>
                <w:rPr>
                  <w:rFonts w:ascii="Arial" w:cs="Arial" w:eastAsia="Arial" w:hAnsi="Arial"/>
                  <w:sz w:val="20"/>
                  <w:szCs w:val="20"/>
                  <w:color w:val="0000EE"/>
                  <w:w w:val="97"/>
                </w:rPr>
                <w:t>2017 Total Compensation</w:t>
              </w:r>
            </w:hyperlink>
          </w:p>
        </w:tc>
        <w:tc>
          <w:tcPr>
            <w:tcW w:w="960" w:type="dxa"/>
            <w:vAlign w:val="bottom"/>
            <w:tcBorders>
              <w:top w:val="single" w:sz="8" w:color="0000EE"/>
            </w:tcBorders>
            <w:gridSpan w:val="8"/>
          </w:tcPr>
          <w:p>
            <w:pPr>
              <w:spacing w:after="0"/>
              <w:rPr>
                <w:sz w:val="17"/>
                <w:szCs w:val="17"/>
                <w:color w:val="auto"/>
              </w:rPr>
            </w:pPr>
          </w:p>
        </w:tc>
        <w:tc>
          <w:tcPr>
            <w:tcW w:w="514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20"/>
                <w:szCs w:val="20"/>
                <w:color w:val="0000EE"/>
                <w:w w:val="98"/>
              </w:rPr>
            </w:pPr>
            <w:hyperlink w:anchor="page27">
              <w:r>
                <w:rPr>
                  <w:rFonts w:ascii="Arial" w:cs="Arial" w:eastAsia="Arial" w:hAnsi="Arial"/>
                  <w:sz w:val="20"/>
                  <w:szCs w:val="20"/>
                  <w:color w:val="0000EE"/>
                  <w:w w:val="98"/>
                </w:rPr>
                <w:t>Other Benefits</w:t>
              </w:r>
            </w:hyperlink>
          </w:p>
        </w:tc>
        <w:tc>
          <w:tcPr>
            <w:tcW w:w="708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23"/>
          </w:tcPr>
          <w:p>
            <w:pPr>
              <w:spacing w:after="0" w:line="196" w:lineRule="exact"/>
              <w:rPr>
                <w:rFonts w:ascii="Arial" w:cs="Arial" w:eastAsia="Arial" w:hAnsi="Arial"/>
                <w:sz w:val="20"/>
                <w:szCs w:val="20"/>
                <w:color w:val="0000EE"/>
              </w:rPr>
            </w:pPr>
            <w:hyperlink w:anchor="page27">
              <w:r>
                <w:rPr>
                  <w:rFonts w:ascii="Arial" w:cs="Arial" w:eastAsia="Arial" w:hAnsi="Arial"/>
                  <w:sz w:val="20"/>
                  <w:szCs w:val="20"/>
                  <w:color w:val="0000EE"/>
                </w:rPr>
                <w:t>Other Compensation Considerations</w:t>
              </w:r>
            </w:hyperlink>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gridSpan w:val="14"/>
          </w:tcPr>
          <w:p>
            <w:pPr>
              <w:spacing w:after="0" w:line="196" w:lineRule="exact"/>
              <w:rPr>
                <w:rFonts w:ascii="Arial" w:cs="Arial" w:eastAsia="Arial" w:hAnsi="Arial"/>
                <w:sz w:val="20"/>
                <w:szCs w:val="20"/>
                <w:color w:val="0000EE"/>
              </w:rPr>
            </w:pPr>
            <w:hyperlink w:anchor="page27">
              <w:r>
                <w:rPr>
                  <w:rFonts w:ascii="Arial" w:cs="Arial" w:eastAsia="Arial" w:hAnsi="Arial"/>
                  <w:sz w:val="20"/>
                  <w:szCs w:val="20"/>
                  <w:color w:val="0000EE"/>
                </w:rPr>
                <w:t>Equity Ownership</w:t>
              </w:r>
            </w:hyperlink>
          </w:p>
        </w:tc>
        <w:tc>
          <w:tcPr>
            <w:tcW w:w="516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7"/>
              </w:rPr>
            </w:pPr>
            <w:hyperlink w:anchor="page27">
              <w:r>
                <w:rPr>
                  <w:rFonts w:ascii="Arial" w:cs="Arial" w:eastAsia="Arial" w:hAnsi="Arial"/>
                  <w:sz w:val="20"/>
                  <w:szCs w:val="20"/>
                  <w:color w:val="0000EE"/>
                  <w:w w:val="97"/>
                </w:rPr>
                <w:t>Risk Assessment</w:t>
              </w:r>
            </w:hyperlink>
          </w:p>
        </w:tc>
        <w:tc>
          <w:tcPr>
            <w:tcW w:w="20" w:type="dxa"/>
            <w:vAlign w:val="bottom"/>
            <w:tcBorders>
              <w:top w:val="single" w:sz="8" w:color="0000EE"/>
            </w:tcBorders>
          </w:tcPr>
          <w:p>
            <w:pPr>
              <w:spacing w:after="0"/>
              <w:rPr>
                <w:sz w:val="17"/>
                <w:szCs w:val="17"/>
                <w:color w:val="auto"/>
              </w:rPr>
            </w:pPr>
          </w:p>
        </w:tc>
        <w:tc>
          <w:tcPr>
            <w:tcW w:w="648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20"/>
                <w:szCs w:val="20"/>
                <w:color w:val="0000EE"/>
                <w:w w:val="97"/>
              </w:rPr>
            </w:pPr>
            <w:hyperlink w:anchor="page27">
              <w:r>
                <w:rPr>
                  <w:rFonts w:ascii="Arial" w:cs="Arial" w:eastAsia="Arial" w:hAnsi="Arial"/>
                  <w:sz w:val="20"/>
                  <w:szCs w:val="20"/>
                  <w:color w:val="0000EE"/>
                  <w:w w:val="97"/>
                </w:rPr>
                <w:t>Timing of Equity Grants</w:t>
              </w:r>
            </w:hyperlink>
          </w:p>
        </w:tc>
        <w:tc>
          <w:tcPr>
            <w:tcW w:w="596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tcBorders>
              <w:bottom w:val="single" w:sz="8" w:color="0000EE"/>
            </w:tcBorders>
            <w:gridSpan w:val="19"/>
          </w:tcPr>
          <w:p>
            <w:pPr>
              <w:spacing w:after="0" w:line="196" w:lineRule="exact"/>
              <w:rPr>
                <w:rFonts w:ascii="Arial" w:cs="Arial" w:eastAsia="Arial" w:hAnsi="Arial"/>
                <w:sz w:val="20"/>
                <w:szCs w:val="20"/>
                <w:color w:val="0000EE"/>
                <w:w w:val="98"/>
              </w:rPr>
            </w:pPr>
            <w:hyperlink w:anchor="page28">
              <w:r>
                <w:rPr>
                  <w:rFonts w:ascii="Arial" w:cs="Arial" w:eastAsia="Arial" w:hAnsi="Arial"/>
                  <w:sz w:val="20"/>
                  <w:szCs w:val="20"/>
                  <w:color w:val="0000EE"/>
                  <w:w w:val="98"/>
                </w:rPr>
                <w:t>Termination and Change-in-Control Arrangements</w:t>
              </w:r>
            </w:hyperlink>
          </w:p>
        </w:tc>
        <w:tc>
          <w:tcPr>
            <w:tcW w:w="364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20" w:type="dxa"/>
            <w:vAlign w:val="bottom"/>
            <w:gridSpan w:val="22"/>
          </w:tcPr>
          <w:p>
            <w:pPr>
              <w:spacing w:after="0" w:line="196" w:lineRule="exact"/>
              <w:rPr>
                <w:rFonts w:ascii="Arial" w:cs="Arial" w:eastAsia="Arial" w:hAnsi="Arial"/>
                <w:sz w:val="20"/>
                <w:szCs w:val="20"/>
                <w:color w:val="0000EE"/>
              </w:rPr>
            </w:pPr>
            <w:hyperlink w:anchor="page28">
              <w:r>
                <w:rPr>
                  <w:rFonts w:ascii="Arial" w:cs="Arial" w:eastAsia="Arial" w:hAnsi="Arial"/>
                  <w:sz w:val="20"/>
                  <w:szCs w:val="20"/>
                  <w:color w:val="0000EE"/>
                </w:rPr>
                <w:t xml:space="preserve">Deductibility of Executive Compensation in Excess of </w:t>
              </w:r>
              <w:r>
                <w:rPr>
                  <w:rFonts w:ascii="Arial" w:cs="Arial" w:eastAsia="Arial" w:hAnsi="Arial"/>
                  <w:sz w:val="20"/>
                  <w:szCs w:val="20"/>
                  <w:u w:val="single" w:color="auto"/>
                  <w:color w:val="0000EE"/>
                </w:rPr>
                <w:t>$</w:t>
              </w:r>
              <w:r>
                <w:rPr>
                  <w:rFonts w:ascii="Arial" w:cs="Arial" w:eastAsia="Arial" w:hAnsi="Arial"/>
                  <w:sz w:val="20"/>
                  <w:szCs w:val="20"/>
                  <w:color w:val="0000EE"/>
                </w:rPr>
                <w:t>1.0 Million</w:t>
              </w:r>
            </w:hyperlink>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22</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40" w:type="dxa"/>
            <w:vAlign w:val="bottom"/>
            <w:gridSpan w:val="24"/>
          </w:tcPr>
          <w:p>
            <w:pPr>
              <w:spacing w:after="0" w:line="196" w:lineRule="exact"/>
              <w:rPr>
                <w:rFonts w:ascii="Arial" w:cs="Arial" w:eastAsia="Arial" w:hAnsi="Arial"/>
                <w:sz w:val="20"/>
                <w:szCs w:val="20"/>
                <w:color w:val="0000EE"/>
              </w:rPr>
            </w:pPr>
            <w:hyperlink w:anchor="page28">
              <w:r>
                <w:rPr>
                  <w:rFonts w:ascii="Arial" w:cs="Arial" w:eastAsia="Arial" w:hAnsi="Arial"/>
                  <w:sz w:val="20"/>
                  <w:szCs w:val="20"/>
                  <w:color w:val="0000EE"/>
                </w:rPr>
                <w:t>Compensation Committee Report</w:t>
              </w:r>
            </w:hyperlink>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20"/>
                <w:szCs w:val="20"/>
                <w:color w:val="0000EE"/>
                <w:w w:val="97"/>
              </w:rPr>
            </w:pPr>
            <w:hyperlink w:anchor="page29">
              <w:r>
                <w:rPr>
                  <w:rFonts w:ascii="Arial" w:cs="Arial" w:eastAsia="Arial" w:hAnsi="Arial"/>
                  <w:sz w:val="20"/>
                  <w:szCs w:val="20"/>
                  <w:color w:val="0000EE"/>
                  <w:w w:val="97"/>
                </w:rPr>
                <w:t>Summary Compensation Table</w:t>
              </w:r>
            </w:hyperlink>
          </w:p>
        </w:tc>
        <w:tc>
          <w:tcPr>
            <w:tcW w:w="240" w:type="dxa"/>
            <w:vAlign w:val="bottom"/>
            <w:tcBorders>
              <w:top w:val="single" w:sz="8" w:color="0000EE"/>
            </w:tcBorders>
            <w:gridSpan w:val="2"/>
          </w:tcPr>
          <w:p>
            <w:pPr>
              <w:spacing w:after="0"/>
              <w:rPr>
                <w:sz w:val="17"/>
                <w:szCs w:val="17"/>
                <w:color w:val="auto"/>
              </w:rPr>
            </w:pPr>
          </w:p>
        </w:tc>
        <w:tc>
          <w:tcPr>
            <w:tcW w:w="580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40" w:type="dxa"/>
            <w:vAlign w:val="bottom"/>
            <w:gridSpan w:val="24"/>
          </w:tcPr>
          <w:p>
            <w:pPr>
              <w:spacing w:after="0" w:line="196" w:lineRule="exact"/>
              <w:rPr>
                <w:rFonts w:ascii="Arial" w:cs="Arial" w:eastAsia="Arial" w:hAnsi="Arial"/>
                <w:sz w:val="20"/>
                <w:szCs w:val="20"/>
                <w:color w:val="0000EE"/>
              </w:rPr>
            </w:pPr>
            <w:hyperlink w:anchor="page30">
              <w:r>
                <w:rPr>
                  <w:rFonts w:ascii="Arial" w:cs="Arial" w:eastAsia="Arial" w:hAnsi="Arial"/>
                  <w:sz w:val="20"/>
                  <w:szCs w:val="20"/>
                  <w:color w:val="0000EE"/>
                </w:rPr>
                <w:t>Grants of Plan-Based Awards Table</w:t>
              </w:r>
            </w:hyperlink>
          </w:p>
        </w:tc>
        <w:tc>
          <w:tcPr>
            <w:tcW w:w="1820" w:type="dxa"/>
            <w:vAlign w:val="bottom"/>
          </w:tcPr>
          <w:p>
            <w:pPr>
              <w:jc w:val="right"/>
              <w:spacing w:after="0" w:line="196" w:lineRule="exact"/>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gridSpan w:val="14"/>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82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24</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40" w:type="dxa"/>
            <w:vAlign w:val="bottom"/>
            <w:gridSpan w:val="24"/>
          </w:tcPr>
          <w:p>
            <w:pPr>
              <w:spacing w:after="0" w:line="196" w:lineRule="exact"/>
              <w:rPr>
                <w:rFonts w:ascii="Arial" w:cs="Arial" w:eastAsia="Arial" w:hAnsi="Arial"/>
                <w:sz w:val="20"/>
                <w:szCs w:val="20"/>
                <w:color w:val="0000EE"/>
              </w:rPr>
            </w:pPr>
            <w:hyperlink w:anchor="page30">
              <w:r>
                <w:rPr>
                  <w:rFonts w:ascii="Arial" w:cs="Arial" w:eastAsia="Arial" w:hAnsi="Arial"/>
                  <w:sz w:val="20"/>
                  <w:szCs w:val="20"/>
                  <w:color w:val="0000EE"/>
                </w:rPr>
                <w:t>Outstanding Equity Awards at Fiscal Year-End Table</w:t>
              </w:r>
            </w:hyperlink>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459" w:right="4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800" w:type="dxa"/>
            <w:vAlign w:val="bottom"/>
            <w:gridSpan w:val="6"/>
          </w:tcPr>
          <w:p>
            <w:pPr>
              <w:spacing w:after="0"/>
              <w:rPr>
                <w:sz w:val="17"/>
                <w:szCs w:val="17"/>
                <w:color w:val="auto"/>
              </w:rPr>
            </w:pPr>
          </w:p>
        </w:tc>
        <w:tc>
          <w:tcPr>
            <w:tcW w:w="3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680" w:type="dxa"/>
            <w:vAlign w:val="bottom"/>
          </w:tcPr>
          <w:p>
            <w:pPr>
              <w:spacing w:after="0"/>
              <w:rPr>
                <w:sz w:val="24"/>
                <w:szCs w:val="24"/>
                <w:color w:val="auto"/>
              </w:rPr>
            </w:pPr>
          </w:p>
        </w:tc>
        <w:tc>
          <w:tcPr>
            <w:tcW w:w="3620" w:type="dxa"/>
            <w:vAlign w:val="bottom"/>
            <w:gridSpan w:val="4"/>
            <w:vMerge w:val="restart"/>
          </w:tcPr>
          <w:p>
            <w:pPr>
              <w:spacing w:after="0"/>
              <w:rPr>
                <w:rFonts w:ascii="Arial" w:cs="Arial" w:eastAsia="Arial" w:hAnsi="Arial"/>
                <w:sz w:val="20"/>
                <w:szCs w:val="20"/>
                <w:color w:val="0000EE"/>
                <w:w w:val="97"/>
              </w:rPr>
            </w:pPr>
            <w:hyperlink w:anchor="page31">
              <w:r>
                <w:rPr>
                  <w:rFonts w:ascii="Arial" w:cs="Arial" w:eastAsia="Arial" w:hAnsi="Arial"/>
                  <w:sz w:val="20"/>
                  <w:szCs w:val="20"/>
                  <w:color w:val="0000EE"/>
                  <w:w w:val="97"/>
                </w:rPr>
                <w:t>Option Exercises and Stock Vested Table</w:t>
              </w:r>
            </w:hyperlink>
          </w:p>
        </w:tc>
        <w:tc>
          <w:tcPr>
            <w:tcW w:w="2860" w:type="dxa"/>
            <w:vAlign w:val="bottom"/>
            <w:gridSpan w:val="3"/>
            <w:vMerge w:val="restart"/>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Arial" w:cs="Arial" w:eastAsia="Arial" w:hAnsi="Arial"/>
                <w:sz w:val="20"/>
                <w:szCs w:val="20"/>
                <w:b w:val="1"/>
                <w:bCs w:val="1"/>
                <w:color w:val="1F2A44"/>
              </w:rPr>
              <w:t>Page</w:t>
            </w:r>
          </w:p>
        </w:tc>
        <w:tc>
          <w:tcPr>
            <w:tcW w:w="0" w:type="dxa"/>
            <w:vAlign w:val="bottom"/>
          </w:tcPr>
          <w:p>
            <w:pPr>
              <w:spacing w:after="0"/>
              <w:rPr>
                <w:sz w:val="1"/>
                <w:szCs w:val="1"/>
                <w:color w:val="auto"/>
              </w:rPr>
            </w:pPr>
          </w:p>
        </w:tc>
      </w:tr>
      <w:tr>
        <w:trPr>
          <w:trHeight w:val="174"/>
        </w:trPr>
        <w:tc>
          <w:tcPr>
            <w:tcW w:w="680" w:type="dxa"/>
            <w:vAlign w:val="bottom"/>
          </w:tcPr>
          <w:p>
            <w:pPr>
              <w:spacing w:after="0"/>
              <w:rPr>
                <w:sz w:val="14"/>
                <w:szCs w:val="14"/>
                <w:color w:val="auto"/>
              </w:rPr>
            </w:pPr>
          </w:p>
        </w:tc>
        <w:tc>
          <w:tcPr>
            <w:tcW w:w="3620" w:type="dxa"/>
            <w:vAlign w:val="bottom"/>
            <w:tcBorders>
              <w:bottom w:val="single" w:sz="8" w:color="0000EE"/>
            </w:tcBorders>
            <w:gridSpan w:val="4"/>
            <w:vMerge w:val="continue"/>
          </w:tcPr>
          <w:p>
            <w:pPr>
              <w:spacing w:after="0"/>
              <w:rPr>
                <w:sz w:val="14"/>
                <w:szCs w:val="14"/>
                <w:color w:val="auto"/>
              </w:rPr>
            </w:pPr>
          </w:p>
        </w:tc>
        <w:tc>
          <w:tcPr>
            <w:tcW w:w="2860" w:type="dxa"/>
            <w:vAlign w:val="bottom"/>
            <w:gridSpan w:val="3"/>
            <w:vMerge w:val="continue"/>
          </w:tcPr>
          <w:p>
            <w:pPr>
              <w:spacing w:after="0"/>
              <w:rPr>
                <w:sz w:val="14"/>
                <w:szCs w:val="14"/>
                <w:color w:val="auto"/>
              </w:rPr>
            </w:pPr>
          </w:p>
        </w:tc>
        <w:tc>
          <w:tcPr>
            <w:tcW w:w="3520" w:type="dxa"/>
            <w:vAlign w:val="bottom"/>
          </w:tcPr>
          <w:p>
            <w:pPr>
              <w:spacing w:after="0"/>
              <w:rPr>
                <w:sz w:val="14"/>
                <w:szCs w:val="14"/>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6480" w:type="dxa"/>
            <w:vAlign w:val="bottom"/>
            <w:gridSpan w:val="7"/>
          </w:tcPr>
          <w:p>
            <w:pPr>
              <w:spacing w:after="0" w:line="209" w:lineRule="exact"/>
              <w:rPr>
                <w:rFonts w:ascii="Arial" w:cs="Arial" w:eastAsia="Arial" w:hAnsi="Arial"/>
                <w:sz w:val="20"/>
                <w:szCs w:val="20"/>
                <w:color w:val="0000EE"/>
              </w:rPr>
            </w:pPr>
            <w:hyperlink w:anchor="page31">
              <w:r>
                <w:rPr>
                  <w:rFonts w:ascii="Arial" w:cs="Arial" w:eastAsia="Arial" w:hAnsi="Arial"/>
                  <w:sz w:val="20"/>
                  <w:szCs w:val="20"/>
                  <w:color w:val="0000EE"/>
                </w:rPr>
                <w:t>Non-Qualified Deferred Compensation Table</w:t>
              </w:r>
            </w:hyperlink>
          </w:p>
        </w:tc>
        <w:tc>
          <w:tcPr>
            <w:tcW w:w="40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gridSpan w:val="2"/>
            <w:vMerge w:val="restart"/>
          </w:tcPr>
          <w:p>
            <w:pPr>
              <w:jc w:val="right"/>
              <w:spacing w:after="0" w:line="216" w:lineRule="exact"/>
              <w:rPr>
                <w:sz w:val="20"/>
                <w:szCs w:val="20"/>
                <w:color w:val="auto"/>
              </w:rPr>
            </w:pPr>
            <w:r>
              <w:rPr>
                <w:rFonts w:ascii="Arial" w:cs="Arial" w:eastAsia="Arial" w:hAnsi="Arial"/>
                <w:sz w:val="20"/>
                <w:szCs w:val="20"/>
                <w:color w:val="auto"/>
              </w:rPr>
              <w:t>25</w:t>
            </w: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480" w:type="dxa"/>
            <w:vAlign w:val="bottom"/>
            <w:tcBorders>
              <w:bottom w:val="single" w:sz="8" w:color="0000EE"/>
            </w:tcBorders>
            <w:gridSpan w:val="7"/>
          </w:tcPr>
          <w:p>
            <w:pPr>
              <w:spacing w:after="0" w:line="196" w:lineRule="exact"/>
              <w:rPr>
                <w:rFonts w:ascii="Arial" w:cs="Arial" w:eastAsia="Arial" w:hAnsi="Arial"/>
                <w:sz w:val="20"/>
                <w:szCs w:val="20"/>
                <w:color w:val="0000EE"/>
                <w:w w:val="98"/>
              </w:rPr>
            </w:pPr>
            <w:hyperlink w:anchor="page31">
              <w:r>
                <w:rPr>
                  <w:rFonts w:ascii="Arial" w:cs="Arial" w:eastAsia="Arial" w:hAnsi="Arial"/>
                  <w:sz w:val="20"/>
                  <w:szCs w:val="20"/>
                  <w:color w:val="0000EE"/>
                  <w:w w:val="98"/>
                </w:rPr>
                <w:t>Potential Payments on Termination of Employment and Change-in-Control</w:t>
              </w:r>
            </w:hyperlink>
          </w:p>
        </w:tc>
        <w:tc>
          <w:tcPr>
            <w:tcW w:w="4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360" w:type="dxa"/>
            <w:vAlign w:val="bottom"/>
            <w:tcBorders>
              <w:bottom w:val="single" w:sz="8" w:color="0000EE"/>
            </w:tcBorders>
            <w:gridSpan w:val="6"/>
          </w:tcPr>
          <w:p>
            <w:pPr>
              <w:spacing w:after="0" w:line="196" w:lineRule="exact"/>
              <w:rPr>
                <w:rFonts w:ascii="Arial" w:cs="Arial" w:eastAsia="Arial" w:hAnsi="Arial"/>
                <w:sz w:val="20"/>
                <w:szCs w:val="20"/>
                <w:color w:val="0000EE"/>
                <w:w w:val="98"/>
              </w:rPr>
            </w:pPr>
            <w:hyperlink w:anchor="page33">
              <w:r>
                <w:rPr>
                  <w:rFonts w:ascii="Arial" w:cs="Arial" w:eastAsia="Arial" w:hAnsi="Arial"/>
                  <w:sz w:val="20"/>
                  <w:szCs w:val="20"/>
                  <w:color w:val="0000EE"/>
                  <w:w w:val="98"/>
                </w:rPr>
                <w:t>Compensation Committee Interlocks and Insider Participation</w:t>
              </w:r>
            </w:hyperlink>
          </w:p>
        </w:tc>
        <w:tc>
          <w:tcPr>
            <w:tcW w:w="1120" w:type="dxa"/>
            <w:vAlign w:val="bottom"/>
          </w:tcPr>
          <w:p>
            <w:pPr>
              <w:spacing w:after="0"/>
              <w:rPr>
                <w:sz w:val="17"/>
                <w:szCs w:val="17"/>
                <w:color w:val="auto"/>
              </w:rPr>
            </w:pPr>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20"/>
                <w:szCs w:val="20"/>
                <w:color w:val="0000EE"/>
                <w:w w:val="97"/>
              </w:rPr>
            </w:pPr>
            <w:hyperlink w:anchor="page33">
              <w:r>
                <w:rPr>
                  <w:rFonts w:ascii="Arial" w:cs="Arial" w:eastAsia="Arial" w:hAnsi="Arial"/>
                  <w:sz w:val="20"/>
                  <w:szCs w:val="20"/>
                  <w:color w:val="0000EE"/>
                  <w:w w:val="97"/>
                </w:rPr>
                <w:t>CEO Pay Ratio</w:t>
              </w:r>
            </w:hyperlink>
          </w:p>
        </w:tc>
        <w:tc>
          <w:tcPr>
            <w:tcW w:w="5140" w:type="dxa"/>
            <w:vAlign w:val="bottom"/>
            <w:gridSpan w:val="5"/>
          </w:tcPr>
          <w:p>
            <w:pPr>
              <w:spacing w:after="0"/>
              <w:rPr>
                <w:sz w:val="17"/>
                <w:szCs w:val="17"/>
                <w:color w:val="auto"/>
              </w:rPr>
            </w:pPr>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480" w:type="dxa"/>
            <w:vAlign w:val="bottom"/>
            <w:gridSpan w:val="7"/>
          </w:tcPr>
          <w:p>
            <w:pPr>
              <w:spacing w:after="0" w:line="196" w:lineRule="exact"/>
              <w:rPr>
                <w:rFonts w:ascii="Arial" w:cs="Arial" w:eastAsia="Arial" w:hAnsi="Arial"/>
                <w:sz w:val="20"/>
                <w:szCs w:val="20"/>
                <w:color w:val="0000EE"/>
              </w:rPr>
            </w:pPr>
            <w:hyperlink w:anchor="page33">
              <w:r>
                <w:rPr>
                  <w:rFonts w:ascii="Arial" w:cs="Arial" w:eastAsia="Arial" w:hAnsi="Arial"/>
                  <w:sz w:val="20"/>
                  <w:szCs w:val="20"/>
                  <w:color w:val="0000EE"/>
                </w:rPr>
                <w:t>Equity Compensation Plan Information</w:t>
              </w:r>
            </w:hyperlink>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60" w:type="dxa"/>
            <w:vAlign w:val="bottom"/>
            <w:tcBorders>
              <w:bottom w:val="single" w:sz="8" w:color="1F2A44"/>
            </w:tcBorders>
            <w:shd w:val="clear" w:color="auto" w:fill="1F2A44"/>
          </w:tcPr>
          <w:p>
            <w:pPr>
              <w:spacing w:after="0"/>
              <w:rPr>
                <w:sz w:val="21"/>
                <w:szCs w:val="21"/>
                <w:color w:val="auto"/>
              </w:rPr>
            </w:pPr>
          </w:p>
        </w:tc>
        <w:tc>
          <w:tcPr>
            <w:tcW w:w="8360" w:type="dxa"/>
            <w:vAlign w:val="bottom"/>
            <w:tcBorders>
              <w:bottom w:val="single" w:sz="8" w:color="1F2A44"/>
            </w:tcBorders>
            <w:gridSpan w:val="6"/>
            <w:shd w:val="clear" w:color="auto" w:fill="1F2A44"/>
          </w:tcPr>
          <w:p>
            <w:pPr>
              <w:spacing w:after="0"/>
              <w:rPr>
                <w:rFonts w:ascii="Arial" w:cs="Arial" w:eastAsia="Arial" w:hAnsi="Arial"/>
                <w:sz w:val="20"/>
                <w:szCs w:val="20"/>
                <w:b w:val="1"/>
                <w:bCs w:val="1"/>
                <w:color w:val="0000EE"/>
              </w:rPr>
            </w:pPr>
            <w:hyperlink w:anchor="page34">
              <w:r>
                <w:rPr>
                  <w:rFonts w:ascii="Arial" w:cs="Arial" w:eastAsia="Arial" w:hAnsi="Arial"/>
                  <w:sz w:val="20"/>
                  <w:szCs w:val="20"/>
                  <w:b w:val="1"/>
                  <w:bCs w:val="1"/>
                  <w:color w:val="0000EE"/>
                </w:rPr>
                <w:t>Audit Information</w:t>
              </w:r>
            </w:hyperlink>
          </w:p>
        </w:tc>
        <w:tc>
          <w:tcPr>
            <w:tcW w:w="2600" w:type="dxa"/>
            <w:vAlign w:val="bottom"/>
            <w:tcBorders>
              <w:bottom w:val="single" w:sz="8" w:color="1F2A44"/>
            </w:tcBorders>
            <w:shd w:val="clear" w:color="auto" w:fill="1F2A44"/>
          </w:tcPr>
          <w:p>
            <w:pPr>
              <w:jc w:val="right"/>
              <w:spacing w:after="0"/>
              <w:rPr>
                <w:sz w:val="20"/>
                <w:szCs w:val="20"/>
                <w:color w:val="auto"/>
              </w:rPr>
            </w:pPr>
            <w:r>
              <w:rPr>
                <w:rFonts w:ascii="Arial" w:cs="Arial" w:eastAsia="Arial" w:hAnsi="Arial"/>
                <w:sz w:val="20"/>
                <w:szCs w:val="20"/>
                <w:b w:val="1"/>
                <w:bCs w:val="1"/>
                <w:color w:val="FFFFFF"/>
              </w:rPr>
              <w:t>28</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60" w:type="dxa"/>
            <w:vAlign w:val="bottom"/>
            <w:gridSpan w:val="5"/>
          </w:tcPr>
          <w:p>
            <w:pPr>
              <w:spacing w:after="0" w:line="176" w:lineRule="exact"/>
              <w:rPr>
                <w:rFonts w:ascii="Arial" w:cs="Arial" w:eastAsia="Arial" w:hAnsi="Arial"/>
                <w:sz w:val="20"/>
                <w:szCs w:val="20"/>
                <w:color w:val="0000EE"/>
              </w:rPr>
            </w:pPr>
            <w:hyperlink w:anchor="page34">
              <w:r>
                <w:rPr>
                  <w:rFonts w:ascii="Arial" w:cs="Arial" w:eastAsia="Arial" w:hAnsi="Arial"/>
                  <w:sz w:val="20"/>
                  <w:szCs w:val="20"/>
                  <w:color w:val="0000EE"/>
                </w:rPr>
                <w:t>Proposal 3—Non-Binding Ratification of Independent Registered Public Accounting Firm</w:t>
              </w:r>
            </w:hyperlink>
          </w:p>
        </w:tc>
        <w:tc>
          <w:tcPr>
            <w:tcW w:w="2600" w:type="dxa"/>
            <w:vAlign w:val="bottom"/>
          </w:tcPr>
          <w:p>
            <w:pPr>
              <w:jc w:val="right"/>
              <w:spacing w:after="0" w:line="17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tcBorders>
              <w:top w:val="single" w:sz="8" w:color="0000EE"/>
            </w:tcBorders>
            <w:gridSpan w:val="4"/>
          </w:tcPr>
          <w:p>
            <w:pPr>
              <w:spacing w:after="0" w:line="196" w:lineRule="exact"/>
              <w:rPr>
                <w:rFonts w:ascii="Arial" w:cs="Arial" w:eastAsia="Arial" w:hAnsi="Arial"/>
                <w:sz w:val="20"/>
                <w:szCs w:val="20"/>
                <w:color w:val="0000EE"/>
              </w:rPr>
            </w:pPr>
            <w:hyperlink w:anchor="page35">
              <w:r>
                <w:rPr>
                  <w:rFonts w:ascii="Arial" w:cs="Arial" w:eastAsia="Arial" w:hAnsi="Arial"/>
                  <w:sz w:val="20"/>
                  <w:szCs w:val="20"/>
                  <w:color w:val="0000EE"/>
                </w:rPr>
                <w:t>Audit Committee Report</w:t>
              </w:r>
            </w:hyperlink>
          </w:p>
        </w:tc>
        <w:tc>
          <w:tcPr>
            <w:tcW w:w="180" w:type="dxa"/>
            <w:vAlign w:val="bottom"/>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60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30</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tcBorders>
              <w:bottom w:val="single" w:sz="8" w:color="0000EE"/>
            </w:tcBorders>
            <w:gridSpan w:val="3"/>
          </w:tcPr>
          <w:p>
            <w:pPr>
              <w:spacing w:after="0" w:line="196" w:lineRule="exact"/>
              <w:rPr>
                <w:rFonts w:ascii="Arial" w:cs="Arial" w:eastAsia="Arial" w:hAnsi="Arial"/>
                <w:sz w:val="20"/>
                <w:szCs w:val="20"/>
                <w:color w:val="0000EE"/>
                <w:w w:val="98"/>
              </w:rPr>
            </w:pPr>
            <w:hyperlink w:anchor="page36">
              <w:r>
                <w:rPr>
                  <w:rFonts w:ascii="Arial" w:cs="Arial" w:eastAsia="Arial" w:hAnsi="Arial"/>
                  <w:sz w:val="20"/>
                  <w:szCs w:val="20"/>
                  <w:color w:val="0000EE"/>
                  <w:w w:val="98"/>
                </w:rPr>
                <w:t>Independent Auditor’s Fees</w:t>
              </w:r>
            </w:hyperlink>
          </w:p>
        </w:tc>
        <w:tc>
          <w:tcPr>
            <w:tcW w:w="5540" w:type="dxa"/>
            <w:vAlign w:val="bottom"/>
            <w:gridSpan w:val="2"/>
          </w:tcPr>
          <w:p>
            <w:pPr>
              <w:spacing w:after="0"/>
              <w:rPr>
                <w:sz w:val="17"/>
                <w:szCs w:val="17"/>
                <w:color w:val="auto"/>
              </w:rPr>
            </w:pPr>
          </w:p>
        </w:tc>
        <w:tc>
          <w:tcPr>
            <w:tcW w:w="2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tcBorders>
              <w:bottom w:val="single" w:sz="8" w:color="0000EE"/>
            </w:tcBorders>
            <w:gridSpan w:val="5"/>
          </w:tcPr>
          <w:p>
            <w:pPr>
              <w:spacing w:after="0" w:line="196" w:lineRule="exact"/>
              <w:rPr>
                <w:rFonts w:ascii="Arial" w:cs="Arial" w:eastAsia="Arial" w:hAnsi="Arial"/>
                <w:sz w:val="20"/>
                <w:szCs w:val="20"/>
                <w:color w:val="0000EE"/>
                <w:w w:val="98"/>
              </w:rPr>
            </w:pPr>
            <w:hyperlink w:anchor="page36">
              <w:r>
                <w:rPr>
                  <w:rFonts w:ascii="Arial" w:cs="Arial" w:eastAsia="Arial" w:hAnsi="Arial"/>
                  <w:sz w:val="20"/>
                  <w:szCs w:val="20"/>
                  <w:color w:val="0000EE"/>
                  <w:w w:val="98"/>
                </w:rPr>
                <w:t>Procedures for Audit Committee Pre-Approval of Audit and Permissible Non-Audit Services</w:t>
              </w:r>
            </w:hyperlink>
          </w:p>
        </w:tc>
        <w:tc>
          <w:tcPr>
            <w:tcW w:w="2600" w:type="dxa"/>
            <w:vAlign w:val="bottom"/>
          </w:tcPr>
          <w:p>
            <w:pPr>
              <w:jc w:val="right"/>
              <w:spacing w:after="0" w:line="19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60" w:type="dxa"/>
            <w:vAlign w:val="bottom"/>
            <w:tcBorders>
              <w:bottom w:val="single" w:sz="8" w:color="1F2A44"/>
            </w:tcBorders>
            <w:shd w:val="clear" w:color="auto" w:fill="1F2A44"/>
          </w:tcPr>
          <w:p>
            <w:pPr>
              <w:spacing w:after="0"/>
              <w:rPr>
                <w:sz w:val="21"/>
                <w:szCs w:val="21"/>
                <w:color w:val="auto"/>
              </w:rPr>
            </w:pPr>
          </w:p>
        </w:tc>
        <w:tc>
          <w:tcPr>
            <w:tcW w:w="5500" w:type="dxa"/>
            <w:vAlign w:val="bottom"/>
            <w:tcBorders>
              <w:bottom w:val="single" w:sz="8" w:color="1F2A44"/>
            </w:tcBorders>
            <w:gridSpan w:val="5"/>
            <w:shd w:val="clear" w:color="auto" w:fill="1F2A44"/>
          </w:tcPr>
          <w:p>
            <w:pPr>
              <w:spacing w:after="0"/>
              <w:rPr>
                <w:rFonts w:ascii="Arial" w:cs="Arial" w:eastAsia="Arial" w:hAnsi="Arial"/>
                <w:sz w:val="20"/>
                <w:szCs w:val="20"/>
                <w:b w:val="1"/>
                <w:bCs w:val="1"/>
                <w:color w:val="0000EE"/>
              </w:rPr>
            </w:pPr>
            <w:hyperlink w:anchor="page37">
              <w:r>
                <w:rPr>
                  <w:rFonts w:ascii="Arial" w:cs="Arial" w:eastAsia="Arial" w:hAnsi="Arial"/>
                  <w:sz w:val="20"/>
                  <w:szCs w:val="20"/>
                  <w:b w:val="1"/>
                  <w:bCs w:val="1"/>
                  <w:color w:val="0000EE"/>
                </w:rPr>
                <w:t>Ownership Information</w:t>
              </w:r>
            </w:hyperlink>
          </w:p>
        </w:tc>
        <w:tc>
          <w:tcPr>
            <w:tcW w:w="5460" w:type="dxa"/>
            <w:vAlign w:val="bottom"/>
            <w:tcBorders>
              <w:bottom w:val="single" w:sz="8" w:color="1F2A44"/>
            </w:tcBorders>
            <w:shd w:val="clear" w:color="auto" w:fill="1F2A44"/>
          </w:tcPr>
          <w:p>
            <w:pPr>
              <w:jc w:val="right"/>
              <w:spacing w:after="0"/>
              <w:rPr>
                <w:sz w:val="20"/>
                <w:szCs w:val="20"/>
                <w:color w:val="auto"/>
              </w:rPr>
            </w:pPr>
            <w:r>
              <w:rPr>
                <w:rFonts w:ascii="Arial" w:cs="Arial" w:eastAsia="Arial" w:hAnsi="Arial"/>
                <w:sz w:val="20"/>
                <w:szCs w:val="20"/>
                <w:b w:val="1"/>
                <w:bCs w:val="1"/>
                <w:color w:val="FFFFFF"/>
              </w:rPr>
              <w:t>31</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100" w:type="dxa"/>
            <w:vAlign w:val="bottom"/>
            <w:gridSpan w:val="4"/>
          </w:tcPr>
          <w:p>
            <w:pPr>
              <w:spacing w:after="0" w:line="176" w:lineRule="exact"/>
              <w:rPr>
                <w:rFonts w:ascii="Arial" w:cs="Arial" w:eastAsia="Arial" w:hAnsi="Arial"/>
                <w:sz w:val="20"/>
                <w:szCs w:val="20"/>
                <w:color w:val="0000EE"/>
              </w:rPr>
            </w:pPr>
            <w:hyperlink w:anchor="page37">
              <w:r>
                <w:rPr>
                  <w:rFonts w:ascii="Arial" w:cs="Arial" w:eastAsia="Arial" w:hAnsi="Arial"/>
                  <w:sz w:val="20"/>
                  <w:szCs w:val="20"/>
                  <w:color w:val="0000EE"/>
                </w:rPr>
                <w:t>Ownership of Principal Shareholders</w:t>
              </w:r>
            </w:hyperlink>
          </w:p>
        </w:tc>
        <w:tc>
          <w:tcPr>
            <w:tcW w:w="5460" w:type="dxa"/>
            <w:vAlign w:val="bottom"/>
          </w:tcPr>
          <w:p>
            <w:pPr>
              <w:jc w:val="right"/>
              <w:spacing w:after="0" w:line="176"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6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00" w:type="dxa"/>
            <w:vAlign w:val="bottom"/>
            <w:gridSpan w:val="4"/>
          </w:tcPr>
          <w:p>
            <w:pPr>
              <w:spacing w:after="0" w:line="196" w:lineRule="exact"/>
              <w:rPr>
                <w:rFonts w:ascii="Arial" w:cs="Arial" w:eastAsia="Arial" w:hAnsi="Arial"/>
                <w:sz w:val="20"/>
                <w:szCs w:val="20"/>
                <w:color w:val="0000EE"/>
              </w:rPr>
            </w:pPr>
            <w:hyperlink w:anchor="page38">
              <w:r>
                <w:rPr>
                  <w:rFonts w:ascii="Arial" w:cs="Arial" w:eastAsia="Arial" w:hAnsi="Arial"/>
                  <w:sz w:val="20"/>
                  <w:szCs w:val="20"/>
                  <w:color w:val="0000EE"/>
                </w:rPr>
                <w:t>Ownership of Trustees and Executive Officers</w:t>
              </w:r>
            </w:hyperlink>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6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00" w:type="dxa"/>
            <w:vAlign w:val="bottom"/>
            <w:tcBorders>
              <w:bottom w:val="single" w:sz="8" w:color="0000EE"/>
            </w:tcBorders>
            <w:gridSpan w:val="4"/>
          </w:tcPr>
          <w:p>
            <w:pPr>
              <w:spacing w:after="0" w:line="196" w:lineRule="exact"/>
              <w:rPr>
                <w:rFonts w:ascii="Arial" w:cs="Arial" w:eastAsia="Arial" w:hAnsi="Arial"/>
                <w:sz w:val="20"/>
                <w:szCs w:val="20"/>
                <w:color w:val="0000EE"/>
                <w:w w:val="98"/>
              </w:rPr>
            </w:pPr>
            <w:hyperlink w:anchor="page38">
              <w:r>
                <w:rPr>
                  <w:rFonts w:ascii="Arial" w:cs="Arial" w:eastAsia="Arial" w:hAnsi="Arial"/>
                  <w:sz w:val="20"/>
                  <w:szCs w:val="20"/>
                  <w:color w:val="0000EE"/>
                  <w:w w:val="98"/>
                </w:rPr>
                <w:t>Section 16(a) Beneficial Ownership Reporting Compliance</w:t>
              </w:r>
            </w:hyperlink>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60" w:type="dxa"/>
            <w:vAlign w:val="bottom"/>
            <w:tcBorders>
              <w:bottom w:val="single" w:sz="8" w:color="1F2A44"/>
            </w:tcBorders>
            <w:shd w:val="clear" w:color="auto" w:fill="1F2A44"/>
          </w:tcPr>
          <w:p>
            <w:pPr>
              <w:spacing w:after="0"/>
              <w:rPr>
                <w:sz w:val="21"/>
                <w:szCs w:val="21"/>
                <w:color w:val="auto"/>
              </w:rPr>
            </w:pPr>
          </w:p>
        </w:tc>
        <w:tc>
          <w:tcPr>
            <w:tcW w:w="8360" w:type="dxa"/>
            <w:vAlign w:val="bottom"/>
            <w:tcBorders>
              <w:bottom w:val="single" w:sz="8" w:color="1F2A44"/>
            </w:tcBorders>
            <w:gridSpan w:val="6"/>
            <w:shd w:val="clear" w:color="auto" w:fill="1F2A44"/>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General Information</w:t>
              </w:r>
            </w:hyperlink>
          </w:p>
        </w:tc>
        <w:tc>
          <w:tcPr>
            <w:tcW w:w="2600" w:type="dxa"/>
            <w:vAlign w:val="bottom"/>
            <w:tcBorders>
              <w:bottom w:val="single" w:sz="8" w:color="1F2A44"/>
            </w:tcBorders>
            <w:shd w:val="clear" w:color="auto" w:fill="1F2A44"/>
          </w:tcPr>
          <w:p>
            <w:pPr>
              <w:jc w:val="right"/>
              <w:spacing w:after="0"/>
              <w:rPr>
                <w:sz w:val="20"/>
                <w:szCs w:val="20"/>
                <w:color w:val="auto"/>
              </w:rPr>
            </w:pPr>
            <w:r>
              <w:rPr>
                <w:rFonts w:ascii="Arial" w:cs="Arial" w:eastAsia="Arial" w:hAnsi="Arial"/>
                <w:sz w:val="20"/>
                <w:szCs w:val="20"/>
                <w:b w:val="1"/>
                <w:bCs w:val="1"/>
                <w:color w:val="FFFFFF"/>
              </w:rPr>
              <w:t>33</w:t>
            </w:r>
          </w:p>
        </w:tc>
      </w:tr>
      <w:tr>
        <w:trPr>
          <w:trHeight w:val="176"/>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tcBorders>
              <w:bottom w:val="single" w:sz="8" w:color="0000EE"/>
            </w:tcBorders>
            <w:gridSpan w:val="2"/>
          </w:tcPr>
          <w:p>
            <w:pPr>
              <w:spacing w:after="0" w:line="176" w:lineRule="exact"/>
              <w:rPr>
                <w:rFonts w:ascii="Arial" w:cs="Arial" w:eastAsia="Arial" w:hAnsi="Arial"/>
                <w:sz w:val="20"/>
                <w:szCs w:val="20"/>
                <w:color w:val="0000EE"/>
                <w:w w:val="97"/>
              </w:rPr>
            </w:pPr>
            <w:hyperlink w:anchor="page39">
              <w:r>
                <w:rPr>
                  <w:rFonts w:ascii="Arial" w:cs="Arial" w:eastAsia="Arial" w:hAnsi="Arial"/>
                  <w:sz w:val="20"/>
                  <w:szCs w:val="20"/>
                  <w:color w:val="0000EE"/>
                  <w:w w:val="97"/>
                </w:rPr>
                <w:t>Annual Meeting and Voting</w:t>
              </w:r>
            </w:hyperlink>
          </w:p>
        </w:tc>
        <w:tc>
          <w:tcPr>
            <w:tcW w:w="5600" w:type="dxa"/>
            <w:vAlign w:val="bottom"/>
            <w:gridSpan w:val="3"/>
          </w:tcPr>
          <w:p>
            <w:pPr>
              <w:spacing w:after="0"/>
              <w:rPr>
                <w:sz w:val="15"/>
                <w:szCs w:val="15"/>
                <w:color w:val="auto"/>
              </w:rPr>
            </w:pPr>
          </w:p>
        </w:tc>
        <w:tc>
          <w:tcPr>
            <w:tcW w:w="2600" w:type="dxa"/>
            <w:vAlign w:val="bottom"/>
          </w:tcPr>
          <w:p>
            <w:pPr>
              <w:jc w:val="right"/>
              <w:spacing w:after="0" w:line="176" w:lineRule="exact"/>
              <w:rPr>
                <w:sz w:val="20"/>
                <w:szCs w:val="20"/>
                <w:color w:val="auto"/>
              </w:rPr>
            </w:pPr>
            <w:r>
              <w:rPr>
                <w:rFonts w:ascii="Arial" w:cs="Arial" w:eastAsia="Arial" w:hAnsi="Arial"/>
                <w:sz w:val="20"/>
                <w:szCs w:val="20"/>
                <w:color w:val="auto"/>
              </w:rPr>
              <w:t>33</w:t>
            </w: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5"/>
          </w:tcPr>
          <w:p>
            <w:pPr>
              <w:spacing w:after="0" w:line="196" w:lineRule="exact"/>
              <w:rPr>
                <w:rFonts w:ascii="Arial" w:cs="Arial" w:eastAsia="Arial" w:hAnsi="Arial"/>
                <w:sz w:val="20"/>
                <w:szCs w:val="20"/>
                <w:color w:val="0000EE"/>
              </w:rPr>
            </w:pPr>
            <w:hyperlink w:anchor="page40">
              <w:r>
                <w:rPr>
                  <w:rFonts w:ascii="Arial" w:cs="Arial" w:eastAsia="Arial" w:hAnsi="Arial"/>
                  <w:sz w:val="20"/>
                  <w:szCs w:val="20"/>
                  <w:color w:val="0000EE"/>
                </w:rPr>
                <w:t>Solicitation of Proxies, Shareholder Proposals and Other Matters</w:t>
              </w:r>
            </w:hyperlink>
          </w:p>
        </w:tc>
        <w:tc>
          <w:tcPr>
            <w:tcW w:w="2600" w:type="dxa"/>
            <w:vAlign w:val="bottom"/>
          </w:tcPr>
          <w:p>
            <w:pPr>
              <w:jc w:val="right"/>
              <w:spacing w:after="0" w:line="196" w:lineRule="exact"/>
              <w:rPr>
                <w:sz w:val="20"/>
                <w:szCs w:val="20"/>
                <w:color w:val="auto"/>
              </w:rPr>
            </w:pPr>
            <w:r>
              <w:rPr>
                <w:rFonts w:ascii="Arial" w:cs="Arial" w:eastAsia="Arial" w:hAnsi="Arial"/>
                <w:sz w:val="20"/>
                <w:szCs w:val="20"/>
                <w:color w:val="auto"/>
              </w:rPr>
              <w:t>34</w:t>
            </w:r>
          </w:p>
        </w:tc>
      </w:tr>
      <w:tr>
        <w:trPr>
          <w:trHeight w:val="223"/>
        </w:trPr>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230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189"/>
        </w:trPr>
        <w:tc>
          <w:tcPr>
            <w:tcW w:w="60" w:type="dxa"/>
            <w:vAlign w:val="bottom"/>
            <w:shd w:val="clear" w:color="auto" w:fill="1F2A44"/>
          </w:tcPr>
          <w:p>
            <w:pPr>
              <w:spacing w:after="0"/>
              <w:rPr>
                <w:sz w:val="16"/>
                <w:szCs w:val="16"/>
                <w:color w:val="auto"/>
              </w:rPr>
            </w:pPr>
          </w:p>
        </w:tc>
        <w:tc>
          <w:tcPr>
            <w:tcW w:w="8360" w:type="dxa"/>
            <w:vAlign w:val="bottom"/>
            <w:gridSpan w:val="6"/>
            <w:shd w:val="clear" w:color="auto" w:fill="1F2A44"/>
          </w:tcPr>
          <w:p>
            <w:pPr>
              <w:spacing w:after="0" w:line="189" w:lineRule="exact"/>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Appendix A—Funds From Operations</w:t>
              </w:r>
            </w:hyperlink>
          </w:p>
        </w:tc>
        <w:tc>
          <w:tcPr>
            <w:tcW w:w="2600" w:type="dxa"/>
            <w:vAlign w:val="bottom"/>
            <w:shd w:val="clear" w:color="auto" w:fill="1F2A44"/>
          </w:tcPr>
          <w:p>
            <w:pPr>
              <w:jc w:val="right"/>
              <w:spacing w:after="0" w:line="189" w:lineRule="exact"/>
              <w:rPr>
                <w:sz w:val="20"/>
                <w:szCs w:val="20"/>
                <w:color w:val="auto"/>
              </w:rPr>
            </w:pPr>
            <w:r>
              <w:rPr>
                <w:rFonts w:ascii="Arial" w:cs="Arial" w:eastAsia="Arial" w:hAnsi="Arial"/>
                <w:sz w:val="20"/>
                <w:szCs w:val="20"/>
                <w:b w:val="1"/>
                <w:bCs w:val="1"/>
                <w:color w:val="FFFFFF"/>
              </w:rPr>
              <w:t>35</w:t>
            </w:r>
          </w:p>
        </w:tc>
      </w:tr>
      <w:tr>
        <w:trPr>
          <w:trHeight w:val="20"/>
        </w:trPr>
        <w:tc>
          <w:tcPr>
            <w:tcW w:w="60" w:type="dxa"/>
            <w:vAlign w:val="bottom"/>
            <w:tcBorders>
              <w:top w:val="single" w:sz="8" w:color="1F2A44"/>
            </w:tcBorders>
            <w:shd w:val="clear" w:color="auto" w:fill="1F2A44"/>
          </w:tcPr>
          <w:p>
            <w:pPr>
              <w:spacing w:after="0" w:line="20" w:lineRule="exact"/>
              <w:rPr>
                <w:sz w:val="1"/>
                <w:szCs w:val="1"/>
                <w:color w:val="auto"/>
              </w:rPr>
            </w:pPr>
          </w:p>
        </w:tc>
        <w:tc>
          <w:tcPr>
            <w:tcW w:w="400" w:type="dxa"/>
            <w:vAlign w:val="bottom"/>
            <w:tcBorders>
              <w:top w:val="single" w:sz="8" w:color="0000EE"/>
            </w:tcBorders>
            <w:shd w:val="clear" w:color="auto" w:fill="1F2A44"/>
          </w:tcPr>
          <w:p>
            <w:pPr>
              <w:spacing w:after="0" w:line="20" w:lineRule="exact"/>
              <w:rPr>
                <w:sz w:val="1"/>
                <w:szCs w:val="1"/>
                <w:color w:val="auto"/>
              </w:rPr>
            </w:pPr>
          </w:p>
        </w:tc>
        <w:tc>
          <w:tcPr>
            <w:tcW w:w="1480" w:type="dxa"/>
            <w:vAlign w:val="bottom"/>
            <w:tcBorders>
              <w:top w:val="single" w:sz="8" w:color="0000EE"/>
            </w:tcBorders>
            <w:shd w:val="clear" w:color="auto" w:fill="1F2A44"/>
          </w:tcPr>
          <w:p>
            <w:pPr>
              <w:spacing w:after="0" w:line="20" w:lineRule="exact"/>
              <w:rPr>
                <w:sz w:val="1"/>
                <w:szCs w:val="1"/>
                <w:color w:val="auto"/>
              </w:rPr>
            </w:pPr>
          </w:p>
        </w:tc>
        <w:tc>
          <w:tcPr>
            <w:tcW w:w="880" w:type="dxa"/>
            <w:vAlign w:val="bottom"/>
            <w:tcBorders>
              <w:top w:val="single" w:sz="8" w:color="0000EE"/>
            </w:tcBorders>
            <w:shd w:val="clear" w:color="auto" w:fill="1F2A44"/>
          </w:tcPr>
          <w:p>
            <w:pPr>
              <w:spacing w:after="0" w:line="20" w:lineRule="exact"/>
              <w:rPr>
                <w:sz w:val="1"/>
                <w:szCs w:val="1"/>
                <w:color w:val="auto"/>
              </w:rPr>
            </w:pPr>
          </w:p>
        </w:tc>
        <w:tc>
          <w:tcPr>
            <w:tcW w:w="780" w:type="dxa"/>
            <w:vAlign w:val="bottom"/>
            <w:tcBorders>
              <w:top w:val="single" w:sz="8" w:color="0000EE"/>
            </w:tcBorders>
            <w:shd w:val="clear" w:color="auto" w:fill="1F2A44"/>
          </w:tcPr>
          <w:p>
            <w:pPr>
              <w:spacing w:after="0" w:line="20" w:lineRule="exact"/>
              <w:rPr>
                <w:sz w:val="1"/>
                <w:szCs w:val="1"/>
                <w:color w:val="auto"/>
              </w:rPr>
            </w:pPr>
          </w:p>
        </w:tc>
        <w:tc>
          <w:tcPr>
            <w:tcW w:w="2520" w:type="dxa"/>
            <w:vAlign w:val="bottom"/>
            <w:tcBorders>
              <w:top w:val="single" w:sz="8" w:color="1F2A44"/>
            </w:tcBorders>
            <w:shd w:val="clear" w:color="auto" w:fill="1F2A44"/>
          </w:tcPr>
          <w:p>
            <w:pPr>
              <w:spacing w:after="0" w:line="20" w:lineRule="exact"/>
              <w:rPr>
                <w:sz w:val="1"/>
                <w:szCs w:val="1"/>
                <w:color w:val="auto"/>
              </w:rPr>
            </w:pPr>
          </w:p>
        </w:tc>
        <w:tc>
          <w:tcPr>
            <w:tcW w:w="2300" w:type="dxa"/>
            <w:vAlign w:val="bottom"/>
            <w:tcBorders>
              <w:top w:val="single" w:sz="8" w:color="1F2A44"/>
            </w:tcBorders>
            <w:shd w:val="clear" w:color="auto" w:fill="1F2A44"/>
          </w:tcPr>
          <w:p>
            <w:pPr>
              <w:spacing w:after="0" w:line="20" w:lineRule="exact"/>
              <w:rPr>
                <w:sz w:val="1"/>
                <w:szCs w:val="1"/>
                <w:color w:val="auto"/>
              </w:rPr>
            </w:pPr>
          </w:p>
        </w:tc>
        <w:tc>
          <w:tcPr>
            <w:tcW w:w="2600" w:type="dxa"/>
            <w:vAlign w:val="bottom"/>
            <w:tcBorders>
              <w:top w:val="single" w:sz="8" w:color="1F2A44"/>
            </w:tcBorders>
            <w:shd w:val="clear" w:color="auto" w:fill="1F2A44"/>
          </w:tcPr>
          <w:p>
            <w:pPr>
              <w:spacing w:after="0" w:line="20" w:lineRule="exact"/>
              <w:rPr>
                <w:sz w:val="1"/>
                <w:szCs w:val="1"/>
                <w:color w:val="auto"/>
              </w:rPr>
            </w:pPr>
          </w:p>
        </w:tc>
      </w:tr>
    </w:tbl>
    <w:p>
      <w:pPr>
        <w:sectPr>
          <w:pgSz w:w="11900" w:h="16838" w:orient="portrait"/>
          <w:cols w:equalWidth="0" w:num="1">
            <w:col w:w="11240"/>
          </w:cols>
          <w:pgMar w:left="240" w:top="446"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FEDERAL REALTY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Federal Realty Investment Trust is a recognized leader in the ownership, operation and redevelopment of high-quality retail based real estate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combine shopping, dining, living and working and provide a destination experience that serves the needs of the broader surrounding community. Federal Realty’s 104 properties include approximately 3,000 tenants, in approximately 24 million square feet, and over 2,300 residential units.</w:t>
      </w:r>
    </w:p>
    <w:p>
      <w:pPr>
        <w:spacing w:after="0" w:line="168"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Throughout this proxy statement, we use the terms “Federal”, “Company”, “Trust”, “we”, “our” and “us” to refer to Federal Realty Investment Trust.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We are providing these proxy materials in connection with the 2018 Annual Meeting of the Shareholders of the Trust. These materials will assist you in voting your Shares by providing information on matters that will be presented at the Annual Meeting.</w:t>
      </w:r>
    </w:p>
    <w:p>
      <w:pPr>
        <w:spacing w:after="0" w:line="205" w:lineRule="exact"/>
        <w:rPr>
          <w:sz w:val="20"/>
          <w:szCs w:val="20"/>
          <w:color w:val="auto"/>
        </w:rPr>
      </w:pPr>
    </w:p>
    <w:tbl>
      <w:tblPr>
        <w:tblLayout w:type="fixed"/>
        <w:tblInd w:w="230" w:type="dxa"/>
        <w:tblCellMar>
          <w:top w:w="0" w:type="dxa"/>
          <w:left w:w="0" w:type="dxa"/>
          <w:bottom w:w="0" w:type="dxa"/>
          <w:right w:w="0" w:type="dxa"/>
        </w:tblCellMar>
      </w:tblPr>
      <w:tr>
        <w:trPr>
          <w:trHeight w:val="274"/>
        </w:trPr>
        <w:tc>
          <w:tcPr>
            <w:tcW w:w="1900" w:type="dxa"/>
            <w:vAlign w:val="bottom"/>
            <w:tcBorders>
              <w:top w:val="single" w:sz="8" w:color="auto"/>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Meeting Date:</w:t>
            </w:r>
          </w:p>
        </w:tc>
        <w:tc>
          <w:tcPr>
            <w:tcW w:w="91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Wednesday, May 2, 2018</w:t>
            </w:r>
          </w:p>
        </w:tc>
      </w:tr>
      <w:tr>
        <w:trPr>
          <w:trHeight w:val="230"/>
        </w:trPr>
        <w:tc>
          <w:tcPr>
            <w:tcW w:w="1900" w:type="dxa"/>
            <w:vAlign w:val="bottom"/>
            <w:tcBorders>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Meeting Time:</w:t>
            </w:r>
          </w:p>
        </w:tc>
        <w:tc>
          <w:tcPr>
            <w:tcW w:w="91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10:00 a.m. local time</w:t>
            </w:r>
          </w:p>
        </w:tc>
      </w:tr>
      <w:tr>
        <w:trPr>
          <w:trHeight w:val="230"/>
        </w:trPr>
        <w:tc>
          <w:tcPr>
            <w:tcW w:w="1900" w:type="dxa"/>
            <w:vAlign w:val="bottom"/>
            <w:tcBorders>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Meeting Location:</w:t>
            </w:r>
          </w:p>
        </w:tc>
        <w:tc>
          <w:tcPr>
            <w:tcW w:w="91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AMP by Strathmore, 11810 Grand Park Avenue, North Bethesda, Maryland</w:t>
            </w:r>
          </w:p>
        </w:tc>
      </w:tr>
      <w:tr>
        <w:trPr>
          <w:trHeight w:val="246"/>
        </w:trPr>
        <w:tc>
          <w:tcPr>
            <w:tcW w:w="1900" w:type="dxa"/>
            <w:vAlign w:val="bottom"/>
            <w:tcBorders>
              <w:left w:val="single" w:sz="8" w:color="auto"/>
              <w:bottom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Record Date:</w:t>
            </w:r>
          </w:p>
        </w:tc>
        <w:tc>
          <w:tcPr>
            <w:tcW w:w="9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March 14, 2018</w:t>
            </w: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matters are being presented for a vote at the 2018 Annual Meeting of Shareholders:</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7000" w:type="dxa"/>
            <w:vAlign w:val="bottom"/>
            <w:tcBorders>
              <w:top w:val="single" w:sz="8" w:color="auto"/>
              <w:left w:val="single" w:sz="8" w:color="auto"/>
              <w:right w:val="single" w:sz="8" w:color="auto"/>
            </w:tcBorders>
            <w:shd w:val="clear" w:color="auto" w:fill="1F2A44"/>
          </w:tcPr>
          <w:p>
            <w:pPr>
              <w:spacing w:after="0"/>
              <w:rPr>
                <w:sz w:val="17"/>
                <w:szCs w:val="17"/>
                <w:color w:val="auto"/>
              </w:rPr>
            </w:pPr>
          </w:p>
        </w:tc>
        <w:tc>
          <w:tcPr>
            <w:tcW w:w="184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i w:val="1"/>
                <w:iCs w:val="1"/>
                <w:color w:val="FFFFFF"/>
                <w:w w:val="99"/>
              </w:rPr>
              <w:t>Board</w:t>
            </w:r>
          </w:p>
        </w:tc>
        <w:tc>
          <w:tcPr>
            <w:tcW w:w="2200" w:type="dxa"/>
            <w:vAlign w:val="bottom"/>
            <w:tcBorders>
              <w:top w:val="single" w:sz="8" w:color="auto"/>
              <w:right w:val="single" w:sz="8" w:color="auto"/>
            </w:tcBorders>
            <w:shd w:val="clear" w:color="auto" w:fill="1F2A44"/>
          </w:tcPr>
          <w:p>
            <w:pPr>
              <w:jc w:val="center"/>
              <w:ind w:left="30"/>
              <w:spacing w:after="0"/>
              <w:rPr>
                <w:sz w:val="20"/>
                <w:szCs w:val="20"/>
                <w:color w:val="auto"/>
              </w:rPr>
            </w:pPr>
            <w:r>
              <w:rPr>
                <w:rFonts w:ascii="Arial" w:cs="Arial" w:eastAsia="Arial" w:hAnsi="Arial"/>
                <w:sz w:val="18"/>
                <w:szCs w:val="18"/>
                <w:b w:val="1"/>
                <w:bCs w:val="1"/>
                <w:i w:val="1"/>
                <w:iCs w:val="1"/>
                <w:color w:val="FFFFFF"/>
                <w:w w:val="98"/>
              </w:rPr>
              <w:t>Vote Required</w:t>
            </w:r>
          </w:p>
        </w:tc>
      </w:tr>
      <w:tr>
        <w:trPr>
          <w:trHeight w:val="252"/>
        </w:trPr>
        <w:tc>
          <w:tcPr>
            <w:tcW w:w="7000" w:type="dxa"/>
            <w:vAlign w:val="bottom"/>
            <w:tcBorders>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Proposal</w:t>
            </w:r>
          </w:p>
        </w:tc>
        <w:tc>
          <w:tcPr>
            <w:tcW w:w="1840" w:type="dxa"/>
            <w:vAlign w:val="bottom"/>
            <w:tcBorders>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i w:val="1"/>
                <w:iCs w:val="1"/>
                <w:color w:val="FFFFFF"/>
              </w:rPr>
              <w:t>Recommendation</w:t>
            </w:r>
          </w:p>
        </w:tc>
        <w:tc>
          <w:tcPr>
            <w:tcW w:w="2200" w:type="dxa"/>
            <w:vAlign w:val="bottom"/>
            <w:tcBorders>
              <w:right w:val="single" w:sz="8" w:color="auto"/>
            </w:tcBorders>
            <w:shd w:val="clear" w:color="auto" w:fill="1F2A44"/>
          </w:tcPr>
          <w:p>
            <w:pPr>
              <w:jc w:val="center"/>
              <w:ind w:left="30"/>
              <w:spacing w:after="0"/>
              <w:rPr>
                <w:sz w:val="20"/>
                <w:szCs w:val="20"/>
                <w:color w:val="auto"/>
              </w:rPr>
            </w:pPr>
            <w:r>
              <w:rPr>
                <w:rFonts w:ascii="Arial" w:cs="Arial" w:eastAsia="Arial" w:hAnsi="Arial"/>
                <w:sz w:val="18"/>
                <w:szCs w:val="18"/>
                <w:b w:val="1"/>
                <w:bCs w:val="1"/>
                <w:i w:val="1"/>
                <w:iCs w:val="1"/>
                <w:color w:val="FFFFFF"/>
                <w:w w:val="99"/>
              </w:rPr>
              <w:t>For Approval</w:t>
            </w:r>
          </w:p>
        </w:tc>
      </w:tr>
      <w:tr>
        <w:trPr>
          <w:trHeight w:val="284"/>
        </w:trPr>
        <w:tc>
          <w:tcPr>
            <w:tcW w:w="70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Election of 7 Trustees to serve until our 2019 annual meeting</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FOR each nominee</w:t>
            </w:r>
          </w:p>
        </w:tc>
        <w:tc>
          <w:tcPr>
            <w:tcW w:w="22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Majority of votes cast</w:t>
            </w:r>
          </w:p>
        </w:tc>
      </w:tr>
      <w:tr>
        <w:trPr>
          <w:trHeight w:val="297"/>
        </w:trPr>
        <w:tc>
          <w:tcPr>
            <w:tcW w:w="70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Advisory vote on the compensation of our named executive officers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9"/>
              </w:rPr>
              <w:t>FOR</w:t>
            </w:r>
          </w:p>
        </w:tc>
        <w:tc>
          <w:tcPr>
            <w:tcW w:w="22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Majority of votes cast</w:t>
            </w:r>
          </w:p>
        </w:tc>
      </w:tr>
      <w:tr>
        <w:trPr>
          <w:trHeight w:val="304"/>
        </w:trPr>
        <w:tc>
          <w:tcPr>
            <w:tcW w:w="70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Ratification of the appointment of Grant Thornton LLP as our auditors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9"/>
              </w:rPr>
              <w:t>FOR</w:t>
            </w:r>
          </w:p>
        </w:tc>
        <w:tc>
          <w:tcPr>
            <w:tcW w:w="22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Majority of votes cast</w:t>
            </w: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NOTICE OF ELECTRONIC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We are furnishing proxy materials including this proxy statement and our 2017 Annual Report to Shareholders, which includes our Annual Report on Form 10-K for the year ended December 31, 2017 (“Annual Report”), to each shareholder by providing access to such documents on the Internet instead of mailing printed copies unless you previously requested to receive these materials by mail or e-mail. On or about March 23, 2018, we mailed to our shareholders who have not previously requested to receive these materials by mail or e-mail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by mail, you will not automatically receive a printed copy of our proxy materials or Annual Report unless you follow the instructions for requesting these materials included in the Notice.</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12"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Trust on behalf of our shareholders. The Board has adopted the following key documents that form the governance framework for the Trust. Each of these documents is periodically reviewed and updated to comply with current regulatory and governance requirements.</w:t>
      </w:r>
    </w:p>
    <w:p>
      <w:pPr>
        <w:spacing w:after="0" w:line="198" w:lineRule="exact"/>
        <w:rPr>
          <w:sz w:val="20"/>
          <w:szCs w:val="20"/>
          <w:color w:val="auto"/>
        </w:rPr>
      </w:pPr>
    </w:p>
    <w:p>
      <w:pPr>
        <w:ind w:left="860" w:hanging="33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Guidelines</w:t>
      </w:r>
    </w:p>
    <w:p>
      <w:pPr>
        <w:ind w:left="860" w:hanging="332"/>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Business Conduct</w:t>
      </w:r>
    </w:p>
    <w:p>
      <w:pPr>
        <w:ind w:left="860" w:hanging="332"/>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ind w:left="860" w:hanging="332"/>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Committee Charters</w:t>
      </w:r>
    </w:p>
    <w:p>
      <w:pPr>
        <w:ind w:left="860" w:hanging="33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Declaration of Trust</w:t>
      </w:r>
    </w:p>
    <w:p>
      <w:pPr>
        <w:spacing w:after="0" w:line="171"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These documents are available under the Investors/Corporate Governance section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xml:space="preserve"> Printed copies of these documents are also available free of charge upon written request to our Investor Relations Department at 1626 East Jefferson Street, Rockville, Maryland 20852.</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Trust has a history of strong corporate governance and is committed to practices and policies that best serve the interests of our shareholders. Our practices and policies include, among other things, the following:</w:t>
      </w:r>
    </w:p>
    <w:p>
      <w:pPr>
        <w:spacing w:after="0" w:line="205" w:lineRule="exact"/>
        <w:rPr>
          <w:sz w:val="20"/>
          <w:szCs w:val="20"/>
          <w:color w:val="auto"/>
        </w:rPr>
      </w:pPr>
    </w:p>
    <w:tbl>
      <w:tblPr>
        <w:tblLayout w:type="fixed"/>
        <w:tblInd w:w="230" w:type="dxa"/>
        <w:tblCellMar>
          <w:top w:w="0" w:type="dxa"/>
          <w:left w:w="0" w:type="dxa"/>
          <w:bottom w:w="0" w:type="dxa"/>
          <w:right w:w="0" w:type="dxa"/>
        </w:tblCellMar>
      </w:tblPr>
      <w:tr>
        <w:trPr>
          <w:trHeight w:val="297"/>
        </w:trPr>
        <w:tc>
          <w:tcPr>
            <w:tcW w:w="3340" w:type="dxa"/>
            <w:vAlign w:val="bottom"/>
            <w:tcBorders>
              <w:top w:val="single" w:sz="8" w:color="auto"/>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Governance Practice:</w:t>
            </w:r>
          </w:p>
        </w:tc>
        <w:tc>
          <w:tcPr>
            <w:tcW w:w="7700" w:type="dxa"/>
            <w:vAlign w:val="bottom"/>
            <w:tcBorders>
              <w:top w:val="single" w:sz="8" w:color="auto"/>
              <w:right w:val="single" w:sz="8" w:color="auto"/>
            </w:tcBorders>
            <w:shd w:val="clear" w:color="auto" w:fill="1F2A44"/>
          </w:tcPr>
          <w:p>
            <w:pPr>
              <w:ind w:left="80"/>
              <w:spacing w:after="0"/>
              <w:rPr>
                <w:sz w:val="20"/>
                <w:szCs w:val="20"/>
                <w:color w:val="auto"/>
              </w:rPr>
            </w:pPr>
            <w:r>
              <w:rPr>
                <w:rFonts w:ascii="Arial" w:cs="Arial" w:eastAsia="Arial" w:hAnsi="Arial"/>
                <w:sz w:val="18"/>
                <w:szCs w:val="18"/>
                <w:b w:val="1"/>
                <w:bCs w:val="1"/>
                <w:i w:val="1"/>
                <w:iCs w:val="1"/>
                <w:color w:val="FFFFFF"/>
              </w:rPr>
              <w:t>Explanation:</w:t>
            </w:r>
          </w:p>
        </w:tc>
      </w:tr>
      <w:tr>
        <w:trPr>
          <w:trHeight w:val="331"/>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Election of Trustees</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of our Trustee positions are elected annually</w:t>
            </w:r>
          </w:p>
        </w:tc>
      </w:tr>
      <w:tr>
        <w:trPr>
          <w:trHeight w:val="296"/>
        </w:trPr>
        <w:tc>
          <w:tcPr>
            <w:tcW w:w="33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Shareholder Approval Required to</w:t>
            </w:r>
          </w:p>
        </w:tc>
        <w:tc>
          <w:tcPr>
            <w:tcW w:w="7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have opted out of the provision of Maryland law that allows companies to amend their</w:t>
            </w:r>
          </w:p>
        </w:tc>
      </w:tr>
      <w:tr>
        <w:trPr>
          <w:trHeight w:val="224"/>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Classify Board</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Bylaws without shareholder approval to adopt a classified board</w:t>
            </w:r>
          </w:p>
        </w:tc>
      </w:tr>
      <w:tr>
        <w:trPr>
          <w:trHeight w:val="296"/>
        </w:trPr>
        <w:tc>
          <w:tcPr>
            <w:tcW w:w="33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Majority Vote Standard for Trustee</w:t>
            </w:r>
          </w:p>
        </w:tc>
        <w:tc>
          <w:tcPr>
            <w:tcW w:w="7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uncontested elections, each of our Trustees must receive a majority of votes cast to be</w:t>
            </w:r>
          </w:p>
        </w:tc>
      </w:tr>
      <w:tr>
        <w:trPr>
          <w:trHeight w:val="224"/>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Elections</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elected to the Board</w:t>
            </w:r>
          </w:p>
        </w:tc>
      </w:tr>
      <w:tr>
        <w:trPr>
          <w:trHeight w:val="318"/>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 Shareholders Rights Plan</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do not have a poison pill</w:t>
            </w:r>
          </w:p>
        </w:tc>
      </w:tr>
      <w:tr>
        <w:trPr>
          <w:trHeight w:val="296"/>
        </w:trPr>
        <w:tc>
          <w:tcPr>
            <w:tcW w:w="33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Independent Board</w:t>
            </w:r>
          </w:p>
        </w:tc>
        <w:tc>
          <w:tcPr>
            <w:tcW w:w="7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All of our Trustees are independent other than our CEO. Our governance guidelines preclude</w:t>
            </w:r>
          </w:p>
        </w:tc>
      </w:tr>
      <w:tr>
        <w:trPr>
          <w:trHeight w:val="224"/>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 from having more than 1 non-independent Trustee</w:t>
            </w:r>
          </w:p>
        </w:tc>
      </w:tr>
      <w:tr>
        <w:trPr>
          <w:trHeight w:val="318"/>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Independent Board Committees</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committees of our Board are made up entirely of independent Trustees</w:t>
            </w:r>
          </w:p>
        </w:tc>
      </w:tr>
      <w:tr>
        <w:trPr>
          <w:trHeight w:val="318"/>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Non-Executive Chairman</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have an independent, Non-Executive Chairman of the Board</w:t>
            </w:r>
          </w:p>
        </w:tc>
      </w:tr>
      <w:tr>
        <w:trPr>
          <w:trHeight w:val="296"/>
        </w:trPr>
        <w:tc>
          <w:tcPr>
            <w:tcW w:w="33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Robust Annual Board Self-Assessment</w:t>
            </w:r>
          </w:p>
        </w:tc>
        <w:tc>
          <w:tcPr>
            <w:tcW w:w="7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Nominating Committee conducts an annual evaluation of the Board and of each individual</w:t>
            </w:r>
          </w:p>
        </w:tc>
      </w:tr>
      <w:tr>
        <w:trPr>
          <w:trHeight w:val="203"/>
        </w:trPr>
        <w:tc>
          <w:tcPr>
            <w:tcW w:w="3340" w:type="dxa"/>
            <w:vAlign w:val="bottom"/>
            <w:tcBorders>
              <w:left w:val="single" w:sz="8" w:color="auto"/>
              <w:right w:val="single" w:sz="8" w:color="auto"/>
            </w:tcBorders>
          </w:tcPr>
          <w:p>
            <w:pPr>
              <w:spacing w:after="0"/>
              <w:rPr>
                <w:sz w:val="17"/>
                <w:szCs w:val="17"/>
                <w:color w:val="auto"/>
              </w:rPr>
            </w:pPr>
          </w:p>
        </w:tc>
        <w:tc>
          <w:tcPr>
            <w:tcW w:w="7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trustee through written surveys as well as individual discussions with each Trustee to elicit and</w:t>
            </w:r>
          </w:p>
        </w:tc>
      </w:tr>
      <w:tr>
        <w:trPr>
          <w:trHeight w:val="224"/>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deliver feedback</w:t>
            </w:r>
          </w:p>
        </w:tc>
      </w:tr>
      <w:tr>
        <w:trPr>
          <w:trHeight w:val="296"/>
        </w:trPr>
        <w:tc>
          <w:tcPr>
            <w:tcW w:w="33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Equity Ownership Requirements for</w:t>
            </w:r>
          </w:p>
        </w:tc>
        <w:tc>
          <w:tcPr>
            <w:tcW w:w="7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named executive officers are required to hold equity with a value of least 3 times base and</w:t>
            </w:r>
          </w:p>
        </w:tc>
      </w:tr>
      <w:tr>
        <w:trPr>
          <w:trHeight w:val="203"/>
        </w:trPr>
        <w:tc>
          <w:tcPr>
            <w:tcW w:w="334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Trustees and Senior Executives</w:t>
            </w:r>
          </w:p>
        </w:tc>
        <w:tc>
          <w:tcPr>
            <w:tcW w:w="7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annual bonus for our CEO and 2.5 times for each of our other named executive officers. Our</w:t>
            </w:r>
          </w:p>
        </w:tc>
      </w:tr>
      <w:tr>
        <w:trPr>
          <w:trHeight w:val="203"/>
        </w:trPr>
        <w:tc>
          <w:tcPr>
            <w:tcW w:w="3340" w:type="dxa"/>
            <w:vAlign w:val="bottom"/>
            <w:tcBorders>
              <w:left w:val="single" w:sz="8" w:color="auto"/>
              <w:right w:val="single" w:sz="8" w:color="auto"/>
            </w:tcBorders>
          </w:tcPr>
          <w:p>
            <w:pPr>
              <w:spacing w:after="0"/>
              <w:rPr>
                <w:sz w:val="17"/>
                <w:szCs w:val="17"/>
                <w:color w:val="auto"/>
              </w:rPr>
            </w:pPr>
          </w:p>
        </w:tc>
        <w:tc>
          <w:tcPr>
            <w:tcW w:w="7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Trustees are required to hold equity with a value of at least 5 times the cash portion of their</w:t>
            </w:r>
          </w:p>
        </w:tc>
      </w:tr>
      <w:tr>
        <w:trPr>
          <w:trHeight w:val="203"/>
        </w:trPr>
        <w:tc>
          <w:tcPr>
            <w:tcW w:w="3340" w:type="dxa"/>
            <w:vAlign w:val="bottom"/>
            <w:tcBorders>
              <w:left w:val="single" w:sz="8" w:color="auto"/>
              <w:right w:val="single" w:sz="8" w:color="auto"/>
            </w:tcBorders>
          </w:tcPr>
          <w:p>
            <w:pPr>
              <w:spacing w:after="0"/>
              <w:rPr>
                <w:sz w:val="17"/>
                <w:szCs w:val="17"/>
                <w:color w:val="auto"/>
              </w:rPr>
            </w:pPr>
          </w:p>
        </w:tc>
        <w:tc>
          <w:tcPr>
            <w:tcW w:w="7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annual retainer. Officers and Trustees have 5 years after joining the Trust to meet these</w:t>
            </w:r>
          </w:p>
        </w:tc>
      </w:tr>
      <w:tr>
        <w:trPr>
          <w:trHeight w:val="224"/>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requirements.</w:t>
            </w:r>
          </w:p>
        </w:tc>
      </w:tr>
      <w:tr>
        <w:trPr>
          <w:trHeight w:val="318"/>
        </w:trPr>
        <w:tc>
          <w:tcPr>
            <w:tcW w:w="3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Prohibition on Hedging and Pledging</w:t>
            </w:r>
          </w:p>
        </w:tc>
        <w:tc>
          <w:tcPr>
            <w:tcW w:w="7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Our Trustees and all employees are prohibited from hedging or pledging our Shares</w:t>
            </w: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Our Board has been directed by a Non-Executive Chairman of the Board since 2003. The Board believes that having its own leadership separate from our Chief Executive Officer provides the Board with an effective way to ensure that it is fully informed and has the opportunity to fully debate all important issues as necessary to fulfill its oversight responsibilities and hold management accountable for the performance of the Trust. This also allows our Chief Executive Officer to focus his time on running our day-to-day business. Our Non-Executive Chairman presides at all meetings of the Board and helps to set the agendas for Board meetings.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INDEPENDENCE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Board reviews on an ongoing basis all relationships between us and each Trustee to determine whether each Trustee is independent or otherwise has any relationship to the Trust that could adversely affect the Trustee’s ability to exercise independent judgment. This review also determines whether each Trustee satisfies the independence requirements of the New York Stock Exchange (“NYSE”), the Securities and Exchange Commission (“SEC”), our Corporate Governance Guidelines and other applicable rules and regulations and whether we are in compliance with our Bylaws which provide that no more than one of our Trustees can fail to qualify as independent. Our Corporate Governance Guidelines include a standard that a Trustee’s position as a director, officer or owner of a company with which we do business does not constitute a material relationship so long as payments made by that company do not account for more than five percent (5%) of our gross revenues or more than ten percent (10%) of the gross revenues of that company.</w:t>
      </w:r>
    </w:p>
    <w:p>
      <w:pPr>
        <w:spacing w:after="0" w:line="16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Board, on recommendation of the Nominating and Corporate Governance Committee, considered all relevant facts and circumstances and determined that all Trustees other than Mr. Wood, our Chief Executive Officer, are independent for purposes of Board and committee service under the standards of the NYSE, the SEC, our Corporate Governance Guidelines and applicable law. In making the independence determination, the Nominating and Corporate Governance Committee and the Board considered the following:</w:t>
      </w:r>
    </w:p>
    <w:p>
      <w:pPr>
        <w:spacing w:after="0" w:line="202" w:lineRule="exact"/>
        <w:rPr>
          <w:sz w:val="20"/>
          <w:szCs w:val="20"/>
          <w:color w:val="auto"/>
        </w:rPr>
      </w:pP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Bortz – occasional usage by Trust employees for business purposes of hotels owned by Pebblebrook Hotel Trust. Mr. Bortz is the CEO of Pebblebrook Hotel Trust.</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Faeder – a 1-year lease of space at a Trust property by an entity in which Mr. Faeder is a partner. That lease expired in January 2017.</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Thompson – the items described in “Certain Relationships and Related Transactions” section below.</w:t>
      </w:r>
    </w:p>
    <w:p>
      <w:pPr>
        <w:ind w:left="860" w:hanging="332"/>
        <w:spacing w:after="0" w:line="24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Vassalluzzo – five leases between Office Depot, Inc. and the Trust. Mr. Vassalluzzo is the Non-Executive Chairman of the Board of Office Depot, Inc.</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Board of Trustees holds regularly scheduled in-person meetings and if needed, will also act through telephonic meetings, action by written consent and other communications with management. During 2017, the Board of Trustees held four in-person meetings and the non-management, independent Trustees held an executive session at each of those meetings. Mr. Vassalluzzo, the Non-Executive Chairman of the Board, presided over all Board meetings as well as all executive sessions of the non-management Trustees. The Non-Executive Chairman of the Board is expected to preside over all future Board meetings and executive sessions of non-management Trustees.</w:t>
      </w:r>
    </w:p>
    <w:p>
      <w:pPr>
        <w:spacing w:after="0" w:line="178"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Each of the Trustees attended 100% of the meetings of the Board as well as 100% of all committee meetings, including committees on which the Trustee did not serve during 2017. It is the Trust’s policy for all Trustees to attend our annual meeting of shareholders absent exceptional cause. All Trustees attended our 2017 Annual Meeting of Shareholders.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 xml:space="preserve">The Board has three standing committees –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xml:space="preserve"> Each committee member meets the independence, experience and, with respect to the Audit Committee, the financial literacy requirements, of the NYSE, the SEC and our Corporate Governance Guidelines. Information about each of these committees is included in the chart below:</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193"/>
        </w:trPr>
        <w:tc>
          <w:tcPr>
            <w:tcW w:w="2680" w:type="dxa"/>
            <w:vAlign w:val="bottom"/>
            <w:tcBorders>
              <w:top w:val="single" w:sz="8" w:color="auto"/>
              <w:left w:val="single" w:sz="8" w:color="auto"/>
              <w:right w:val="single" w:sz="8" w:color="auto"/>
            </w:tcBorders>
            <w:shd w:val="clear" w:color="auto" w:fill="FEC221"/>
          </w:tcPr>
          <w:p>
            <w:pPr>
              <w:spacing w:after="0"/>
              <w:rPr>
                <w:sz w:val="16"/>
                <w:szCs w:val="16"/>
                <w:color w:val="auto"/>
              </w:rPr>
            </w:pPr>
          </w:p>
        </w:tc>
        <w:tc>
          <w:tcPr>
            <w:tcW w:w="6780" w:type="dxa"/>
            <w:vAlign w:val="bottom"/>
            <w:tcBorders>
              <w:top w:val="single" w:sz="8" w:color="auto"/>
              <w:right w:val="single" w:sz="8" w:color="auto"/>
            </w:tcBorders>
            <w:shd w:val="clear" w:color="auto" w:fill="FEC221"/>
          </w:tcPr>
          <w:p>
            <w:pPr>
              <w:spacing w:after="0"/>
              <w:rPr>
                <w:sz w:val="16"/>
                <w:szCs w:val="16"/>
                <w:color w:val="auto"/>
              </w:rPr>
            </w:pPr>
          </w:p>
        </w:tc>
        <w:tc>
          <w:tcPr>
            <w:tcW w:w="1580" w:type="dxa"/>
            <w:vAlign w:val="bottom"/>
            <w:tcBorders>
              <w:top w:val="single" w:sz="8" w:color="auto"/>
              <w:right w:val="single" w:sz="8" w:color="auto"/>
            </w:tcBorders>
            <w:shd w:val="clear" w:color="auto" w:fill="FEC221"/>
          </w:tcPr>
          <w:p>
            <w:pPr>
              <w:jc w:val="center"/>
              <w:ind w:right="190"/>
              <w:spacing w:after="0" w:line="194" w:lineRule="exact"/>
              <w:rPr>
                <w:sz w:val="20"/>
                <w:szCs w:val="20"/>
                <w:color w:val="auto"/>
              </w:rPr>
            </w:pPr>
            <w:r>
              <w:rPr>
                <w:rFonts w:ascii="Arial" w:cs="Arial" w:eastAsia="Arial" w:hAnsi="Arial"/>
                <w:sz w:val="18"/>
                <w:szCs w:val="18"/>
                <w:b w:val="1"/>
                <w:bCs w:val="1"/>
                <w:color w:val="1F2A44"/>
              </w:rPr>
              <w:t># of 2017</w:t>
            </w:r>
          </w:p>
        </w:tc>
      </w:tr>
      <w:tr>
        <w:trPr>
          <w:trHeight w:val="252"/>
        </w:trPr>
        <w:tc>
          <w:tcPr>
            <w:tcW w:w="2680" w:type="dxa"/>
            <w:vAlign w:val="bottom"/>
            <w:tcBorders>
              <w:left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b w:val="1"/>
                <w:bCs w:val="1"/>
                <w:color w:val="1F2A44"/>
              </w:rPr>
              <w:t>Committee/Membership</w:t>
            </w:r>
          </w:p>
        </w:tc>
        <w:tc>
          <w:tcPr>
            <w:tcW w:w="6780" w:type="dxa"/>
            <w:vAlign w:val="bottom"/>
            <w:tcBorders>
              <w:right w:val="single" w:sz="8" w:color="auto"/>
            </w:tcBorders>
            <w:shd w:val="clear" w:color="auto" w:fill="FEC221"/>
          </w:tcPr>
          <w:p>
            <w:pPr>
              <w:ind w:left="260"/>
              <w:spacing w:after="0"/>
              <w:rPr>
                <w:sz w:val="20"/>
                <w:szCs w:val="20"/>
                <w:color w:val="auto"/>
              </w:rPr>
            </w:pPr>
            <w:r>
              <w:rPr>
                <w:rFonts w:ascii="Arial" w:cs="Arial" w:eastAsia="Arial" w:hAnsi="Arial"/>
                <w:sz w:val="18"/>
                <w:szCs w:val="18"/>
                <w:b w:val="1"/>
                <w:bCs w:val="1"/>
                <w:color w:val="1F2A44"/>
              </w:rPr>
              <w:t>Primary Responsibilities</w:t>
            </w:r>
          </w:p>
        </w:tc>
        <w:tc>
          <w:tcPr>
            <w:tcW w:w="1580" w:type="dxa"/>
            <w:vAlign w:val="bottom"/>
            <w:tcBorders>
              <w:right w:val="single" w:sz="8" w:color="auto"/>
            </w:tcBorders>
            <w:shd w:val="clear" w:color="auto" w:fill="FEC221"/>
          </w:tcPr>
          <w:p>
            <w:pPr>
              <w:jc w:val="center"/>
              <w:ind w:right="190"/>
              <w:spacing w:after="0"/>
              <w:rPr>
                <w:sz w:val="20"/>
                <w:szCs w:val="20"/>
                <w:color w:val="auto"/>
              </w:rPr>
            </w:pPr>
            <w:r>
              <w:rPr>
                <w:rFonts w:ascii="Arial" w:cs="Arial" w:eastAsia="Arial" w:hAnsi="Arial"/>
                <w:sz w:val="18"/>
                <w:szCs w:val="18"/>
                <w:b w:val="1"/>
                <w:bCs w:val="1"/>
                <w:color w:val="1F2A44"/>
                <w:w w:val="99"/>
              </w:rPr>
              <w:t>Meetings</w:t>
            </w:r>
          </w:p>
        </w:tc>
      </w:tr>
      <w:tr>
        <w:trPr>
          <w:trHeight w:val="243"/>
        </w:trPr>
        <w:tc>
          <w:tcPr>
            <w:tcW w:w="2680" w:type="dxa"/>
            <w:vAlign w:val="bottom"/>
            <w:tcBorders>
              <w:left w:val="single" w:sz="8" w:color="auto"/>
              <w:right w:val="single" w:sz="8" w:color="1F2A44"/>
            </w:tcBorders>
            <w:shd w:val="clear" w:color="auto" w:fill="1F2A44"/>
          </w:tcPr>
          <w:p>
            <w:pPr>
              <w:ind w:left="140"/>
              <w:spacing w:after="0"/>
              <w:rPr>
                <w:sz w:val="20"/>
                <w:szCs w:val="20"/>
                <w:color w:val="auto"/>
              </w:rPr>
            </w:pPr>
            <w:r>
              <w:rPr>
                <w:rFonts w:ascii="Arial" w:cs="Arial" w:eastAsia="Arial" w:hAnsi="Arial"/>
                <w:sz w:val="18"/>
                <w:szCs w:val="18"/>
                <w:b w:val="1"/>
                <w:bCs w:val="1"/>
                <w:color w:val="FFFFFF"/>
              </w:rPr>
              <w:t>Audit Committee:</w:t>
            </w:r>
          </w:p>
        </w:tc>
        <w:tc>
          <w:tcPr>
            <w:tcW w:w="6780" w:type="dxa"/>
            <w:vAlign w:val="bottom"/>
            <w:tcBorders>
              <w:right w:val="single" w:sz="8" w:color="1F2A44"/>
            </w:tcBorders>
            <w:shd w:val="clear" w:color="auto" w:fill="1F2A44"/>
          </w:tcPr>
          <w:p>
            <w:pPr>
              <w:spacing w:after="0"/>
              <w:rPr>
                <w:sz w:val="21"/>
                <w:szCs w:val="21"/>
                <w:color w:val="auto"/>
              </w:rPr>
            </w:pPr>
          </w:p>
        </w:tc>
        <w:tc>
          <w:tcPr>
            <w:tcW w:w="1580" w:type="dxa"/>
            <w:vAlign w:val="bottom"/>
            <w:tcBorders>
              <w:right w:val="single" w:sz="8" w:color="auto"/>
            </w:tcBorders>
            <w:shd w:val="clear" w:color="auto" w:fill="1F2A44"/>
          </w:tcPr>
          <w:p>
            <w:pPr>
              <w:spacing w:after="0"/>
              <w:rPr>
                <w:sz w:val="21"/>
                <w:szCs w:val="21"/>
                <w:color w:val="auto"/>
              </w:rPr>
            </w:pPr>
          </w:p>
        </w:tc>
      </w:tr>
      <w:tr>
        <w:trPr>
          <w:trHeight w:val="269"/>
        </w:trPr>
        <w:tc>
          <w:tcPr>
            <w:tcW w:w="2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Gail P. Steinel</w:t>
            </w:r>
            <w:r>
              <w:rPr>
                <w:rFonts w:ascii="Arial" w:cs="Arial" w:eastAsia="Arial" w:hAnsi="Arial"/>
                <w:sz w:val="15"/>
                <w:szCs w:val="15"/>
                <w:color w:val="auto"/>
              </w:rPr>
              <w:t>(1)</w:t>
            </w:r>
          </w:p>
        </w:tc>
        <w:tc>
          <w:tcPr>
            <w:tcW w:w="67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Selecting our independent auditor and approving and overseeing its work</w:t>
            </w:r>
          </w:p>
        </w:tc>
        <w:tc>
          <w:tcPr>
            <w:tcW w:w="15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4</w:t>
            </w:r>
          </w:p>
        </w:tc>
      </w:tr>
      <w:tr>
        <w:trPr>
          <w:trHeight w:val="200"/>
        </w:trPr>
        <w:tc>
          <w:tcPr>
            <w:tcW w:w="2680" w:type="dxa"/>
            <w:vAlign w:val="bottom"/>
            <w:tcBorders>
              <w:left w:val="single" w:sz="8" w:color="auto"/>
              <w:right w:val="single" w:sz="8" w:color="auto"/>
            </w:tcBorders>
          </w:tcPr>
          <w:p>
            <w:pPr>
              <w:ind w:left="320"/>
              <w:spacing w:after="0" w:line="200" w:lineRule="exact"/>
              <w:rPr>
                <w:sz w:val="20"/>
                <w:szCs w:val="20"/>
                <w:color w:val="auto"/>
              </w:rPr>
            </w:pPr>
            <w:r>
              <w:rPr>
                <w:rFonts w:ascii="Arial" w:cs="Arial" w:eastAsia="Arial" w:hAnsi="Arial"/>
                <w:sz w:val="18"/>
                <w:szCs w:val="18"/>
                <w:color w:val="auto"/>
              </w:rPr>
              <w:t>Jon E. Bortz</w:t>
            </w:r>
          </w:p>
        </w:tc>
        <w:tc>
          <w:tcPr>
            <w:tcW w:w="6780" w:type="dxa"/>
            <w:vAlign w:val="bottom"/>
            <w:tcBorders>
              <w:right w:val="single" w:sz="8" w:color="auto"/>
            </w:tcBorders>
          </w:tcPr>
          <w:p>
            <w:pPr>
              <w:ind w:left="260"/>
              <w:spacing w:after="0" w:line="200" w:lineRule="exact"/>
              <w:rPr>
                <w:sz w:val="20"/>
                <w:szCs w:val="20"/>
                <w:color w:val="auto"/>
              </w:rPr>
            </w:pPr>
            <w:r>
              <w:rPr>
                <w:rFonts w:ascii="Arial" w:cs="Arial" w:eastAsia="Arial" w:hAnsi="Arial"/>
                <w:sz w:val="18"/>
                <w:szCs w:val="18"/>
                <w:color w:val="auto"/>
              </w:rPr>
              <w:t>•   Overseeing our financial reporting, including reviewing results with</w:t>
            </w:r>
          </w:p>
        </w:tc>
        <w:tc>
          <w:tcPr>
            <w:tcW w:w="1580" w:type="dxa"/>
            <w:vAlign w:val="bottom"/>
            <w:tcBorders>
              <w:right w:val="single" w:sz="8" w:color="auto"/>
            </w:tcBorders>
          </w:tcPr>
          <w:p>
            <w:pPr>
              <w:spacing w:after="0"/>
              <w:rPr>
                <w:sz w:val="17"/>
                <w:szCs w:val="17"/>
                <w:color w:val="auto"/>
              </w:rPr>
            </w:pPr>
          </w:p>
        </w:tc>
      </w:tr>
      <w:tr>
        <w:trPr>
          <w:trHeight w:val="205"/>
        </w:trPr>
        <w:tc>
          <w:tcPr>
            <w:tcW w:w="2680" w:type="dxa"/>
            <w:vAlign w:val="bottom"/>
            <w:tcBorders>
              <w:left w:val="single" w:sz="8" w:color="auto"/>
              <w:right w:val="single" w:sz="8" w:color="auto"/>
            </w:tcBorders>
          </w:tcPr>
          <w:p>
            <w:pPr>
              <w:ind w:left="320"/>
              <w:spacing w:after="0" w:line="205" w:lineRule="exact"/>
              <w:rPr>
                <w:sz w:val="20"/>
                <w:szCs w:val="20"/>
                <w:color w:val="auto"/>
              </w:rPr>
            </w:pPr>
            <w:r>
              <w:rPr>
                <w:rFonts w:ascii="Arial" w:cs="Arial" w:eastAsia="Arial" w:hAnsi="Arial"/>
                <w:sz w:val="18"/>
                <w:szCs w:val="18"/>
                <w:color w:val="auto"/>
              </w:rPr>
              <w:t>David W. Faeder</w:t>
            </w:r>
            <w:r>
              <w:rPr>
                <w:rFonts w:ascii="Arial" w:cs="Arial" w:eastAsia="Arial" w:hAnsi="Arial"/>
                <w:sz w:val="15"/>
                <w:szCs w:val="15"/>
                <w:color w:val="auto"/>
              </w:rPr>
              <w:t>(2)</w:t>
            </w:r>
          </w:p>
        </w:tc>
        <w:tc>
          <w:tcPr>
            <w:tcW w:w="6780" w:type="dxa"/>
            <w:vAlign w:val="bottom"/>
            <w:tcBorders>
              <w:right w:val="single" w:sz="8" w:color="auto"/>
            </w:tcBorders>
          </w:tcPr>
          <w:p>
            <w:pPr>
              <w:ind w:left="620"/>
              <w:spacing w:after="0" w:line="205" w:lineRule="exact"/>
              <w:rPr>
                <w:sz w:val="20"/>
                <w:szCs w:val="20"/>
                <w:color w:val="auto"/>
              </w:rPr>
            </w:pPr>
            <w:r>
              <w:rPr>
                <w:rFonts w:ascii="Arial" w:cs="Arial" w:eastAsia="Arial" w:hAnsi="Arial"/>
                <w:sz w:val="18"/>
                <w:szCs w:val="18"/>
                <w:color w:val="auto"/>
              </w:rPr>
              <w:t>management and our independent auditor</w:t>
            </w:r>
          </w:p>
        </w:tc>
        <w:tc>
          <w:tcPr>
            <w:tcW w:w="1580" w:type="dxa"/>
            <w:vAlign w:val="bottom"/>
            <w:tcBorders>
              <w:right w:val="single" w:sz="8" w:color="auto"/>
            </w:tcBorders>
          </w:tcPr>
          <w:p>
            <w:pPr>
              <w:spacing w:after="0"/>
              <w:rPr>
                <w:sz w:val="17"/>
                <w:szCs w:val="17"/>
                <w:color w:val="auto"/>
              </w:rPr>
            </w:pPr>
          </w:p>
        </w:tc>
      </w:tr>
      <w:tr>
        <w:trPr>
          <w:trHeight w:val="203"/>
        </w:trPr>
        <w:tc>
          <w:tcPr>
            <w:tcW w:w="2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Warren M. Thompson</w:t>
            </w:r>
          </w:p>
        </w:tc>
        <w:tc>
          <w:tcPr>
            <w:tcW w:w="678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   Overseeing our internal systems of accounting and controls</w:t>
            </w:r>
          </w:p>
        </w:tc>
        <w:tc>
          <w:tcPr>
            <w:tcW w:w="1580" w:type="dxa"/>
            <w:vAlign w:val="bottom"/>
            <w:tcBorders>
              <w:right w:val="single" w:sz="8" w:color="auto"/>
            </w:tcBorders>
          </w:tcPr>
          <w:p>
            <w:pPr>
              <w:spacing w:after="0"/>
              <w:rPr>
                <w:sz w:val="17"/>
                <w:szCs w:val="17"/>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780" w:type="dxa"/>
            <w:vAlign w:val="bottom"/>
            <w:tcBorders>
              <w:right w:val="single" w:sz="8" w:color="auto"/>
            </w:tcBorders>
          </w:tcPr>
          <w:p>
            <w:pPr>
              <w:ind w:left="260"/>
              <w:spacing w:after="0" w:line="203" w:lineRule="exact"/>
              <w:rPr>
                <w:sz w:val="20"/>
                <w:szCs w:val="20"/>
                <w:color w:val="auto"/>
              </w:rPr>
            </w:pPr>
            <w:r>
              <w:rPr>
                <w:rFonts w:ascii="Arial" w:cs="Arial" w:eastAsia="Arial" w:hAnsi="Arial"/>
                <w:sz w:val="18"/>
                <w:szCs w:val="18"/>
                <w:color w:val="auto"/>
              </w:rPr>
              <w:t>•   Overseeing financial, cybersecurity and similar risks</w:t>
            </w:r>
          </w:p>
        </w:tc>
        <w:tc>
          <w:tcPr>
            <w:tcW w:w="1580" w:type="dxa"/>
            <w:vAlign w:val="bottom"/>
            <w:tcBorders>
              <w:right w:val="single" w:sz="8" w:color="auto"/>
            </w:tcBorders>
          </w:tcPr>
          <w:p>
            <w:pPr>
              <w:spacing w:after="0"/>
              <w:rPr>
                <w:sz w:val="17"/>
                <w:szCs w:val="17"/>
                <w:color w:val="auto"/>
              </w:rPr>
            </w:pPr>
          </w:p>
        </w:tc>
      </w:tr>
      <w:tr>
        <w:trPr>
          <w:trHeight w:val="243"/>
        </w:trPr>
        <w:tc>
          <w:tcPr>
            <w:tcW w:w="2680" w:type="dxa"/>
            <w:vAlign w:val="bottom"/>
            <w:tcBorders>
              <w:left w:val="single" w:sz="8" w:color="auto"/>
              <w:right w:val="single" w:sz="8" w:color="1F2A44"/>
            </w:tcBorders>
            <w:shd w:val="clear" w:color="auto" w:fill="1F2A44"/>
          </w:tcPr>
          <w:p>
            <w:pPr>
              <w:ind w:left="140"/>
              <w:spacing w:after="0"/>
              <w:rPr>
                <w:sz w:val="20"/>
                <w:szCs w:val="20"/>
                <w:color w:val="auto"/>
              </w:rPr>
            </w:pPr>
            <w:r>
              <w:rPr>
                <w:rFonts w:ascii="Arial" w:cs="Arial" w:eastAsia="Arial" w:hAnsi="Arial"/>
                <w:sz w:val="18"/>
                <w:szCs w:val="18"/>
                <w:b w:val="1"/>
                <w:bCs w:val="1"/>
                <w:color w:val="FFFFFF"/>
              </w:rPr>
              <w:t>Compensation Committee:</w:t>
            </w:r>
          </w:p>
        </w:tc>
        <w:tc>
          <w:tcPr>
            <w:tcW w:w="6780" w:type="dxa"/>
            <w:vAlign w:val="bottom"/>
            <w:tcBorders>
              <w:right w:val="single" w:sz="8" w:color="1F2A44"/>
            </w:tcBorders>
            <w:shd w:val="clear" w:color="auto" w:fill="1F2A44"/>
          </w:tcPr>
          <w:p>
            <w:pPr>
              <w:spacing w:after="0"/>
              <w:rPr>
                <w:sz w:val="21"/>
                <w:szCs w:val="21"/>
                <w:color w:val="auto"/>
              </w:rPr>
            </w:pPr>
          </w:p>
        </w:tc>
        <w:tc>
          <w:tcPr>
            <w:tcW w:w="1580" w:type="dxa"/>
            <w:vAlign w:val="bottom"/>
            <w:tcBorders>
              <w:right w:val="single" w:sz="8" w:color="auto"/>
            </w:tcBorders>
            <w:shd w:val="clear" w:color="auto" w:fill="1F2A44"/>
          </w:tcPr>
          <w:p>
            <w:pPr>
              <w:spacing w:after="0"/>
              <w:rPr>
                <w:sz w:val="21"/>
                <w:szCs w:val="21"/>
                <w:color w:val="auto"/>
              </w:rPr>
            </w:pPr>
          </w:p>
        </w:tc>
      </w:tr>
      <w:tr>
        <w:trPr>
          <w:trHeight w:val="267"/>
        </w:trPr>
        <w:tc>
          <w:tcPr>
            <w:tcW w:w="2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David W. Faeder</w:t>
            </w:r>
            <w:r>
              <w:rPr>
                <w:rFonts w:ascii="Arial" w:cs="Arial" w:eastAsia="Arial" w:hAnsi="Arial"/>
                <w:sz w:val="15"/>
                <w:szCs w:val="15"/>
                <w:color w:val="auto"/>
              </w:rPr>
              <w:t>(1)</w:t>
            </w:r>
          </w:p>
        </w:tc>
        <w:tc>
          <w:tcPr>
            <w:tcW w:w="67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Reviewing and recommending compensation for our senior officers</w:t>
            </w:r>
          </w:p>
        </w:tc>
        <w:tc>
          <w:tcPr>
            <w:tcW w:w="15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2</w:t>
            </w:r>
          </w:p>
        </w:tc>
      </w:tr>
      <w:tr>
        <w:trPr>
          <w:trHeight w:val="203"/>
        </w:trPr>
        <w:tc>
          <w:tcPr>
            <w:tcW w:w="2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Kristin Gamble</w:t>
            </w:r>
            <w:r>
              <w:rPr>
                <w:rFonts w:ascii="Arial" w:cs="Arial" w:eastAsia="Arial" w:hAnsi="Arial"/>
                <w:sz w:val="15"/>
                <w:szCs w:val="15"/>
                <w:color w:val="auto"/>
              </w:rPr>
              <w:t>(3)</w:t>
            </w:r>
          </w:p>
        </w:tc>
        <w:tc>
          <w:tcPr>
            <w:tcW w:w="678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   Administering and making awards under our long-term incentive award plans</w:t>
            </w:r>
          </w:p>
        </w:tc>
        <w:tc>
          <w:tcPr>
            <w:tcW w:w="1580" w:type="dxa"/>
            <w:vAlign w:val="bottom"/>
            <w:tcBorders>
              <w:right w:val="single" w:sz="8" w:color="auto"/>
            </w:tcBorders>
          </w:tcPr>
          <w:p>
            <w:pPr>
              <w:spacing w:after="0"/>
              <w:rPr>
                <w:sz w:val="17"/>
                <w:szCs w:val="17"/>
                <w:color w:val="auto"/>
              </w:rPr>
            </w:pPr>
          </w:p>
        </w:tc>
      </w:tr>
      <w:tr>
        <w:trPr>
          <w:trHeight w:val="205"/>
        </w:trPr>
        <w:tc>
          <w:tcPr>
            <w:tcW w:w="2680" w:type="dxa"/>
            <w:vAlign w:val="bottom"/>
            <w:tcBorders>
              <w:left w:val="single" w:sz="8" w:color="auto"/>
              <w:right w:val="single" w:sz="8" w:color="auto"/>
            </w:tcBorders>
          </w:tcPr>
          <w:p>
            <w:pPr>
              <w:ind w:left="320"/>
              <w:spacing w:after="0" w:line="205" w:lineRule="exact"/>
              <w:rPr>
                <w:sz w:val="20"/>
                <w:szCs w:val="20"/>
                <w:color w:val="auto"/>
              </w:rPr>
            </w:pPr>
            <w:r>
              <w:rPr>
                <w:rFonts w:ascii="Arial" w:cs="Arial" w:eastAsia="Arial" w:hAnsi="Arial"/>
                <w:sz w:val="18"/>
                <w:szCs w:val="18"/>
                <w:color w:val="auto"/>
              </w:rPr>
              <w:t>Elizabeth I. Holland</w:t>
            </w:r>
            <w:r>
              <w:rPr>
                <w:rFonts w:ascii="Arial" w:cs="Arial" w:eastAsia="Arial" w:hAnsi="Arial"/>
                <w:sz w:val="15"/>
                <w:szCs w:val="15"/>
                <w:color w:val="auto"/>
              </w:rPr>
              <w:t>(3)</w:t>
            </w:r>
          </w:p>
        </w:tc>
        <w:tc>
          <w:tcPr>
            <w:tcW w:w="6780" w:type="dxa"/>
            <w:vAlign w:val="bottom"/>
            <w:tcBorders>
              <w:right w:val="single" w:sz="8" w:color="auto"/>
            </w:tcBorders>
          </w:tcPr>
          <w:p>
            <w:pPr>
              <w:ind w:left="260"/>
              <w:spacing w:after="0" w:line="205" w:lineRule="exact"/>
              <w:rPr>
                <w:sz w:val="20"/>
                <w:szCs w:val="20"/>
                <w:color w:val="auto"/>
              </w:rPr>
            </w:pPr>
            <w:r>
              <w:rPr>
                <w:rFonts w:ascii="Arial" w:cs="Arial" w:eastAsia="Arial" w:hAnsi="Arial"/>
                <w:sz w:val="18"/>
                <w:szCs w:val="18"/>
                <w:color w:val="auto"/>
              </w:rPr>
              <w:t>•   Administering other benefit programs of the Trust</w:t>
            </w:r>
          </w:p>
        </w:tc>
        <w:tc>
          <w:tcPr>
            <w:tcW w:w="1580" w:type="dxa"/>
            <w:vAlign w:val="bottom"/>
            <w:tcBorders>
              <w:right w:val="single" w:sz="8" w:color="auto"/>
            </w:tcBorders>
          </w:tcPr>
          <w:p>
            <w:pPr>
              <w:spacing w:after="0"/>
              <w:rPr>
                <w:sz w:val="17"/>
                <w:szCs w:val="17"/>
                <w:color w:val="auto"/>
              </w:rPr>
            </w:pPr>
          </w:p>
        </w:tc>
      </w:tr>
      <w:tr>
        <w:trPr>
          <w:trHeight w:val="203"/>
        </w:trPr>
        <w:tc>
          <w:tcPr>
            <w:tcW w:w="2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Gail P. Steinel</w:t>
            </w:r>
          </w:p>
        </w:tc>
        <w:tc>
          <w:tcPr>
            <w:tcW w:w="67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r>
      <w:tr>
        <w:trPr>
          <w:trHeight w:val="217"/>
        </w:trPr>
        <w:tc>
          <w:tcPr>
            <w:tcW w:w="2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Joseph Vassalluzzo</w:t>
            </w:r>
          </w:p>
        </w:tc>
        <w:tc>
          <w:tcPr>
            <w:tcW w:w="67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95"/>
        </w:trPr>
        <w:tc>
          <w:tcPr>
            <w:tcW w:w="2680" w:type="dxa"/>
            <w:vAlign w:val="bottom"/>
            <w:tcBorders>
              <w:left w:val="single" w:sz="8" w:color="auto"/>
              <w:right w:val="single" w:sz="8" w:color="auto"/>
            </w:tcBorders>
          </w:tcPr>
          <w:p>
            <w:pPr>
              <w:spacing w:after="0"/>
              <w:rPr>
                <w:sz w:val="8"/>
                <w:szCs w:val="8"/>
                <w:color w:val="auto"/>
              </w:rPr>
            </w:pPr>
          </w:p>
        </w:tc>
        <w:tc>
          <w:tcPr>
            <w:tcW w:w="678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r>
      <w:tr>
        <w:trPr>
          <w:trHeight w:val="243"/>
        </w:trPr>
        <w:tc>
          <w:tcPr>
            <w:tcW w:w="9460" w:type="dxa"/>
            <w:vAlign w:val="bottom"/>
            <w:tcBorders>
              <w:left w:val="single" w:sz="8" w:color="auto"/>
              <w:right w:val="single" w:sz="8" w:color="1F2A44"/>
            </w:tcBorders>
            <w:gridSpan w:val="2"/>
            <w:shd w:val="clear" w:color="auto" w:fill="1F2A44"/>
          </w:tcPr>
          <w:p>
            <w:pPr>
              <w:ind w:left="140"/>
              <w:spacing w:after="0"/>
              <w:rPr>
                <w:sz w:val="20"/>
                <w:szCs w:val="20"/>
                <w:color w:val="auto"/>
              </w:rPr>
            </w:pPr>
            <w:r>
              <w:rPr>
                <w:rFonts w:ascii="Arial" w:cs="Arial" w:eastAsia="Arial" w:hAnsi="Arial"/>
                <w:sz w:val="18"/>
                <w:szCs w:val="18"/>
                <w:b w:val="1"/>
                <w:bCs w:val="1"/>
                <w:color w:val="FFFFFF"/>
              </w:rPr>
              <w:t>Nominating and Corporate Governance Committee:</w:t>
            </w:r>
          </w:p>
        </w:tc>
        <w:tc>
          <w:tcPr>
            <w:tcW w:w="1580" w:type="dxa"/>
            <w:vAlign w:val="bottom"/>
            <w:tcBorders>
              <w:right w:val="single" w:sz="8" w:color="auto"/>
            </w:tcBorders>
            <w:shd w:val="clear" w:color="auto" w:fill="1F2A44"/>
          </w:tcPr>
          <w:p>
            <w:pPr>
              <w:spacing w:after="0"/>
              <w:rPr>
                <w:sz w:val="21"/>
                <w:szCs w:val="21"/>
                <w:color w:val="auto"/>
              </w:rPr>
            </w:pPr>
          </w:p>
        </w:tc>
      </w:tr>
      <w:tr>
        <w:trPr>
          <w:trHeight w:val="269"/>
        </w:trPr>
        <w:tc>
          <w:tcPr>
            <w:tcW w:w="2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Warren M. Thompson</w:t>
            </w:r>
            <w:r>
              <w:rPr>
                <w:rFonts w:ascii="Arial" w:cs="Arial" w:eastAsia="Arial" w:hAnsi="Arial"/>
                <w:sz w:val="15"/>
                <w:szCs w:val="15"/>
                <w:color w:val="auto"/>
              </w:rPr>
              <w:t>(1)</w:t>
            </w:r>
          </w:p>
        </w:tc>
        <w:tc>
          <w:tcPr>
            <w:tcW w:w="67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Recommending individuals to stand for election to the Board</w:t>
            </w:r>
          </w:p>
        </w:tc>
        <w:tc>
          <w:tcPr>
            <w:tcW w:w="15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2</w:t>
            </w:r>
          </w:p>
        </w:tc>
      </w:tr>
      <w:tr>
        <w:trPr>
          <w:trHeight w:val="200"/>
        </w:trPr>
        <w:tc>
          <w:tcPr>
            <w:tcW w:w="2680" w:type="dxa"/>
            <w:vAlign w:val="bottom"/>
            <w:tcBorders>
              <w:left w:val="single" w:sz="8" w:color="auto"/>
              <w:right w:val="single" w:sz="8" w:color="auto"/>
            </w:tcBorders>
          </w:tcPr>
          <w:p>
            <w:pPr>
              <w:ind w:left="320"/>
              <w:spacing w:after="0" w:line="200" w:lineRule="exact"/>
              <w:rPr>
                <w:sz w:val="20"/>
                <w:szCs w:val="20"/>
                <w:color w:val="auto"/>
              </w:rPr>
            </w:pPr>
            <w:r>
              <w:rPr>
                <w:rFonts w:ascii="Arial" w:cs="Arial" w:eastAsia="Arial" w:hAnsi="Arial"/>
                <w:sz w:val="18"/>
                <w:szCs w:val="18"/>
                <w:color w:val="auto"/>
              </w:rPr>
              <w:t>Jon E. Bortz</w:t>
            </w:r>
          </w:p>
        </w:tc>
        <w:tc>
          <w:tcPr>
            <w:tcW w:w="6780" w:type="dxa"/>
            <w:vAlign w:val="bottom"/>
            <w:tcBorders>
              <w:right w:val="single" w:sz="8" w:color="auto"/>
            </w:tcBorders>
          </w:tcPr>
          <w:p>
            <w:pPr>
              <w:ind w:left="260"/>
              <w:spacing w:after="0" w:line="200" w:lineRule="exact"/>
              <w:rPr>
                <w:sz w:val="20"/>
                <w:szCs w:val="20"/>
                <w:color w:val="auto"/>
              </w:rPr>
            </w:pPr>
            <w:r>
              <w:rPr>
                <w:rFonts w:ascii="Arial" w:cs="Arial" w:eastAsia="Arial" w:hAnsi="Arial"/>
                <w:sz w:val="18"/>
                <w:szCs w:val="18"/>
                <w:color w:val="auto"/>
              </w:rPr>
              <w:t>•   Making recommendations regarding committee memberships</w:t>
            </w:r>
          </w:p>
        </w:tc>
        <w:tc>
          <w:tcPr>
            <w:tcW w:w="1580" w:type="dxa"/>
            <w:vAlign w:val="bottom"/>
            <w:tcBorders>
              <w:right w:val="single" w:sz="8" w:color="auto"/>
            </w:tcBorders>
          </w:tcPr>
          <w:p>
            <w:pPr>
              <w:spacing w:after="0"/>
              <w:rPr>
                <w:sz w:val="17"/>
                <w:szCs w:val="17"/>
                <w:color w:val="auto"/>
              </w:rPr>
            </w:pPr>
          </w:p>
        </w:tc>
      </w:tr>
      <w:tr>
        <w:trPr>
          <w:trHeight w:val="203"/>
        </w:trPr>
        <w:tc>
          <w:tcPr>
            <w:tcW w:w="2680" w:type="dxa"/>
            <w:vAlign w:val="bottom"/>
            <w:tcBorders>
              <w:left w:val="single" w:sz="8" w:color="auto"/>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Kristin Gamble</w:t>
            </w:r>
            <w:r>
              <w:rPr>
                <w:rFonts w:ascii="Arial" w:cs="Arial" w:eastAsia="Arial" w:hAnsi="Arial"/>
                <w:sz w:val="15"/>
                <w:szCs w:val="15"/>
                <w:color w:val="auto"/>
              </w:rPr>
              <w:t>(3)</w:t>
            </w:r>
          </w:p>
        </w:tc>
        <w:tc>
          <w:tcPr>
            <w:tcW w:w="678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   Overseeing our corporate governance policies and procedures, including</w:t>
            </w:r>
          </w:p>
        </w:tc>
        <w:tc>
          <w:tcPr>
            <w:tcW w:w="1580" w:type="dxa"/>
            <w:vAlign w:val="bottom"/>
            <w:tcBorders>
              <w:right w:val="single" w:sz="8" w:color="auto"/>
            </w:tcBorders>
          </w:tcPr>
          <w:p>
            <w:pPr>
              <w:spacing w:after="0"/>
              <w:rPr>
                <w:sz w:val="17"/>
                <w:szCs w:val="17"/>
                <w:color w:val="auto"/>
              </w:rPr>
            </w:pPr>
          </w:p>
        </w:tc>
      </w:tr>
      <w:tr>
        <w:trPr>
          <w:trHeight w:val="205"/>
        </w:trPr>
        <w:tc>
          <w:tcPr>
            <w:tcW w:w="2680" w:type="dxa"/>
            <w:vAlign w:val="bottom"/>
            <w:tcBorders>
              <w:left w:val="single" w:sz="8" w:color="auto"/>
              <w:right w:val="single" w:sz="8" w:color="auto"/>
            </w:tcBorders>
          </w:tcPr>
          <w:p>
            <w:pPr>
              <w:ind w:left="320"/>
              <w:spacing w:after="0" w:line="205" w:lineRule="exact"/>
              <w:rPr>
                <w:sz w:val="20"/>
                <w:szCs w:val="20"/>
                <w:color w:val="auto"/>
              </w:rPr>
            </w:pPr>
            <w:r>
              <w:rPr>
                <w:rFonts w:ascii="Arial" w:cs="Arial" w:eastAsia="Arial" w:hAnsi="Arial"/>
                <w:sz w:val="18"/>
                <w:szCs w:val="18"/>
                <w:color w:val="auto"/>
              </w:rPr>
              <w:t>Elizabeth I. Holland</w:t>
            </w:r>
            <w:r>
              <w:rPr>
                <w:rFonts w:ascii="Arial" w:cs="Arial" w:eastAsia="Arial" w:hAnsi="Arial"/>
                <w:sz w:val="15"/>
                <w:szCs w:val="15"/>
                <w:color w:val="auto"/>
              </w:rPr>
              <w:t>(3)</w:t>
            </w:r>
          </w:p>
        </w:tc>
        <w:tc>
          <w:tcPr>
            <w:tcW w:w="6780" w:type="dxa"/>
            <w:vAlign w:val="bottom"/>
            <w:tcBorders>
              <w:right w:val="single" w:sz="8" w:color="auto"/>
            </w:tcBorders>
          </w:tcPr>
          <w:p>
            <w:pPr>
              <w:ind w:left="620"/>
              <w:spacing w:after="0" w:line="205" w:lineRule="exact"/>
              <w:rPr>
                <w:sz w:val="20"/>
                <w:szCs w:val="20"/>
                <w:color w:val="auto"/>
              </w:rPr>
            </w:pPr>
            <w:r>
              <w:rPr>
                <w:rFonts w:ascii="Arial" w:cs="Arial" w:eastAsia="Arial" w:hAnsi="Arial"/>
                <w:sz w:val="18"/>
                <w:szCs w:val="18"/>
                <w:color w:val="auto"/>
              </w:rPr>
              <w:t>Board and Trustee evaluations</w:t>
            </w:r>
          </w:p>
        </w:tc>
        <w:tc>
          <w:tcPr>
            <w:tcW w:w="1580" w:type="dxa"/>
            <w:vAlign w:val="bottom"/>
            <w:tcBorders>
              <w:right w:val="single" w:sz="8" w:color="auto"/>
            </w:tcBorders>
          </w:tcPr>
          <w:p>
            <w:pPr>
              <w:spacing w:after="0"/>
              <w:rPr>
                <w:sz w:val="17"/>
                <w:szCs w:val="17"/>
                <w:color w:val="auto"/>
              </w:rPr>
            </w:pPr>
          </w:p>
        </w:tc>
      </w:tr>
      <w:tr>
        <w:trPr>
          <w:trHeight w:val="217"/>
        </w:trPr>
        <w:tc>
          <w:tcPr>
            <w:tcW w:w="26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Joseph S. Vassalluzzo</w:t>
            </w:r>
          </w:p>
        </w:tc>
        <w:tc>
          <w:tcPr>
            <w:tcW w:w="67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67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bl>
    <w:p>
      <w:pPr>
        <w:spacing w:after="0" w:line="211"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chairperson</w:t>
      </w:r>
    </w:p>
    <w:p>
      <w:pPr>
        <w:ind w:left="640" w:hanging="436"/>
        <w:spacing w:after="0" w:line="23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expert</w:t>
      </w:r>
    </w:p>
    <w:p>
      <w:pPr>
        <w:ind w:left="640" w:right="20" w:hanging="436"/>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Gamble served on these committees from January 1, 2017 until she retired from the Board on May 2, 2017. Ms. Holland began her service on these committees on May 2, 2017.</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The Board is responsible for overseeing enterprise level risk of the Trust and does so directly as well as through its committees. As part of carrying out its risk oversight responsibilities, the entire Board regularly receives updates from management on the continued viability of our business plan, market conditions, capital position, and our business results and specifically reviews potential business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w:t>
      </w:r>
    </w:p>
    <w:p>
      <w:pPr>
        <w:spacing w:after="0" w:line="199" w:lineRule="exact"/>
        <w:rPr>
          <w:sz w:val="20"/>
          <w:szCs w:val="20"/>
          <w:color w:val="auto"/>
        </w:rPr>
      </w:pPr>
    </w:p>
    <w:p>
      <w:pPr>
        <w:ind w:left="860" w:hanging="332"/>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market conditions on our business;</w:t>
      </w:r>
    </w:p>
    <w:p>
      <w:pPr>
        <w:ind w:left="860" w:right="20" w:hanging="332"/>
        <w:spacing w:after="0" w:line="23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risks such as the ability of our tenants to be successful and the ability to grow the company through increasing rents and redeveloping our properties;</w:t>
      </w:r>
    </w:p>
    <w:p>
      <w:pPr>
        <w:spacing w:after="0" w:line="1" w:lineRule="exact"/>
        <w:rPr>
          <w:rFonts w:ascii="Arial" w:cs="Arial" w:eastAsia="Arial" w:hAnsi="Arial"/>
          <w:sz w:val="18"/>
          <w:szCs w:val="18"/>
          <w:color w:val="auto"/>
        </w:rPr>
      </w:pPr>
    </w:p>
    <w:p>
      <w:pPr>
        <w:ind w:left="860" w:right="20" w:hanging="332"/>
        <w:spacing w:after="0" w:line="23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credit risks, including our ability to access capital to run and grow our business and our overall cost of capital and the impact on our profitability;</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risks from acquisitions and our development and redevelopment projects;</w:t>
      </w:r>
    </w:p>
    <w:p>
      <w:pPr>
        <w:ind w:left="860" w:hanging="332"/>
        <w:spacing w:after="0" w:line="23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risks that may impact our profitability;</w:t>
      </w:r>
    </w:p>
    <w:p>
      <w:pPr>
        <w:ind w:left="860" w:hanging="332"/>
        <w:spacing w:after="0" w:line="23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status as a real estate investment trust;</w:t>
      </w:r>
    </w:p>
    <w:p>
      <w:pPr>
        <w:ind w:left="860" w:hanging="332"/>
        <w:spacing w:after="0" w:line="23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cybersecurity risks; and</w:t>
      </w:r>
    </w:p>
    <w:p>
      <w:pPr>
        <w:ind w:left="860" w:hanging="332"/>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risks inherent in the real estate industry.</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In February 2018, our Compensation Committee reviewed our compensation policies and practices for all of our employees to determine whether any of such policies or programs created any risk that is reasonably likely to have a material adverse effect on the Trust. Based on that review, the Committee does not believe that our compensation programs encourage unnecessary or excessive risk taking. Specifically, the compensation of more than 96% of our corporate employees is based on corporate performance objectives. For the approximately, 4% of our employees who earn compensation by completing leasing transactions or closing acquisitions, they cannot complete any deals without first obtaining approvals from either the Board and/or one or more members of senior management whose compensation is tied to corporate performance.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Any shareholder or other interested party may communicate with the Board or any Trustee by sending the communication to the Trust’s corporate offices at 1626 East Jefferson Street, Rockville, MD 20852 in care of the Trust’s Secretary. All communications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20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Our Code of Business Conduct requires that our Trustees and all of our employees deal with the Trust on an arms-length basis in any related party transaction. All transactions between us and any of our Trustees, our named executive officers or other vice presidents, or entity in which any of them has an ownership interest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93"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Mr. Thompson, one of our Trustees, serves as the President and Chairman of the Board of Directors of Thompson Hospitality Corporation (“THC”). THC leases from us approximately 11,000 square feet for two restaurant locations. Those leases were negotiated at arms’ length, reflecting market conditions at the time they were negotiated, and are scheduled to expire on June 30, 2020 and December 31, 2021, subject to a tenant extension option. We anticipate receiving approximately $750,000 in rent and other related charges in 2018 from these two locations. In addition, during 2017 we had in place a partnership with THC pursuant to which our partnership leased a restaurant location from us in one of our properties. We owned 80% of the partnership and THC owned the remaining 20% of the partnership and acted as the manager of the restaurant and the partnership. The terms and structure of the partnership were negotiated at arms-length and reflected terms, structures and conditions consistent with other restaurant investments we have made. In 2017, we made the decision collectively with THC to terminate the partnership as well as the lease. This decision was based on the operating performance of the restaurant and not as a result of any disagreements between us and THC. We have finalized the dissolution of the partnership and termination of the lease and have already entered into a lease for the space with a new, unrelated restaurant tenant. The Board reviewed these relationships with Mr. Thompson and determined that Mr. Thompson met all independence requirements for his service as a Trustee during 2017 as described in the “Independence of Trustees” section above.</w:t>
      </w:r>
    </w:p>
    <w:p>
      <w:pPr>
        <w:spacing w:after="0" w:line="16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None of our named executive officers had or has any indebtedness to the Trust or any relationship with the Trust other than as an employee and shareholder. Employment and change-in-control arrangements between the Trust and the named executive officers are described in the “Potential Payments on Termination of Employment and Change-in-Control” section below.</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TRUSTEE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1 – 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Our Board of Trustees currently has seven Trustees, all of whom have been nominated to stand for election at the 2018 Annual Meeting. All trustees elected at the meeting will hold office until the 2019 Annual Meeting of Shareholders and until their successors have been duly elected and qualified. You are entitled to cast one vote per Share for each of the seven named individuals. Proxies may not be voted for more than seven individuals. Our Bylaws provide that in uncontested elections such as this one, a nominee must receive a majority of votes cast in order to be elected.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368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368935"/>
                    </a:xfrm>
                    <a:prstGeom prst="rect">
                      <a:avLst/>
                    </a:prstGeom>
                    <a:noFill/>
                  </pic:spPr>
                </pic:pic>
              </a:graphicData>
            </a:graphic>
          </wp:anchor>
        </w:drawing>
      </w:r>
    </w:p>
    <w:p>
      <w:pPr>
        <w:spacing w:after="0" w:line="37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The Board recommends that you vote “FOR” each of the nominees.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Nominating and Corporate Governance Committee is responsible for identifying individuals who are qualified candidates to serve on our Board. The committee has identified the following seven individuals to stand for election at our 2018 Annual Meeting of Shareholders. Each of these nominees is currently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7006590" cy="259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6590" cy="2590165"/>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Jon E. Bortz</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tcPr>
          <w:p>
            <w:pPr>
              <w:jc w:val="right"/>
              <w:ind w:right="385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61</w:t>
            </w: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President, Chief Executive Officer and Chairman of the Board of</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2005</w:t>
            </w:r>
          </w:p>
        </w:tc>
        <w:tc>
          <w:tcPr>
            <w:tcW w:w="6480" w:type="dxa"/>
            <w:vAlign w:val="bottom"/>
          </w:tcPr>
          <w:p>
            <w:pPr>
              <w:ind w:left="960"/>
              <w:spacing w:after="0" w:line="203" w:lineRule="exact"/>
              <w:rPr>
                <w:sz w:val="20"/>
                <w:szCs w:val="20"/>
                <w:color w:val="auto"/>
              </w:rPr>
            </w:pPr>
            <w:r>
              <w:rPr>
                <w:rFonts w:ascii="Arial" w:cs="Arial" w:eastAsia="Arial" w:hAnsi="Arial"/>
                <w:sz w:val="18"/>
                <w:szCs w:val="18"/>
                <w:color w:val="auto"/>
              </w:rPr>
              <w:t>Pebblebrook Hotel Trust (2009 – present)</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Various positions with LaSalle Hotel Properties including President,</w:t>
            </w:r>
          </w:p>
        </w:tc>
      </w:tr>
      <w:tr>
        <w:trPr>
          <w:trHeight w:val="202"/>
        </w:trPr>
        <w:tc>
          <w:tcPr>
            <w:tcW w:w="2260" w:type="dxa"/>
            <w:vAlign w:val="bottom"/>
          </w:tcPr>
          <w:p>
            <w:pPr>
              <w:spacing w:after="0"/>
              <w:rPr>
                <w:sz w:val="17"/>
                <w:szCs w:val="17"/>
                <w:color w:val="auto"/>
              </w:rPr>
            </w:pPr>
          </w:p>
        </w:tc>
        <w:tc>
          <w:tcPr>
            <w:tcW w:w="6480" w:type="dxa"/>
            <w:vAlign w:val="bottom"/>
          </w:tcPr>
          <w:p>
            <w:pPr>
              <w:jc w:val="right"/>
              <w:spacing w:after="0" w:line="201" w:lineRule="exact"/>
              <w:rPr>
                <w:sz w:val="20"/>
                <w:szCs w:val="20"/>
                <w:color w:val="auto"/>
              </w:rPr>
            </w:pPr>
            <w:r>
              <w:rPr>
                <w:rFonts w:ascii="Arial" w:cs="Arial" w:eastAsia="Arial" w:hAnsi="Arial"/>
                <w:sz w:val="18"/>
                <w:szCs w:val="18"/>
                <w:color w:val="auto"/>
              </w:rPr>
              <w:t>Chief Executive Officer, Trustee and Chairman of the Board (1998 –</w:t>
            </w:r>
          </w:p>
        </w:tc>
      </w:tr>
      <w:tr>
        <w:trPr>
          <w:trHeight w:val="217"/>
        </w:trPr>
        <w:tc>
          <w:tcPr>
            <w:tcW w:w="2260" w:type="dxa"/>
            <w:vAlign w:val="bottom"/>
          </w:tcPr>
          <w:p>
            <w:pPr>
              <w:spacing w:after="0"/>
              <w:rPr>
                <w:sz w:val="18"/>
                <w:szCs w:val="18"/>
                <w:color w:val="auto"/>
              </w:rPr>
            </w:pPr>
          </w:p>
        </w:tc>
        <w:tc>
          <w:tcPr>
            <w:tcW w:w="6480" w:type="dxa"/>
            <w:vAlign w:val="bottom"/>
          </w:tcPr>
          <w:p>
            <w:pPr>
              <w:ind w:left="960"/>
              <w:spacing w:after="0"/>
              <w:rPr>
                <w:sz w:val="20"/>
                <w:szCs w:val="20"/>
                <w:color w:val="auto"/>
              </w:rPr>
            </w:pPr>
            <w:r>
              <w:rPr>
                <w:rFonts w:ascii="Arial" w:cs="Arial" w:eastAsia="Arial" w:hAnsi="Arial"/>
                <w:sz w:val="18"/>
                <w:szCs w:val="18"/>
                <w:color w:val="auto"/>
              </w:rPr>
              <w:t>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3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Committees:</w:t>
            </w:r>
          </w:p>
        </w:tc>
        <w:tc>
          <w:tcPr>
            <w:tcW w:w="6680" w:type="dxa"/>
            <w:vAlign w:val="bottom"/>
            <w:tcBorders>
              <w:top w:val="single" w:sz="8" w:color="auto"/>
            </w:tcBorders>
          </w:tcPr>
          <w:p>
            <w:pPr>
              <w:ind w:left="8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Audit</w:t>
            </w:r>
          </w:p>
        </w:tc>
        <w:tc>
          <w:tcPr>
            <w:tcW w:w="6680" w:type="dxa"/>
            <w:vAlign w:val="bottom"/>
          </w:tcPr>
          <w:p>
            <w:pPr>
              <w:ind w:left="800"/>
              <w:spacing w:after="0" w:line="202" w:lineRule="exact"/>
              <w:rPr>
                <w:sz w:val="20"/>
                <w:szCs w:val="20"/>
                <w:color w:val="auto"/>
              </w:rPr>
            </w:pPr>
            <w:r>
              <w:rPr>
                <w:rFonts w:ascii="Arial" w:cs="Arial" w:eastAsia="Arial" w:hAnsi="Arial"/>
                <w:sz w:val="18"/>
                <w:szCs w:val="18"/>
                <w:color w:val="auto"/>
              </w:rPr>
              <w:t>•   Pebblebrook Hotel Trust (2009 – present)</w:t>
            </w:r>
          </w:p>
        </w:tc>
      </w:tr>
      <w:tr>
        <w:trPr>
          <w:trHeight w:val="216"/>
        </w:trPr>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Nominating and Corporate Governance</w:t>
            </w:r>
          </w:p>
        </w:tc>
        <w:tc>
          <w:tcPr>
            <w:tcW w:w="6680" w:type="dxa"/>
            <w:vAlign w:val="bottom"/>
          </w:tcPr>
          <w:p>
            <w:pPr>
              <w:spacing w:after="0"/>
              <w:rPr>
                <w:sz w:val="18"/>
                <w:szCs w:val="18"/>
                <w:color w:val="auto"/>
              </w:rPr>
            </w:pPr>
          </w:p>
        </w:tc>
      </w:tr>
    </w:tbl>
    <w:p>
      <w:pPr>
        <w:ind w:left="360"/>
        <w:spacing w:after="0" w:line="234" w:lineRule="auto"/>
        <w:rPr>
          <w:sz w:val="20"/>
          <w:szCs w:val="20"/>
          <w:color w:val="auto"/>
        </w:rPr>
      </w:pPr>
      <w:r>
        <w:rPr>
          <w:rFonts w:ascii="Arial" w:cs="Arial" w:eastAsia="Arial" w:hAnsi="Arial"/>
          <w:sz w:val="18"/>
          <w:szCs w:val="18"/>
          <w:b w:val="1"/>
          <w:bCs w:val="1"/>
          <w:color w:val="auto"/>
        </w:rPr>
        <w:t>Specific Qualifications and Skills:</w:t>
      </w:r>
    </w:p>
    <w:p>
      <w:pPr>
        <w:spacing w:after="0" w:line="1" w:lineRule="exact"/>
        <w:rPr>
          <w:sz w:val="20"/>
          <w:szCs w:val="20"/>
          <w:color w:val="auto"/>
        </w:rPr>
      </w:pPr>
    </w:p>
    <w:p>
      <w:pPr>
        <w:jc w:val="both"/>
        <w:ind w:left="360" w:right="60"/>
        <w:spacing w:after="0"/>
        <w:rPr>
          <w:sz w:val="20"/>
          <w:szCs w:val="20"/>
          <w:color w:val="auto"/>
        </w:rPr>
      </w:pPr>
      <w:r>
        <w:rPr>
          <w:rFonts w:ascii="Arial" w:cs="Arial" w:eastAsia="Arial" w:hAnsi="Arial"/>
          <w:sz w:val="18"/>
          <w:szCs w:val="18"/>
          <w:color w:val="auto"/>
        </w:rPr>
        <w:t>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461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6590" cy="2461260"/>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David W. Faeder</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gridSpan w:val="2"/>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61</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Managing Partner of Fountain Square Properties (2003 – present)</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2003</w:t>
            </w:r>
          </w:p>
        </w:tc>
        <w:tc>
          <w:tcPr>
            <w:tcW w:w="840" w:type="dxa"/>
            <w:vAlign w:val="bottom"/>
          </w:tcPr>
          <w:p>
            <w:pPr>
              <w:ind w:left="660"/>
              <w:spacing w:after="0" w:line="203"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3" w:lineRule="exact"/>
              <w:rPr>
                <w:sz w:val="20"/>
                <w:szCs w:val="20"/>
                <w:color w:val="auto"/>
              </w:rPr>
            </w:pPr>
            <w:r>
              <w:rPr>
                <w:rFonts w:ascii="Arial" w:cs="Arial" w:eastAsia="Arial" w:hAnsi="Arial"/>
                <w:sz w:val="18"/>
                <w:szCs w:val="18"/>
                <w:color w:val="auto"/>
              </w:rPr>
              <w:t>Various positions with Sunrise Senior Living, Inc. including Vice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840" w:type="dxa"/>
            <w:vAlign w:val="bottom"/>
          </w:tcPr>
          <w:p>
            <w:pPr>
              <w:spacing w:after="0"/>
              <w:rPr>
                <w:sz w:val="17"/>
                <w:szCs w:val="17"/>
                <w:color w:val="auto"/>
              </w:rPr>
            </w:pPr>
          </w:p>
        </w:tc>
        <w:tc>
          <w:tcPr>
            <w:tcW w:w="5640" w:type="dxa"/>
            <w:vAlign w:val="bottom"/>
          </w:tcPr>
          <w:p>
            <w:pPr>
              <w:ind w:left="120"/>
              <w:spacing w:after="0" w:line="202" w:lineRule="exact"/>
              <w:rPr>
                <w:sz w:val="20"/>
                <w:szCs w:val="20"/>
                <w:color w:val="auto"/>
              </w:rPr>
            </w:pPr>
            <w:r>
              <w:rPr>
                <w:rFonts w:ascii="Arial" w:cs="Arial" w:eastAsia="Arial" w:hAnsi="Arial"/>
                <w:sz w:val="18"/>
                <w:szCs w:val="18"/>
                <w:color w:val="auto"/>
              </w:rPr>
              <w:t>Chairman-President and Executive Vice President-Chief Financial</w:t>
            </w:r>
          </w:p>
        </w:tc>
      </w:tr>
      <w:tr>
        <w:trPr>
          <w:trHeight w:val="217"/>
        </w:trPr>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Officer (1993 to 2003)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36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Board Committees:</w:t>
            </w:r>
          </w:p>
        </w:tc>
        <w:tc>
          <w:tcPr>
            <w:tcW w:w="7360" w:type="dxa"/>
            <w:vAlign w:val="bottom"/>
            <w:tcBorders>
              <w:top w:val="single" w:sz="8" w:color="auto"/>
            </w:tcBorders>
          </w:tcPr>
          <w:p>
            <w:pPr>
              <w:ind w:left="148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Audit</w:t>
            </w:r>
          </w:p>
        </w:tc>
        <w:tc>
          <w:tcPr>
            <w:tcW w:w="7360" w:type="dxa"/>
            <w:vAlign w:val="bottom"/>
          </w:tcPr>
          <w:p>
            <w:pPr>
              <w:ind w:left="1480"/>
              <w:spacing w:after="0" w:line="202" w:lineRule="exact"/>
              <w:rPr>
                <w:sz w:val="20"/>
                <w:szCs w:val="20"/>
                <w:color w:val="auto"/>
              </w:rPr>
            </w:pPr>
            <w:r>
              <w:rPr>
                <w:rFonts w:ascii="Arial" w:cs="Arial" w:eastAsia="Arial" w:hAnsi="Arial"/>
                <w:sz w:val="18"/>
                <w:szCs w:val="18"/>
                <w:color w:val="auto"/>
              </w:rPr>
              <w:t>•   Arlington Asset Investment Corp. (2013 – present)</w:t>
            </w:r>
          </w:p>
        </w:tc>
      </w:tr>
      <w:tr>
        <w:trPr>
          <w:trHeight w:val="216"/>
        </w:trPr>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rPr>
              <w:t>Compensation (Chair)</w:t>
            </w:r>
          </w:p>
        </w:tc>
        <w:tc>
          <w:tcPr>
            <w:tcW w:w="7360" w:type="dxa"/>
            <w:vAlign w:val="bottom"/>
          </w:tcPr>
          <w:p>
            <w:pPr>
              <w:spacing w:after="0"/>
              <w:rPr>
                <w:sz w:val="18"/>
                <w:szCs w:val="18"/>
                <w:color w:val="auto"/>
              </w:rPr>
            </w:pPr>
          </w:p>
        </w:tc>
      </w:tr>
    </w:tbl>
    <w:p>
      <w:pPr>
        <w:ind w:left="360"/>
        <w:spacing w:after="0" w:line="234" w:lineRule="auto"/>
        <w:rPr>
          <w:sz w:val="20"/>
          <w:szCs w:val="20"/>
          <w:color w:val="auto"/>
        </w:rPr>
      </w:pPr>
      <w:r>
        <w:rPr>
          <w:rFonts w:ascii="Arial" w:cs="Arial" w:eastAsia="Arial" w:hAnsi="Arial"/>
          <w:sz w:val="18"/>
          <w:szCs w:val="18"/>
          <w:b w:val="1"/>
          <w:bCs w:val="1"/>
          <w:color w:val="auto"/>
        </w:rPr>
        <w:t>Specific Qualifications and Skills:</w:t>
      </w:r>
    </w:p>
    <w:p>
      <w:pPr>
        <w:spacing w:after="0" w:line="1" w:lineRule="exact"/>
        <w:rPr>
          <w:sz w:val="20"/>
          <w:szCs w:val="20"/>
          <w:color w:val="auto"/>
        </w:rPr>
      </w:pPr>
    </w:p>
    <w:p>
      <w:pPr>
        <w:jc w:val="both"/>
        <w:ind w:left="360" w:right="60"/>
        <w:spacing w:after="0" w:line="246" w:lineRule="auto"/>
        <w:rPr>
          <w:sz w:val="20"/>
          <w:szCs w:val="20"/>
          <w:color w:val="auto"/>
        </w:rPr>
      </w:pPr>
      <w:r>
        <w:rPr>
          <w:rFonts w:ascii="Arial" w:cs="Arial" w:eastAsia="Arial" w:hAnsi="Arial"/>
          <w:sz w:val="18"/>
          <w:szCs w:val="18"/>
          <w:color w:val="auto"/>
        </w:rPr>
        <w:t>Mr. Faeder provides public company experience, accounting experience and real estate investing acumen to the Board, having previously served as the president and chief financial officer of Sunrise Senior Living and as an active private real estate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7006590" cy="259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6590" cy="2590165"/>
                    </a:xfrm>
                    <a:prstGeom prst="rect">
                      <a:avLst/>
                    </a:prstGeom>
                    <a:noFill/>
                  </pic:spPr>
                </pic:pic>
              </a:graphicData>
            </a:graphic>
          </wp:anchor>
        </w:drawing>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Elizabeth I. Holland</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tcPr>
          <w:p>
            <w:pPr>
              <w:jc w:val="right"/>
              <w:ind w:right="385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52</w:t>
            </w: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Chief Executive Officer of Abbell Credit Corporation and Abbell</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2017</w:t>
            </w:r>
          </w:p>
        </w:tc>
        <w:tc>
          <w:tcPr>
            <w:tcW w:w="6480" w:type="dxa"/>
            <w:vAlign w:val="bottom"/>
          </w:tcPr>
          <w:p>
            <w:pPr>
              <w:ind w:left="960"/>
              <w:spacing w:after="0" w:line="203" w:lineRule="exact"/>
              <w:rPr>
                <w:sz w:val="20"/>
                <w:szCs w:val="20"/>
                <w:color w:val="auto"/>
              </w:rPr>
            </w:pPr>
            <w:r>
              <w:rPr>
                <w:rFonts w:ascii="Arial" w:cs="Arial" w:eastAsia="Arial" w:hAnsi="Arial"/>
                <w:sz w:val="18"/>
                <w:szCs w:val="18"/>
                <w:color w:val="auto"/>
              </w:rPr>
              <w:t>Associates, LLC (1997 – present)</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Board of Trustees of the International Council of Shopping Centers</w:t>
            </w:r>
          </w:p>
        </w:tc>
      </w:tr>
      <w:tr>
        <w:trPr>
          <w:trHeight w:val="202"/>
        </w:trPr>
        <w:tc>
          <w:tcPr>
            <w:tcW w:w="2260" w:type="dxa"/>
            <w:vAlign w:val="bottom"/>
          </w:tcPr>
          <w:p>
            <w:pPr>
              <w:spacing w:after="0"/>
              <w:rPr>
                <w:sz w:val="17"/>
                <w:szCs w:val="17"/>
                <w:color w:val="auto"/>
              </w:rPr>
            </w:pPr>
          </w:p>
        </w:tc>
        <w:tc>
          <w:tcPr>
            <w:tcW w:w="6480" w:type="dxa"/>
            <w:vAlign w:val="bottom"/>
          </w:tcPr>
          <w:p>
            <w:pPr>
              <w:jc w:val="right"/>
              <w:spacing w:after="0" w:line="201" w:lineRule="exact"/>
              <w:rPr>
                <w:sz w:val="20"/>
                <w:szCs w:val="20"/>
                <w:color w:val="auto"/>
              </w:rPr>
            </w:pPr>
            <w:r>
              <w:rPr>
                <w:rFonts w:ascii="Arial" w:cs="Arial" w:eastAsia="Arial" w:hAnsi="Arial"/>
                <w:sz w:val="18"/>
                <w:szCs w:val="18"/>
                <w:color w:val="auto"/>
              </w:rPr>
              <w:t>(from 2004-2010 and 2015 to present), Chairman of the Board of</w:t>
            </w:r>
          </w:p>
        </w:tc>
      </w:tr>
      <w:tr>
        <w:trPr>
          <w:trHeight w:val="203"/>
        </w:trPr>
        <w:tc>
          <w:tcPr>
            <w:tcW w:w="2260" w:type="dxa"/>
            <w:vAlign w:val="bottom"/>
          </w:tcPr>
          <w:p>
            <w:pPr>
              <w:spacing w:after="0"/>
              <w:rPr>
                <w:sz w:val="17"/>
                <w:szCs w:val="17"/>
                <w:color w:val="auto"/>
              </w:rPr>
            </w:pP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Trustees (2016 – 2017) and Vice Chairman of the Board of Trustees</w:t>
            </w:r>
          </w:p>
        </w:tc>
      </w:tr>
      <w:tr>
        <w:trPr>
          <w:trHeight w:val="217"/>
        </w:trPr>
        <w:tc>
          <w:tcPr>
            <w:tcW w:w="2260" w:type="dxa"/>
            <w:vAlign w:val="bottom"/>
          </w:tcPr>
          <w:p>
            <w:pPr>
              <w:spacing w:after="0"/>
              <w:rPr>
                <w:sz w:val="18"/>
                <w:szCs w:val="18"/>
                <w:color w:val="auto"/>
              </w:rPr>
            </w:pPr>
          </w:p>
        </w:tc>
        <w:tc>
          <w:tcPr>
            <w:tcW w:w="6480" w:type="dxa"/>
            <w:vAlign w:val="bottom"/>
          </w:tcPr>
          <w:p>
            <w:pPr>
              <w:ind w:left="960"/>
              <w:spacing w:after="0"/>
              <w:rPr>
                <w:sz w:val="20"/>
                <w:szCs w:val="20"/>
                <w:color w:val="auto"/>
              </w:rPr>
            </w:pPr>
            <w:r>
              <w:rPr>
                <w:rFonts w:ascii="Arial" w:cs="Arial" w:eastAsia="Arial" w:hAnsi="Arial"/>
                <w:sz w:val="18"/>
                <w:szCs w:val="18"/>
                <w:color w:val="auto"/>
              </w:rPr>
              <w:t>(2015 – 2016)</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3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Board Committees:</w:t>
            </w:r>
          </w:p>
        </w:tc>
        <w:tc>
          <w:tcPr>
            <w:tcW w:w="6680" w:type="dxa"/>
            <w:vAlign w:val="bottom"/>
            <w:tcBorders>
              <w:top w:val="single" w:sz="8" w:color="auto"/>
            </w:tcBorders>
          </w:tcPr>
          <w:p>
            <w:pPr>
              <w:ind w:left="8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Compensation</w:t>
            </w:r>
          </w:p>
        </w:tc>
        <w:tc>
          <w:tcPr>
            <w:tcW w:w="6680" w:type="dxa"/>
            <w:vAlign w:val="bottom"/>
          </w:tcPr>
          <w:p>
            <w:pPr>
              <w:ind w:left="800"/>
              <w:spacing w:after="0" w:line="202" w:lineRule="exact"/>
              <w:rPr>
                <w:sz w:val="20"/>
                <w:szCs w:val="20"/>
                <w:color w:val="auto"/>
              </w:rPr>
            </w:pPr>
            <w:r>
              <w:rPr>
                <w:rFonts w:ascii="Arial" w:cs="Arial" w:eastAsia="Arial" w:hAnsi="Arial"/>
                <w:sz w:val="18"/>
                <w:szCs w:val="18"/>
                <w:color w:val="auto"/>
              </w:rPr>
              <w:t>•   VICI Properties, Inc. (2017 – present)</w:t>
            </w:r>
          </w:p>
        </w:tc>
      </w:tr>
      <w:tr>
        <w:trPr>
          <w:trHeight w:val="203"/>
        </w:trPr>
        <w:tc>
          <w:tcPr>
            <w:tcW w:w="30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w:t>
            </w:r>
          </w:p>
        </w:tc>
        <w:tc>
          <w:tcPr>
            <w:tcW w:w="40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Nominating and Corporate Governance</w:t>
            </w:r>
          </w:p>
        </w:tc>
        <w:tc>
          <w:tcPr>
            <w:tcW w:w="6680" w:type="dxa"/>
            <w:vAlign w:val="bottom"/>
            <w:tcBorders>
              <w:bottom w:val="single" w:sz="8" w:color="auto"/>
            </w:tcBorders>
          </w:tcPr>
          <w:p>
            <w:pPr>
              <w:spacing w:after="0"/>
              <w:rPr>
                <w:sz w:val="17"/>
                <w:szCs w:val="17"/>
                <w:color w:val="auto"/>
              </w:rPr>
            </w:pPr>
          </w:p>
        </w:tc>
      </w:tr>
      <w:tr>
        <w:trPr>
          <w:trHeight w:val="195"/>
        </w:trPr>
        <w:tc>
          <w:tcPr>
            <w:tcW w:w="4340" w:type="dxa"/>
            <w:vAlign w:val="bottom"/>
            <w:gridSpan w:val="2"/>
          </w:tcPr>
          <w:p>
            <w:pPr>
              <w:ind w:left="140"/>
              <w:spacing w:after="0" w:line="195" w:lineRule="exact"/>
              <w:rPr>
                <w:sz w:val="20"/>
                <w:szCs w:val="20"/>
                <w:color w:val="auto"/>
              </w:rPr>
            </w:pPr>
            <w:r>
              <w:rPr>
                <w:rFonts w:ascii="Arial" w:cs="Arial" w:eastAsia="Arial" w:hAnsi="Arial"/>
                <w:sz w:val="18"/>
                <w:szCs w:val="18"/>
                <w:b w:val="1"/>
                <w:bCs w:val="1"/>
                <w:color w:val="auto"/>
              </w:rPr>
              <w:t>Specific Qualifications and Skills:</w:t>
            </w:r>
          </w:p>
        </w:tc>
        <w:tc>
          <w:tcPr>
            <w:tcW w:w="6680" w:type="dxa"/>
            <w:vAlign w:val="bottom"/>
          </w:tcPr>
          <w:p>
            <w:pPr>
              <w:spacing w:after="0"/>
              <w:rPr>
                <w:sz w:val="16"/>
                <w:szCs w:val="16"/>
                <w:color w:val="auto"/>
              </w:rPr>
            </w:pPr>
          </w:p>
        </w:tc>
      </w:tr>
    </w:tbl>
    <w:p>
      <w:pPr>
        <w:jc w:val="both"/>
        <w:ind w:left="360" w:right="60"/>
        <w:spacing w:after="0"/>
        <w:rPr>
          <w:sz w:val="20"/>
          <w:szCs w:val="20"/>
          <w:color w:val="auto"/>
        </w:rPr>
      </w:pPr>
      <w:r>
        <w:rPr>
          <w:rFonts w:ascii="Arial" w:cs="Arial" w:eastAsia="Arial" w:hAnsi="Arial"/>
          <w:sz w:val="18"/>
          <w:szCs w:val="18"/>
          <w:color w:val="auto"/>
        </w:rPr>
        <w:t>Ms. Holland brings to the Board a deep understanding of owning and investing in retail real estate from her experience as a private investor. Her insights into issues affecting many of our tenants learned from her experience as Chairman of the International Council of Shopping Centers also provides a valuable perspective for the Board to understand the Trust’s business.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461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6590" cy="2461260"/>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Gail P. Steinel</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gridSpan w:val="2"/>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61</w:t>
            </w:r>
          </w:p>
        </w:tc>
        <w:tc>
          <w:tcPr>
            <w:tcW w:w="64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   Owner of Executive Advisors (2007 – present)</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2006</w:t>
            </w:r>
          </w:p>
        </w:tc>
        <w:tc>
          <w:tcPr>
            <w:tcW w:w="840" w:type="dxa"/>
            <w:vAlign w:val="bottom"/>
          </w:tcPr>
          <w:p>
            <w:pPr>
              <w:ind w:left="660"/>
              <w:spacing w:after="0" w:line="203"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3" w:lineRule="exact"/>
              <w:rPr>
                <w:sz w:val="20"/>
                <w:szCs w:val="20"/>
                <w:color w:val="auto"/>
              </w:rPr>
            </w:pPr>
            <w:r>
              <w:rPr>
                <w:rFonts w:ascii="Arial" w:cs="Arial" w:eastAsia="Arial" w:hAnsi="Arial"/>
                <w:sz w:val="18"/>
                <w:szCs w:val="18"/>
                <w:color w:val="auto"/>
              </w:rPr>
              <w:t>Executive Vice President of BearingPoint, Inc. (2002 – 2007)</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Global  Managing  Partner  of  Management  and  Technology</w:t>
            </w:r>
          </w:p>
        </w:tc>
      </w:tr>
      <w:tr>
        <w:trPr>
          <w:trHeight w:val="217"/>
        </w:trPr>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Consulting Practice for Arthur Andersen (1984 –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34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Board Committees:</w:t>
            </w:r>
          </w:p>
        </w:tc>
        <w:tc>
          <w:tcPr>
            <w:tcW w:w="7540" w:type="dxa"/>
            <w:vAlign w:val="bottom"/>
            <w:tcBorders>
              <w:top w:val="single" w:sz="8" w:color="auto"/>
            </w:tcBorders>
          </w:tcPr>
          <w:p>
            <w:pPr>
              <w:ind w:left="166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Audit (Chair)</w:t>
            </w:r>
          </w:p>
        </w:tc>
        <w:tc>
          <w:tcPr>
            <w:tcW w:w="7540" w:type="dxa"/>
            <w:vAlign w:val="bottom"/>
          </w:tcPr>
          <w:p>
            <w:pPr>
              <w:ind w:left="1660"/>
              <w:spacing w:after="0" w:line="202" w:lineRule="exact"/>
              <w:rPr>
                <w:sz w:val="20"/>
                <w:szCs w:val="20"/>
                <w:color w:val="auto"/>
              </w:rPr>
            </w:pPr>
            <w:r>
              <w:rPr>
                <w:rFonts w:ascii="Arial" w:cs="Arial" w:eastAsia="Arial" w:hAnsi="Arial"/>
                <w:sz w:val="18"/>
                <w:szCs w:val="18"/>
                <w:color w:val="auto"/>
              </w:rPr>
              <w:t>•   MTS Systems Corporation (2009 – present)</w:t>
            </w:r>
          </w:p>
        </w:tc>
      </w:tr>
      <w:tr>
        <w:trPr>
          <w:trHeight w:val="216"/>
        </w:trPr>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31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7540" w:type="dxa"/>
            <w:vAlign w:val="bottom"/>
          </w:tcPr>
          <w:p>
            <w:pPr>
              <w:spacing w:after="0"/>
              <w:rPr>
                <w:sz w:val="18"/>
                <w:szCs w:val="18"/>
                <w:color w:val="auto"/>
              </w:rPr>
            </w:pPr>
          </w:p>
        </w:tc>
      </w:tr>
    </w:tbl>
    <w:p>
      <w:pPr>
        <w:ind w:left="360"/>
        <w:spacing w:after="0" w:line="234" w:lineRule="auto"/>
        <w:rPr>
          <w:sz w:val="20"/>
          <w:szCs w:val="20"/>
          <w:color w:val="auto"/>
        </w:rPr>
      </w:pPr>
      <w:r>
        <w:rPr>
          <w:rFonts w:ascii="Arial" w:cs="Arial" w:eastAsia="Arial" w:hAnsi="Arial"/>
          <w:sz w:val="18"/>
          <w:szCs w:val="18"/>
          <w:b w:val="1"/>
          <w:bCs w:val="1"/>
          <w:color w:val="auto"/>
        </w:rPr>
        <w:t>Specific Qualifications and Skills:</w:t>
      </w:r>
    </w:p>
    <w:p>
      <w:pPr>
        <w:spacing w:after="0" w:line="1" w:lineRule="exact"/>
        <w:rPr>
          <w:sz w:val="20"/>
          <w:szCs w:val="20"/>
          <w:color w:val="auto"/>
        </w:rPr>
      </w:pPr>
    </w:p>
    <w:p>
      <w:pPr>
        <w:ind w:left="360" w:right="60"/>
        <w:spacing w:after="0" w:line="246" w:lineRule="auto"/>
        <w:rPr>
          <w:sz w:val="20"/>
          <w:szCs w:val="20"/>
          <w:color w:val="auto"/>
        </w:rPr>
      </w:pPr>
      <w:r>
        <w:rPr>
          <w:rFonts w:ascii="Arial" w:cs="Arial" w:eastAsia="Arial" w:hAnsi="Arial"/>
          <w:sz w:val="18"/>
          <w:szCs w:val="18"/>
          <w:color w:val="auto"/>
        </w:rPr>
        <w:t>Ms. Steinel has over 25 years of auditing and consulting experience that provides the Board with valuable accounting and financial expertise, as well as a helpful perspective on leadership and on managing risk and systems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7006590" cy="24701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6590" cy="2470150"/>
                    </a:xfrm>
                    <a:prstGeom prst="rect">
                      <a:avLst/>
                    </a:prstGeom>
                    <a:noFill/>
                  </pic:spPr>
                </pic:pic>
              </a:graphicData>
            </a:graphic>
          </wp:anchor>
        </w:drawing>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Warren M. Thompson</w:t>
      </w:r>
    </w:p>
    <w:p>
      <w:pPr>
        <w:spacing w:after="0" w:line="71" w:lineRule="exact"/>
        <w:rPr>
          <w:sz w:val="20"/>
          <w:szCs w:val="20"/>
          <w:color w:val="auto"/>
        </w:rPr>
      </w:pPr>
    </w:p>
    <w:tbl>
      <w:tblPr>
        <w:tblLayout w:type="fixed"/>
        <w:tblInd w:w="220" w:type="dxa"/>
        <w:tblCellMar>
          <w:top w:w="0" w:type="dxa"/>
          <w:left w:w="0" w:type="dxa"/>
          <w:bottom w:w="0" w:type="dxa"/>
          <w:right w:w="0" w:type="dxa"/>
        </w:tblCellMar>
      </w:tblPr>
      <w:tr>
        <w:trPr>
          <w:trHeight w:val="23"/>
        </w:trPr>
        <w:tc>
          <w:tcPr>
            <w:tcW w:w="5060" w:type="dxa"/>
            <w:vAlign w:val="bottom"/>
          </w:tcPr>
          <w:p>
            <w:pPr>
              <w:spacing w:after="0" w:line="20" w:lineRule="exact"/>
              <w:rPr>
                <w:sz w:val="1"/>
                <w:szCs w:val="1"/>
                <w:color w:val="auto"/>
              </w:rPr>
            </w:pPr>
          </w:p>
        </w:tc>
        <w:tc>
          <w:tcPr>
            <w:tcW w:w="5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Business Experience:</w:t>
            </w:r>
          </w:p>
        </w:tc>
        <w:tc>
          <w:tcPr>
            <w:tcW w:w="0" w:type="dxa"/>
            <w:vAlign w:val="bottom"/>
          </w:tcPr>
          <w:p>
            <w:pPr>
              <w:spacing w:after="0" w:line="20" w:lineRule="exact"/>
              <w:rPr>
                <w:sz w:val="1"/>
                <w:szCs w:val="1"/>
                <w:color w:val="auto"/>
              </w:rPr>
            </w:pPr>
          </w:p>
        </w:tc>
      </w:tr>
      <w:tr>
        <w:trPr>
          <w:trHeight w:val="202"/>
        </w:trPr>
        <w:tc>
          <w:tcPr>
            <w:tcW w:w="5060" w:type="dxa"/>
            <w:vAlign w:val="bottom"/>
            <w:tcBorders>
              <w:right w:val="single" w:sz="8" w:color="auto"/>
            </w:tcBorders>
          </w:tcPr>
          <w:p>
            <w:pPr>
              <w:spacing w:after="0"/>
              <w:rPr>
                <w:sz w:val="17"/>
                <w:szCs w:val="17"/>
                <w:color w:val="auto"/>
              </w:rPr>
            </w:pPr>
          </w:p>
        </w:tc>
        <w:tc>
          <w:tcPr>
            <w:tcW w:w="5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auto"/>
            </w:tcBorders>
          </w:tcPr>
          <w:p>
            <w:pPr>
              <w:ind w:left="2220"/>
              <w:spacing w:after="0" w:line="202" w:lineRule="exact"/>
              <w:rPr>
                <w:sz w:val="20"/>
                <w:szCs w:val="20"/>
                <w:color w:val="auto"/>
              </w:rPr>
            </w:pPr>
            <w:r>
              <w:rPr>
                <w:rFonts w:ascii="Arial" w:cs="Arial" w:eastAsia="Arial" w:hAnsi="Arial"/>
                <w:sz w:val="18"/>
                <w:szCs w:val="18"/>
                <w:color w:val="auto"/>
              </w:rPr>
              <w:t>Age: 58</w:t>
            </w:r>
          </w:p>
        </w:tc>
        <w:tc>
          <w:tcPr>
            <w:tcW w:w="5960" w:type="dxa"/>
            <w:vAlign w:val="bottom"/>
          </w:tcPr>
          <w:p>
            <w:pPr>
              <w:ind w:left="80"/>
              <w:spacing w:after="0" w:line="202" w:lineRule="exact"/>
              <w:rPr>
                <w:sz w:val="20"/>
                <w:szCs w:val="20"/>
                <w:color w:val="auto"/>
              </w:rPr>
            </w:pPr>
            <w:r>
              <w:rPr>
                <w:rFonts w:ascii="Arial" w:cs="Arial" w:eastAsia="Arial" w:hAnsi="Arial"/>
                <w:sz w:val="18"/>
                <w:szCs w:val="18"/>
                <w:color w:val="auto"/>
              </w:rPr>
              <w:t>•   President and Chairman of Thompson Hospitality Corporation since</w:t>
            </w:r>
          </w:p>
        </w:tc>
        <w:tc>
          <w:tcPr>
            <w:tcW w:w="0" w:type="dxa"/>
            <w:vAlign w:val="bottom"/>
          </w:tcPr>
          <w:p>
            <w:pPr>
              <w:spacing w:after="0"/>
              <w:rPr>
                <w:sz w:val="1"/>
                <w:szCs w:val="1"/>
                <w:color w:val="auto"/>
              </w:rPr>
            </w:pPr>
          </w:p>
        </w:tc>
      </w:tr>
      <w:tr>
        <w:trPr>
          <w:trHeight w:val="243"/>
        </w:trPr>
        <w:tc>
          <w:tcPr>
            <w:tcW w:w="506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Trustee since: 2007</w:t>
            </w:r>
          </w:p>
        </w:tc>
        <w:tc>
          <w:tcPr>
            <w:tcW w:w="5960" w:type="dxa"/>
            <w:vAlign w:val="bottom"/>
          </w:tcPr>
          <w:p>
            <w:pPr>
              <w:ind w:left="380"/>
              <w:spacing w:after="0"/>
              <w:rPr>
                <w:sz w:val="20"/>
                <w:szCs w:val="20"/>
                <w:color w:val="auto"/>
              </w:rPr>
            </w:pPr>
            <w:r>
              <w:rPr>
                <w:rFonts w:ascii="Arial" w:cs="Arial" w:eastAsia="Arial" w:hAnsi="Arial"/>
                <w:sz w:val="18"/>
                <w:szCs w:val="18"/>
                <w:color w:val="auto"/>
              </w:rPr>
              <w:t>founding the company in October 1992 (1992 – present)</w:t>
            </w:r>
          </w:p>
        </w:tc>
        <w:tc>
          <w:tcPr>
            <w:tcW w:w="0" w:type="dxa"/>
            <w:vAlign w:val="bottom"/>
          </w:tcPr>
          <w:p>
            <w:pPr>
              <w:spacing w:after="0"/>
              <w:rPr>
                <w:sz w:val="1"/>
                <w:szCs w:val="1"/>
                <w:color w:val="auto"/>
              </w:rPr>
            </w:pPr>
          </w:p>
        </w:tc>
      </w:tr>
      <w:tr>
        <w:trPr>
          <w:trHeight w:val="217"/>
        </w:trPr>
        <w:tc>
          <w:tcPr>
            <w:tcW w:w="506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Independent</w:t>
            </w:r>
          </w:p>
        </w:tc>
        <w:tc>
          <w:tcPr>
            <w:tcW w:w="5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7"/>
        </w:trPr>
        <w:tc>
          <w:tcPr>
            <w:tcW w:w="5060" w:type="dxa"/>
            <w:vAlign w:val="bottom"/>
            <w:tcBorders>
              <w:bottom w:val="single" w:sz="8" w:color="auto"/>
              <w:right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6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Board Committees:</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  Audit</w:t>
            </w:r>
          </w:p>
        </w:tc>
        <w:tc>
          <w:tcPr>
            <w:tcW w:w="5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color w:val="auto"/>
              </w:rPr>
              <w:t>•  Nominating and Corporate Governance (Chair)</w:t>
            </w:r>
          </w:p>
        </w:tc>
        <w:tc>
          <w:tcPr>
            <w:tcW w:w="5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Specific Qualifications and Skills:</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60" w:right="60"/>
        <w:spacing w:after="0" w:line="246" w:lineRule="auto"/>
        <w:rPr>
          <w:sz w:val="20"/>
          <w:szCs w:val="20"/>
          <w:color w:val="auto"/>
        </w:rPr>
      </w:pPr>
      <w:r>
        <w:rPr>
          <w:rFonts w:ascii="Arial" w:cs="Arial" w:eastAsia="Arial" w:hAnsi="Arial"/>
          <w:sz w:val="18"/>
          <w:szCs w:val="18"/>
          <w:color w:val="auto"/>
        </w:rPr>
        <w:t>Mr. Thompson’s experience running restaurants owned by Thompson Hospitality provides the Board and management with a unique perspective that is shared by a large percentage of the Trust’s retail tenants.</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718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6590" cy="2718435"/>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Joseph S. Vassalluzzo</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460" w:type="dxa"/>
            <w:vAlign w:val="bottom"/>
          </w:tcPr>
          <w:p>
            <w:pPr>
              <w:spacing w:after="0"/>
              <w:rPr>
                <w:sz w:val="19"/>
                <w:szCs w:val="19"/>
                <w:color w:val="auto"/>
              </w:rPr>
            </w:pPr>
          </w:p>
        </w:tc>
        <w:tc>
          <w:tcPr>
            <w:tcW w:w="6280" w:type="dxa"/>
            <w:vAlign w:val="bottom"/>
          </w:tcPr>
          <w:p>
            <w:pPr>
              <w:ind w:left="4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Age: 70</w:t>
            </w:r>
          </w:p>
        </w:tc>
        <w:tc>
          <w:tcPr>
            <w:tcW w:w="6280" w:type="dxa"/>
            <w:vAlign w:val="bottom"/>
          </w:tcPr>
          <w:p>
            <w:pPr>
              <w:ind w:left="460"/>
              <w:spacing w:after="0" w:line="202" w:lineRule="exact"/>
              <w:rPr>
                <w:sz w:val="20"/>
                <w:szCs w:val="20"/>
                <w:color w:val="auto"/>
              </w:rPr>
            </w:pPr>
            <w:r>
              <w:rPr>
                <w:rFonts w:ascii="Arial" w:cs="Arial" w:eastAsia="Arial" w:hAnsi="Arial"/>
                <w:sz w:val="18"/>
                <w:szCs w:val="18"/>
                <w:color w:val="auto"/>
              </w:rPr>
              <w:t>•   Non-Executive Chairman of the Board of Office Depot, Inc. (2017 –</w:t>
            </w:r>
          </w:p>
        </w:tc>
      </w:tr>
      <w:tr>
        <w:trPr>
          <w:trHeight w:val="203"/>
        </w:trPr>
        <w:tc>
          <w:tcPr>
            <w:tcW w:w="2460" w:type="dxa"/>
            <w:vAlign w:val="bottom"/>
          </w:tcPr>
          <w:p>
            <w:pPr>
              <w:spacing w:after="0" w:line="203" w:lineRule="exact"/>
              <w:rPr>
                <w:sz w:val="20"/>
                <w:szCs w:val="20"/>
                <w:color w:val="auto"/>
              </w:rPr>
            </w:pPr>
            <w:r>
              <w:rPr>
                <w:rFonts w:ascii="Arial" w:cs="Arial" w:eastAsia="Arial" w:hAnsi="Arial"/>
                <w:sz w:val="18"/>
                <w:szCs w:val="18"/>
                <w:color w:val="auto"/>
              </w:rPr>
              <w:t>Trustee since: 2002</w:t>
            </w:r>
          </w:p>
        </w:tc>
        <w:tc>
          <w:tcPr>
            <w:tcW w:w="6280" w:type="dxa"/>
            <w:vAlign w:val="bottom"/>
          </w:tcPr>
          <w:p>
            <w:pPr>
              <w:ind w:left="820"/>
              <w:spacing w:after="0" w:line="203" w:lineRule="exact"/>
              <w:rPr>
                <w:sz w:val="20"/>
                <w:szCs w:val="20"/>
                <w:color w:val="auto"/>
              </w:rPr>
            </w:pPr>
            <w:r>
              <w:rPr>
                <w:rFonts w:ascii="Arial" w:cs="Arial" w:eastAsia="Arial" w:hAnsi="Arial"/>
                <w:sz w:val="18"/>
                <w:szCs w:val="18"/>
                <w:color w:val="auto"/>
              </w:rPr>
              <w:t>present)</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Non-Executive Chairman</w:t>
            </w:r>
          </w:p>
        </w:tc>
        <w:tc>
          <w:tcPr>
            <w:tcW w:w="6280" w:type="dxa"/>
            <w:vAlign w:val="bottom"/>
          </w:tcPr>
          <w:p>
            <w:pPr>
              <w:ind w:left="460"/>
              <w:spacing w:after="0" w:line="202" w:lineRule="exact"/>
              <w:rPr>
                <w:sz w:val="20"/>
                <w:szCs w:val="20"/>
                <w:color w:val="auto"/>
              </w:rPr>
            </w:pPr>
            <w:r>
              <w:rPr>
                <w:rFonts w:ascii="Arial" w:cs="Arial" w:eastAsia="Arial" w:hAnsi="Arial"/>
                <w:sz w:val="18"/>
                <w:szCs w:val="18"/>
                <w:color w:val="auto"/>
              </w:rPr>
              <w:t>•   Non-Executive Chairman of the Board of Federal Realty Investment</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6280" w:type="dxa"/>
            <w:vAlign w:val="bottom"/>
          </w:tcPr>
          <w:p>
            <w:pPr>
              <w:ind w:left="760"/>
              <w:spacing w:after="0" w:line="202" w:lineRule="exact"/>
              <w:rPr>
                <w:sz w:val="20"/>
                <w:szCs w:val="20"/>
                <w:color w:val="auto"/>
              </w:rPr>
            </w:pPr>
            <w:r>
              <w:rPr>
                <w:rFonts w:ascii="Arial" w:cs="Arial" w:eastAsia="Arial" w:hAnsi="Arial"/>
                <w:sz w:val="18"/>
                <w:szCs w:val="18"/>
                <w:color w:val="auto"/>
              </w:rPr>
              <w:t>Trust (from 2006 to present)</w:t>
            </w:r>
          </w:p>
        </w:tc>
      </w:tr>
      <w:tr>
        <w:trPr>
          <w:trHeight w:val="202"/>
        </w:trPr>
        <w:tc>
          <w:tcPr>
            <w:tcW w:w="2460" w:type="dxa"/>
            <w:vAlign w:val="bottom"/>
          </w:tcPr>
          <w:p>
            <w:pPr>
              <w:spacing w:after="0"/>
              <w:rPr>
                <w:sz w:val="17"/>
                <w:szCs w:val="17"/>
                <w:color w:val="auto"/>
              </w:rPr>
            </w:pPr>
          </w:p>
        </w:tc>
        <w:tc>
          <w:tcPr>
            <w:tcW w:w="6280" w:type="dxa"/>
            <w:vAlign w:val="bottom"/>
          </w:tcPr>
          <w:p>
            <w:pPr>
              <w:ind w:left="460"/>
              <w:spacing w:after="0" w:line="201" w:lineRule="exact"/>
              <w:rPr>
                <w:sz w:val="20"/>
                <w:szCs w:val="20"/>
                <w:color w:val="auto"/>
              </w:rPr>
            </w:pPr>
            <w:r>
              <w:rPr>
                <w:rFonts w:ascii="Arial" w:cs="Arial" w:eastAsia="Arial" w:hAnsi="Arial"/>
                <w:sz w:val="18"/>
                <w:szCs w:val="18"/>
                <w:color w:val="auto"/>
              </w:rPr>
              <w:t>•   Various positions including Vice Chairman with Staples, Inc. (1989 –</w:t>
            </w:r>
          </w:p>
        </w:tc>
      </w:tr>
      <w:tr>
        <w:trPr>
          <w:trHeight w:val="217"/>
        </w:trPr>
        <w:tc>
          <w:tcPr>
            <w:tcW w:w="2460" w:type="dxa"/>
            <w:vAlign w:val="bottom"/>
          </w:tcPr>
          <w:p>
            <w:pPr>
              <w:spacing w:after="0"/>
              <w:rPr>
                <w:sz w:val="18"/>
                <w:szCs w:val="18"/>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rPr>
              <w:t>2005)</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3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Board Committees:</w:t>
            </w:r>
          </w:p>
        </w:tc>
        <w:tc>
          <w:tcPr>
            <w:tcW w:w="668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Compensation</w:t>
            </w:r>
          </w:p>
        </w:tc>
        <w:tc>
          <w:tcPr>
            <w:tcW w:w="66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   Office Depot, Inc. (2013 – present)</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Nominating and Corporate Governance</w:t>
            </w:r>
          </w:p>
        </w:tc>
        <w:tc>
          <w:tcPr>
            <w:tcW w:w="1000" w:type="dxa"/>
            <w:vAlign w:val="bottom"/>
          </w:tcPr>
          <w:p>
            <w:pPr>
              <w:ind w:left="800"/>
              <w:spacing w:after="0" w:line="202" w:lineRule="exact"/>
              <w:rPr>
                <w:sz w:val="20"/>
                <w:szCs w:val="20"/>
                <w:color w:val="auto"/>
              </w:rPr>
            </w:pPr>
            <w:r>
              <w:rPr>
                <w:rFonts w:ascii="Arial" w:cs="Arial" w:eastAsia="Arial" w:hAnsi="Arial"/>
                <w:sz w:val="18"/>
                <w:szCs w:val="18"/>
                <w:color w:val="auto"/>
              </w:rPr>
              <w:t>•</w:t>
            </w:r>
          </w:p>
        </w:tc>
        <w:tc>
          <w:tcPr>
            <w:tcW w:w="5680" w:type="dxa"/>
            <w:vAlign w:val="bottom"/>
          </w:tcPr>
          <w:p>
            <w:pPr>
              <w:ind w:left="120"/>
              <w:spacing w:after="0" w:line="202" w:lineRule="exact"/>
              <w:rPr>
                <w:sz w:val="20"/>
                <w:szCs w:val="20"/>
                <w:color w:val="auto"/>
              </w:rPr>
            </w:pPr>
            <w:r>
              <w:rPr>
                <w:rFonts w:ascii="Arial" w:cs="Arial" w:eastAsia="Arial" w:hAnsi="Arial"/>
                <w:sz w:val="18"/>
                <w:szCs w:val="18"/>
                <w:color w:val="auto"/>
              </w:rPr>
              <w:t>Life Time Fitness, Inc. (2006 – 2015)</w:t>
            </w:r>
          </w:p>
        </w:tc>
      </w:tr>
      <w:tr>
        <w:trPr>
          <w:trHeight w:val="203"/>
        </w:trPr>
        <w:tc>
          <w:tcPr>
            <w:tcW w:w="3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line="203" w:lineRule="exact"/>
              <w:rPr>
                <w:sz w:val="20"/>
                <w:szCs w:val="20"/>
                <w:color w:val="auto"/>
              </w:rPr>
            </w:pPr>
            <w:r>
              <w:rPr>
                <w:rFonts w:ascii="Arial" w:cs="Arial" w:eastAsia="Arial" w:hAnsi="Arial"/>
                <w:sz w:val="18"/>
                <w:szCs w:val="18"/>
                <w:color w:val="auto"/>
              </w:rPr>
              <w:t>•</w:t>
            </w:r>
          </w:p>
        </w:tc>
        <w:tc>
          <w:tcPr>
            <w:tcW w:w="56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IParty Corp. (2004 to 2013)</w:t>
            </w:r>
          </w:p>
        </w:tc>
      </w:tr>
      <w:tr>
        <w:trPr>
          <w:trHeight w:val="195"/>
        </w:trPr>
        <w:tc>
          <w:tcPr>
            <w:tcW w:w="4340" w:type="dxa"/>
            <w:vAlign w:val="bottom"/>
            <w:gridSpan w:val="2"/>
          </w:tcPr>
          <w:p>
            <w:pPr>
              <w:ind w:left="140"/>
              <w:spacing w:after="0" w:line="195" w:lineRule="exact"/>
              <w:rPr>
                <w:sz w:val="20"/>
                <w:szCs w:val="20"/>
                <w:color w:val="auto"/>
              </w:rPr>
            </w:pPr>
            <w:r>
              <w:rPr>
                <w:rFonts w:ascii="Arial" w:cs="Arial" w:eastAsia="Arial" w:hAnsi="Arial"/>
                <w:sz w:val="18"/>
                <w:szCs w:val="18"/>
                <w:b w:val="1"/>
                <w:bCs w:val="1"/>
                <w:color w:val="auto"/>
              </w:rPr>
              <w:t>Specific Qualifications and Skills:</w:t>
            </w: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r>
    </w:tbl>
    <w:p>
      <w:pPr>
        <w:jc w:val="both"/>
        <w:ind w:left="360" w:right="60"/>
        <w:spacing w:after="0"/>
        <w:rPr>
          <w:sz w:val="20"/>
          <w:szCs w:val="20"/>
          <w:color w:val="auto"/>
        </w:rPr>
      </w:pPr>
      <w:r>
        <w:rPr>
          <w:rFonts w:ascii="Arial" w:cs="Arial" w:eastAsia="Arial" w:hAnsi="Arial"/>
          <w:sz w:val="18"/>
          <w:szCs w:val="18"/>
          <w:color w:val="auto"/>
        </w:rPr>
        <w:t>Mr. Vassalluzzo’s extensive background in retail and real estate as a result of having served as an executive with Staples, including his responsibility for expanding Staples real estate presence, as well as his current and prior service on the boards of a number of retailers provides the board and management with retail and retail real estate expertise that is essential to our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163830</wp:posOffset>
            </wp:positionV>
            <wp:extent cx="7006590" cy="2461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6590" cy="2461260"/>
                    </a:xfrm>
                    <a:prstGeom prst="rect">
                      <a:avLst/>
                    </a:prstGeom>
                    <a:noFill/>
                  </pic:spPr>
                </pic:pic>
              </a:graphicData>
            </a:graphic>
          </wp:anchor>
        </w:drawing>
      </w:r>
    </w:p>
    <w:p>
      <w:pPr>
        <w:spacing w:after="0" w:line="315"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Donald C. Wood</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57</w:t>
            </w: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President and Chief Executive Officer of Federal Realty Investment</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2003</w:t>
            </w:r>
          </w:p>
        </w:tc>
        <w:tc>
          <w:tcPr>
            <w:tcW w:w="6480" w:type="dxa"/>
            <w:vAlign w:val="bottom"/>
          </w:tcPr>
          <w:p>
            <w:pPr>
              <w:ind w:left="960"/>
              <w:spacing w:after="0" w:line="203" w:lineRule="exact"/>
              <w:rPr>
                <w:sz w:val="20"/>
                <w:szCs w:val="20"/>
                <w:color w:val="auto"/>
              </w:rPr>
            </w:pPr>
            <w:r>
              <w:rPr>
                <w:rFonts w:ascii="Arial" w:cs="Arial" w:eastAsia="Arial" w:hAnsi="Arial"/>
                <w:sz w:val="18"/>
                <w:szCs w:val="18"/>
                <w:color w:val="auto"/>
              </w:rPr>
              <w:t>Trust (2003 – present)</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CEO</w:t>
            </w:r>
          </w:p>
        </w:tc>
        <w:tc>
          <w:tcPr>
            <w:tcW w:w="6480" w:type="dxa"/>
            <w:vAlign w:val="bottom"/>
          </w:tcPr>
          <w:p>
            <w:pPr>
              <w:ind w:left="660"/>
              <w:spacing w:after="0" w:line="201" w:lineRule="exact"/>
              <w:rPr>
                <w:sz w:val="20"/>
                <w:szCs w:val="20"/>
                <w:color w:val="auto"/>
              </w:rPr>
            </w:pPr>
            <w:r>
              <w:rPr>
                <w:rFonts w:ascii="Arial" w:cs="Arial" w:eastAsia="Arial" w:hAnsi="Arial"/>
                <w:sz w:val="18"/>
                <w:szCs w:val="18"/>
                <w:color w:val="auto"/>
              </w:rPr>
              <w:t>•   Various other position including Chief Financial Officer and Chief</w:t>
            </w:r>
          </w:p>
        </w:tc>
      </w:tr>
      <w:tr>
        <w:trPr>
          <w:trHeight w:val="203"/>
        </w:trPr>
        <w:tc>
          <w:tcPr>
            <w:tcW w:w="2260" w:type="dxa"/>
            <w:vAlign w:val="bottom"/>
          </w:tcPr>
          <w:p>
            <w:pPr>
              <w:spacing w:after="0"/>
              <w:rPr>
                <w:sz w:val="17"/>
                <w:szCs w:val="17"/>
                <w:color w:val="auto"/>
              </w:rPr>
            </w:pP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Operating Officer (1998 – 2003)</w:t>
            </w:r>
          </w:p>
        </w:tc>
      </w:tr>
      <w:tr>
        <w:trPr>
          <w:trHeight w:val="203"/>
        </w:trPr>
        <w:tc>
          <w:tcPr>
            <w:tcW w:w="2260" w:type="dxa"/>
            <w:vAlign w:val="bottom"/>
          </w:tcPr>
          <w:p>
            <w:pPr>
              <w:spacing w:after="0"/>
              <w:rPr>
                <w:sz w:val="17"/>
                <w:szCs w:val="17"/>
                <w:color w:val="auto"/>
              </w:rPr>
            </w:pP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Chairman of the Board of the National Association of Real Estate</w:t>
            </w:r>
          </w:p>
        </w:tc>
      </w:tr>
      <w:tr>
        <w:trPr>
          <w:trHeight w:val="203"/>
        </w:trPr>
        <w:tc>
          <w:tcPr>
            <w:tcW w:w="2260" w:type="dxa"/>
            <w:vAlign w:val="bottom"/>
          </w:tcPr>
          <w:p>
            <w:pPr>
              <w:spacing w:after="0"/>
              <w:rPr>
                <w:sz w:val="17"/>
                <w:szCs w:val="17"/>
                <w:color w:val="auto"/>
              </w:rPr>
            </w:pP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Investment Trusts (2011 – 2012)</w:t>
            </w:r>
          </w:p>
        </w:tc>
      </w:tr>
      <w:tr>
        <w:trPr>
          <w:trHeight w:val="203"/>
        </w:trPr>
        <w:tc>
          <w:tcPr>
            <w:tcW w:w="2260" w:type="dxa"/>
            <w:vAlign w:val="bottom"/>
          </w:tcPr>
          <w:p>
            <w:pPr>
              <w:spacing w:after="0"/>
              <w:rPr>
                <w:sz w:val="17"/>
                <w:szCs w:val="17"/>
                <w:color w:val="auto"/>
              </w:rPr>
            </w:pP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Board of Governors of the International Council of Shopping Centers</w:t>
            </w:r>
          </w:p>
        </w:tc>
      </w:tr>
      <w:tr>
        <w:trPr>
          <w:trHeight w:val="217"/>
        </w:trPr>
        <w:tc>
          <w:tcPr>
            <w:tcW w:w="2260" w:type="dxa"/>
            <w:vAlign w:val="bottom"/>
          </w:tcPr>
          <w:p>
            <w:pPr>
              <w:spacing w:after="0"/>
              <w:rPr>
                <w:sz w:val="18"/>
                <w:szCs w:val="18"/>
                <w:color w:val="auto"/>
              </w:rPr>
            </w:pPr>
          </w:p>
        </w:tc>
        <w:tc>
          <w:tcPr>
            <w:tcW w:w="6480" w:type="dxa"/>
            <w:vAlign w:val="bottom"/>
          </w:tcPr>
          <w:p>
            <w:pPr>
              <w:ind w:left="960"/>
              <w:spacing w:after="0"/>
              <w:rPr>
                <w:sz w:val="20"/>
                <w:szCs w:val="20"/>
                <w:color w:val="auto"/>
              </w:rPr>
            </w:pPr>
            <w:r>
              <w:rPr>
                <w:rFonts w:ascii="Arial" w:cs="Arial" w:eastAsia="Arial" w:hAnsi="Arial"/>
                <w:sz w:val="18"/>
                <w:szCs w:val="18"/>
                <w:color w:val="auto"/>
              </w:rPr>
              <w:t>(2010 – present)</w:t>
            </w:r>
          </w:p>
        </w:tc>
      </w:tr>
    </w:tbl>
    <w:p>
      <w:pPr>
        <w:spacing w:after="0" w:line="291"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0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Board Committees</w:t>
            </w:r>
          </w:p>
        </w:tc>
        <w:tc>
          <w:tcPr>
            <w:tcW w:w="6940" w:type="dxa"/>
            <w:vAlign w:val="bottom"/>
            <w:tcBorders>
              <w:top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4080" w:type="dxa"/>
            <w:vAlign w:val="bottom"/>
          </w:tcPr>
          <w:p>
            <w:pPr>
              <w:ind w:left="140"/>
              <w:spacing w:after="0" w:line="202" w:lineRule="exact"/>
              <w:rPr>
                <w:sz w:val="20"/>
                <w:szCs w:val="20"/>
                <w:color w:val="auto"/>
              </w:rPr>
            </w:pPr>
            <w:r>
              <w:rPr>
                <w:rFonts w:ascii="Arial" w:cs="Arial" w:eastAsia="Arial" w:hAnsi="Arial"/>
                <w:sz w:val="18"/>
                <w:szCs w:val="18"/>
                <w:color w:val="auto"/>
              </w:rPr>
              <w:t>•  None</w:t>
            </w:r>
          </w:p>
        </w:tc>
        <w:tc>
          <w:tcPr>
            <w:tcW w:w="126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5680" w:type="dxa"/>
            <w:vAlign w:val="bottom"/>
          </w:tcPr>
          <w:p>
            <w:pPr>
              <w:ind w:left="120"/>
              <w:spacing w:after="0" w:line="202" w:lineRule="exact"/>
              <w:rPr>
                <w:sz w:val="20"/>
                <w:szCs w:val="20"/>
                <w:color w:val="auto"/>
              </w:rPr>
            </w:pPr>
            <w:r>
              <w:rPr>
                <w:rFonts w:ascii="Arial" w:cs="Arial" w:eastAsia="Arial" w:hAnsi="Arial"/>
                <w:sz w:val="18"/>
                <w:szCs w:val="18"/>
                <w:color w:val="auto"/>
              </w:rPr>
              <w:t>Quality Care Properties, Inc. (2016 – present)</w:t>
            </w:r>
          </w:p>
        </w:tc>
      </w:tr>
      <w:tr>
        <w:trPr>
          <w:trHeight w:val="203"/>
        </w:trPr>
        <w:tc>
          <w:tcPr>
            <w:tcW w:w="4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60"/>
              <w:spacing w:after="0" w:line="203" w:lineRule="exact"/>
              <w:rPr>
                <w:sz w:val="20"/>
                <w:szCs w:val="20"/>
                <w:color w:val="auto"/>
              </w:rPr>
            </w:pPr>
            <w:r>
              <w:rPr>
                <w:rFonts w:ascii="Arial" w:cs="Arial" w:eastAsia="Arial" w:hAnsi="Arial"/>
                <w:sz w:val="18"/>
                <w:szCs w:val="18"/>
                <w:color w:val="auto"/>
              </w:rPr>
              <w:t>•</w:t>
            </w:r>
          </w:p>
        </w:tc>
        <w:tc>
          <w:tcPr>
            <w:tcW w:w="56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Post Properties, Inc. (2011 – 2016)</w:t>
            </w:r>
          </w:p>
        </w:tc>
      </w:tr>
      <w:tr>
        <w:trPr>
          <w:trHeight w:val="195"/>
        </w:trPr>
        <w:tc>
          <w:tcPr>
            <w:tcW w:w="40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Specific Qualifications and Skills:</w:t>
            </w:r>
          </w:p>
        </w:tc>
        <w:tc>
          <w:tcPr>
            <w:tcW w:w="1260" w:type="dxa"/>
            <w:vAlign w:val="bottom"/>
          </w:tcPr>
          <w:p>
            <w:pPr>
              <w:spacing w:after="0"/>
              <w:rPr>
                <w:sz w:val="16"/>
                <w:szCs w:val="16"/>
                <w:color w:val="auto"/>
              </w:rPr>
            </w:pPr>
          </w:p>
        </w:tc>
        <w:tc>
          <w:tcPr>
            <w:tcW w:w="5680" w:type="dxa"/>
            <w:vAlign w:val="bottom"/>
          </w:tcPr>
          <w:p>
            <w:pPr>
              <w:spacing w:after="0"/>
              <w:rPr>
                <w:sz w:val="16"/>
                <w:szCs w:val="16"/>
                <w:color w:val="auto"/>
              </w:rPr>
            </w:pPr>
          </w:p>
        </w:tc>
      </w:tr>
    </w:tbl>
    <w:p>
      <w:pPr>
        <w:ind w:left="360" w:right="60"/>
        <w:spacing w:after="0" w:line="246" w:lineRule="auto"/>
        <w:rPr>
          <w:sz w:val="20"/>
          <w:szCs w:val="20"/>
          <w:color w:val="auto"/>
        </w:rPr>
      </w:pPr>
      <w:r>
        <w:rPr>
          <w:rFonts w:ascii="Arial" w:cs="Arial" w:eastAsia="Arial" w:hAnsi="Arial"/>
          <w:sz w:val="18"/>
          <w:szCs w:val="18"/>
          <w:color w:val="auto"/>
        </w:rPr>
        <w:t>Mr. Wood’s tenure with the Trust and his responsibilities as chief executive officer provides the Board with familiarity and details on all aspects of the operation of the Trust.</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QUALIFICATIONS AND CHARACTERISTICS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In determining who should stand for election as a Trustee, the Nominating and Corporate Governance Committee tries to ensure that the Board is composed of individuals whose backgrounds, skills and experiences, when taken together, will provide the Board with the range of skills and expertise to be able to effectively guide and oversee our strategy, operations and management. At a minimum, candidates should have the ability to exercise judgment in fulfilling his/her responsibilities, a professional background that would enable him/her to understand our business, public company, real estate, retail and/or other financial experience and a history of honesty, integrity and fair dealing with third parties. The skills and experience of the Trustees in areas we consider critical to our business are described in detail in the biographies above and summarized below:</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297"/>
        </w:trPr>
        <w:tc>
          <w:tcPr>
            <w:tcW w:w="5620" w:type="dxa"/>
            <w:vAlign w:val="bottom"/>
            <w:tcBorders>
              <w:top w:val="single" w:sz="8" w:color="auto"/>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color w:val="FFFFFF"/>
              </w:rPr>
              <w:t>Qualifications/Skills of Nominees</w:t>
            </w:r>
          </w:p>
        </w:tc>
        <w:tc>
          <w:tcPr>
            <w:tcW w:w="56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Bortz</w:t>
            </w:r>
          </w:p>
        </w:tc>
        <w:tc>
          <w:tcPr>
            <w:tcW w:w="68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8"/>
              </w:rPr>
              <w:t>Faeder</w:t>
            </w:r>
          </w:p>
        </w:tc>
        <w:tc>
          <w:tcPr>
            <w:tcW w:w="74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Holland</w:t>
            </w:r>
          </w:p>
        </w:tc>
        <w:tc>
          <w:tcPr>
            <w:tcW w:w="68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8"/>
              </w:rPr>
              <w:t>Steinel</w:t>
            </w:r>
          </w:p>
        </w:tc>
        <w:tc>
          <w:tcPr>
            <w:tcW w:w="100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Thompson</w:t>
            </w:r>
          </w:p>
        </w:tc>
        <w:tc>
          <w:tcPr>
            <w:tcW w:w="112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7"/>
              </w:rPr>
              <w:t>Vassalluzzo</w:t>
            </w:r>
          </w:p>
        </w:tc>
        <w:tc>
          <w:tcPr>
            <w:tcW w:w="64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Wood</w:t>
            </w:r>
          </w:p>
        </w:tc>
      </w:tr>
      <w:tr>
        <w:trPr>
          <w:trHeight w:val="311"/>
        </w:trPr>
        <w:tc>
          <w:tcPr>
            <w:tcW w:w="5620" w:type="dxa"/>
            <w:vAlign w:val="bottom"/>
            <w:tcBorders>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Business/Executive Leadership</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1"/>
        </w:trPr>
        <w:tc>
          <w:tcPr>
            <w:tcW w:w="562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REIT/Public Company</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00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1"/>
        </w:trPr>
        <w:tc>
          <w:tcPr>
            <w:tcW w:w="562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Investment/Financial/Accounting</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1"/>
        </w:trPr>
        <w:tc>
          <w:tcPr>
            <w:tcW w:w="562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Real Estate</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1"/>
        </w:trPr>
        <w:tc>
          <w:tcPr>
            <w:tcW w:w="562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Retailing Industry</w:t>
            </w:r>
          </w:p>
        </w:tc>
        <w:tc>
          <w:tcPr>
            <w:tcW w:w="56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auto"/>
            </w:tcBorders>
          </w:tcPr>
          <w:p>
            <w:pPr>
              <w:spacing w:after="0"/>
              <w:rPr>
                <w:sz w:val="24"/>
                <w:szCs w:val="24"/>
                <w:color w:val="auto"/>
              </w:rPr>
            </w:pPr>
          </w:p>
        </w:tc>
      </w:tr>
      <w:tr>
        <w:trPr>
          <w:trHeight w:val="291"/>
        </w:trPr>
        <w:tc>
          <w:tcPr>
            <w:tcW w:w="562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Operational Management</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71"/>
        </w:trPr>
        <w:tc>
          <w:tcPr>
            <w:tcW w:w="562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Risk Oversight/Management</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0"/>
        </w:trPr>
        <w:tc>
          <w:tcPr>
            <w:tcW w:w="5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Nominating and Corporate Governance Committee also seeks geographic, age, gender and ethnic diversity on the Board. Although the Board has not adopted any specific policies on diversity, the Committee and the Board believe that diversity is a factor to be considered that is consistent with the goal of creating a Board that best serves the needs of the Trust and our shareholders. Our nominees reflect the Board’s efforts and commitment to diversity with two women and one African American included in that group.</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PROCESS FOR SELECTING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In considering nominees to stand for election at the Annual Meeting, the Board and the Committee evaluate each person’s background, qualifications and attributes to serve as a Trustee based on the criteria described above and for incumbent Trustees, their years of experience working together on the Board and the deep knowledge of the Trust they have developed as a result of such service on the Board. This is especially important in our company where real estate decisions and strategy often take years to develop and require a full understanding of history in setting strategies and making decisions. The Board and the committee also consider each incumbent Trustee’s contributions to the effectiveness of the Board and its committees based on the in-depth individual trustee evaluations completed each year for each Board member by each other Board member.</w:t>
      </w:r>
    </w:p>
    <w:p>
      <w:pPr>
        <w:spacing w:after="0" w:line="176"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To identify, recruit and evaluate qualified new candidates for the Board, the Board first looks to individuals known to current Board members through business and other relationships. If the Board is not able to identify qualified candidates in that way, the services of a professional search firm would be used. Ms. Holland was identified by Board members through her participation and leadership position in the International Council of Shopping Centers, a key industry organization for the Trust’s business. Prior to her nomination, Ms. Holland met separately with and was evaluated by our Non-Executive Chairman, the Chair of the Nominating and Corporate Governance Committee, our CEO as well as other Board members. It was only after this process was complete that Ms. Holland was nominated for the Board.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PROCESS FOR SHAREHOLDERS TO RECOMMEND TRUSTEE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Shareholders may propose a candidate to be nominated for election to the Board by following the procedures outlined in our Bylaws, a copy of which can be obtained by sending a written request to Investor Relations at 1626 East Jefferson Street, Rockville, Maryland 20852. If you want to recommend a nominee, you can submit a written recommendation in accordance with our Bylaws that includes the name, qualifications and other pertinent information about the nominee to the Trust’s Secretary at our Rockville office. Any recommendation for a nominee to be considered at our 2019 Annual Meeting must be submitted no later than November 23, 2018.</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TRUSTEE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non-employee Trustees receive the following compensation for their service on the Board:</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color w:val="FFFFFF"/>
              </w:rPr>
              <w:t>Compensation Element</w:t>
            </w:r>
          </w:p>
        </w:tc>
        <w:tc>
          <w:tcPr>
            <w:tcW w:w="1600" w:type="dxa"/>
            <w:vAlign w:val="bottom"/>
            <w:tcBorders>
              <w:top w:val="single" w:sz="8" w:color="auto"/>
              <w:right w:val="single" w:sz="8" w:color="auto"/>
            </w:tcBorders>
            <w:shd w:val="clear" w:color="auto" w:fill="1F2A44"/>
          </w:tcPr>
          <w:p>
            <w:pPr>
              <w:ind w:left="100"/>
              <w:spacing w:after="0"/>
              <w:rPr>
                <w:sz w:val="20"/>
                <w:szCs w:val="20"/>
                <w:color w:val="auto"/>
              </w:rPr>
            </w:pPr>
            <w:r>
              <w:rPr>
                <w:rFonts w:ascii="Arial" w:cs="Arial" w:eastAsia="Arial" w:hAnsi="Arial"/>
                <w:sz w:val="18"/>
                <w:szCs w:val="18"/>
                <w:b w:val="1"/>
                <w:bCs w:val="1"/>
                <w:color w:val="FFFFFF"/>
                <w:w w:val="99"/>
              </w:rPr>
              <w:t>Form of Payment</w:t>
            </w:r>
          </w:p>
        </w:tc>
        <w:tc>
          <w:tcPr>
            <w:tcW w:w="4720" w:type="dxa"/>
            <w:vAlign w:val="bottom"/>
            <w:tcBorders>
              <w:top w:val="single" w:sz="8" w:color="auto"/>
              <w:right w:val="single" w:sz="8" w:color="auto"/>
            </w:tcBorders>
            <w:shd w:val="clear" w:color="auto" w:fill="1F2A44"/>
          </w:tcPr>
          <w:p>
            <w:pPr>
              <w:ind w:left="80"/>
              <w:spacing w:after="0"/>
              <w:rPr>
                <w:sz w:val="20"/>
                <w:szCs w:val="20"/>
                <w:color w:val="auto"/>
              </w:rPr>
            </w:pPr>
            <w:r>
              <w:rPr>
                <w:rFonts w:ascii="Arial" w:cs="Arial" w:eastAsia="Arial" w:hAnsi="Arial"/>
                <w:sz w:val="18"/>
                <w:szCs w:val="18"/>
                <w:b w:val="1"/>
                <w:bCs w:val="1"/>
                <w:color w:val="FFFFFF"/>
              </w:rPr>
              <w:t>Amount</w:t>
            </w:r>
          </w:p>
        </w:tc>
      </w:tr>
      <w:tr>
        <w:trPr>
          <w:trHeight w:val="264"/>
        </w:trPr>
        <w:tc>
          <w:tcPr>
            <w:tcW w:w="4720" w:type="dxa"/>
            <w:vAlign w:val="bottom"/>
            <w:tcBorders>
              <w:left w:val="single" w:sz="8" w:color="auto"/>
              <w:bottom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Non-Executive Chairman Annual Retainer</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Cash</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$106,000</w:t>
            </w:r>
          </w:p>
        </w:tc>
      </w:tr>
      <w:tr>
        <w:trPr>
          <w:trHeight w:val="264"/>
        </w:trPr>
        <w:tc>
          <w:tcPr>
            <w:tcW w:w="4720" w:type="dxa"/>
            <w:vAlign w:val="bottom"/>
            <w:tcBorders>
              <w:left w:val="single" w:sz="8" w:color="auto"/>
              <w:bottom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Non-Executive Chairman Annual Retainer</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$159,000 (fully vested on grant date)</w:t>
            </w:r>
          </w:p>
        </w:tc>
      </w:tr>
      <w:tr>
        <w:trPr>
          <w:trHeight w:val="264"/>
        </w:trPr>
        <w:tc>
          <w:tcPr>
            <w:tcW w:w="4720" w:type="dxa"/>
            <w:vAlign w:val="bottom"/>
            <w:tcBorders>
              <w:left w:val="single" w:sz="8" w:color="auto"/>
              <w:bottom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Non-Employee Trustee Annual Retainer</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Cash</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$76,000</w:t>
            </w:r>
          </w:p>
        </w:tc>
      </w:tr>
      <w:tr>
        <w:trPr>
          <w:trHeight w:val="264"/>
        </w:trPr>
        <w:tc>
          <w:tcPr>
            <w:tcW w:w="4720" w:type="dxa"/>
            <w:vAlign w:val="bottom"/>
            <w:tcBorders>
              <w:left w:val="single" w:sz="8" w:color="auto"/>
              <w:bottom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Non-Employee Trustee Annual Retainer</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$114,000 (fully vested on grant date)</w:t>
            </w:r>
          </w:p>
        </w:tc>
      </w:tr>
      <w:tr>
        <w:trPr>
          <w:trHeight w:val="242"/>
        </w:trPr>
        <w:tc>
          <w:tcPr>
            <w:tcW w:w="4720" w:type="dxa"/>
            <w:vAlign w:val="bottom"/>
            <w:tcBorders>
              <w:left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Committee Chair Fees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Cash</w:t>
            </w:r>
          </w:p>
        </w:tc>
        <w:tc>
          <w:tcPr>
            <w:tcW w:w="4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$20,000 for Audit Committee</w:t>
            </w:r>
          </w:p>
        </w:tc>
      </w:tr>
      <w:tr>
        <w:trPr>
          <w:trHeight w:val="203"/>
        </w:trPr>
        <w:tc>
          <w:tcPr>
            <w:tcW w:w="4720" w:type="dxa"/>
            <w:vAlign w:val="bottom"/>
            <w:tcBorders>
              <w:left w:val="single" w:sz="8" w:color="auto"/>
              <w:right w:val="single" w:sz="8" w:color="auto"/>
            </w:tcBorders>
            <w:shd w:val="clear" w:color="auto" w:fill="FEC221"/>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4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$10,000 for Compensation Committee</w:t>
            </w:r>
          </w:p>
        </w:tc>
      </w:tr>
      <w:tr>
        <w:trPr>
          <w:trHeight w:val="224"/>
        </w:trPr>
        <w:tc>
          <w:tcPr>
            <w:tcW w:w="4720" w:type="dxa"/>
            <w:vAlign w:val="bottom"/>
            <w:tcBorders>
              <w:left w:val="single" w:sz="8" w:color="auto"/>
              <w:bottom w:val="single" w:sz="8" w:color="auto"/>
              <w:right w:val="single" w:sz="8" w:color="auto"/>
            </w:tcBorders>
            <w:shd w:val="clear" w:color="auto" w:fill="FEC221"/>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$10,000 for Nominating Committee</w:t>
            </w:r>
          </w:p>
        </w:tc>
      </w:tr>
      <w:tr>
        <w:trPr>
          <w:trHeight w:val="242"/>
        </w:trPr>
        <w:tc>
          <w:tcPr>
            <w:tcW w:w="4720" w:type="dxa"/>
            <w:vAlign w:val="bottom"/>
            <w:tcBorders>
              <w:left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Equity Ownership Guidelines</w:t>
            </w:r>
          </w:p>
        </w:tc>
        <w:tc>
          <w:tcPr>
            <w:tcW w:w="1600" w:type="dxa"/>
            <w:vAlign w:val="bottom"/>
            <w:tcBorders>
              <w:right w:val="single" w:sz="8" w:color="auto"/>
            </w:tcBorders>
          </w:tcPr>
          <w:p>
            <w:pPr>
              <w:spacing w:after="0"/>
              <w:rPr>
                <w:sz w:val="21"/>
                <w:szCs w:val="21"/>
                <w:color w:val="auto"/>
              </w:rPr>
            </w:pPr>
          </w:p>
        </w:tc>
        <w:tc>
          <w:tcPr>
            <w:tcW w:w="4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Trustees are required to maintain ownership of Trust</w:t>
            </w:r>
          </w:p>
        </w:tc>
      </w:tr>
      <w:tr>
        <w:trPr>
          <w:trHeight w:val="203"/>
        </w:trPr>
        <w:tc>
          <w:tcPr>
            <w:tcW w:w="4720" w:type="dxa"/>
            <w:vAlign w:val="bottom"/>
            <w:tcBorders>
              <w:left w:val="single" w:sz="8" w:color="auto"/>
              <w:right w:val="single" w:sz="8" w:color="auto"/>
            </w:tcBorders>
            <w:shd w:val="clear" w:color="auto" w:fill="FEC221"/>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4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stock having a value equal to 5 times the amount of the</w:t>
            </w:r>
          </w:p>
        </w:tc>
      </w:tr>
      <w:tr>
        <w:trPr>
          <w:trHeight w:val="203"/>
        </w:trPr>
        <w:tc>
          <w:tcPr>
            <w:tcW w:w="4720" w:type="dxa"/>
            <w:vAlign w:val="bottom"/>
            <w:tcBorders>
              <w:left w:val="single" w:sz="8" w:color="auto"/>
              <w:right w:val="single" w:sz="8" w:color="auto"/>
            </w:tcBorders>
            <w:shd w:val="clear" w:color="auto" w:fill="FEC221"/>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47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annual cash retainer. This requirement must be met</w:t>
            </w:r>
          </w:p>
        </w:tc>
      </w:tr>
      <w:tr>
        <w:trPr>
          <w:trHeight w:val="224"/>
        </w:trPr>
        <w:tc>
          <w:tcPr>
            <w:tcW w:w="4720" w:type="dxa"/>
            <w:vAlign w:val="bottom"/>
            <w:tcBorders>
              <w:left w:val="single" w:sz="8" w:color="auto"/>
              <w:bottom w:val="single" w:sz="8" w:color="auto"/>
              <w:right w:val="single" w:sz="8" w:color="auto"/>
            </w:tcBorders>
            <w:shd w:val="clear" w:color="auto" w:fill="FEC221"/>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within 5 years after joining the Board</w:t>
            </w:r>
          </w:p>
        </w:tc>
      </w:tr>
    </w:tbl>
    <w:p>
      <w:pPr>
        <w:spacing w:after="0" w:line="17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As of December 31, 2017, all Trustees then serving on the Board complied with the required level of stock ownership with the exception of Ms. Holland, who joined the Board in February 2017 and is expected to satisfy the requirement within the 5-year time frame.</w:t>
      </w:r>
    </w:p>
    <w:p>
      <w:pPr>
        <w:spacing w:after="0" w:line="156"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In addition to the annual retainer described above, Mr. Vassalluzzo receives administrative support for both Trust business and personal use from our regional office in Wynnewood, Pennsylvania. There were no additional fees paid or services provided to any Trustee for service on any of the Board committees or for attendance at any Board or committee meetings other than those described above.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compensation awarded to Trustees for service in 2017 was as follows: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84"/>
        </w:trPr>
        <w:tc>
          <w:tcPr>
            <w:tcW w:w="3380" w:type="dxa"/>
            <w:vAlign w:val="bottom"/>
            <w:tcBorders>
              <w:right w:val="single" w:sz="8" w:color="auto"/>
            </w:tcBorders>
            <w:shd w:val="clear" w:color="auto" w:fill="1F2A44"/>
          </w:tcPr>
          <w:p>
            <w:pPr>
              <w:spacing w:after="0"/>
              <w:rPr>
                <w:sz w:val="24"/>
                <w:szCs w:val="24"/>
                <w:color w:val="auto"/>
              </w:rPr>
            </w:pPr>
          </w:p>
        </w:tc>
        <w:tc>
          <w:tcPr>
            <w:tcW w:w="440" w:type="dxa"/>
            <w:vAlign w:val="bottom"/>
            <w:shd w:val="clear" w:color="auto" w:fill="1F2A44"/>
          </w:tcPr>
          <w:p>
            <w:pPr>
              <w:spacing w:after="0"/>
              <w:rPr>
                <w:sz w:val="24"/>
                <w:szCs w:val="24"/>
                <w:color w:val="auto"/>
              </w:rPr>
            </w:pPr>
          </w:p>
        </w:tc>
        <w:tc>
          <w:tcPr>
            <w:tcW w:w="1960" w:type="dxa"/>
            <w:vAlign w:val="bottom"/>
            <w:gridSpan w:val="2"/>
            <w:shd w:val="clear" w:color="auto" w:fill="1F2A44"/>
          </w:tcPr>
          <w:p>
            <w:pPr>
              <w:ind w:left="520"/>
              <w:spacing w:after="0"/>
              <w:rPr>
                <w:sz w:val="20"/>
                <w:szCs w:val="20"/>
                <w:color w:val="auto"/>
              </w:rPr>
            </w:pPr>
            <w:r>
              <w:rPr>
                <w:rFonts w:ascii="Arial" w:cs="Arial" w:eastAsia="Arial" w:hAnsi="Arial"/>
                <w:sz w:val="18"/>
                <w:szCs w:val="18"/>
                <w:b w:val="1"/>
                <w:bCs w:val="1"/>
                <w:color w:val="FFFFFF"/>
              </w:rPr>
              <w:t>Annual Retainer</w:t>
            </w:r>
          </w:p>
        </w:tc>
        <w:tc>
          <w:tcPr>
            <w:tcW w:w="920" w:type="dxa"/>
            <w:vAlign w:val="bottom"/>
            <w:tcBorders>
              <w:right w:val="single" w:sz="8" w:color="auto"/>
            </w:tcBorders>
            <w:shd w:val="clear" w:color="auto" w:fill="1F2A44"/>
          </w:tcPr>
          <w:p>
            <w:pPr>
              <w:spacing w:after="0"/>
              <w:rPr>
                <w:sz w:val="24"/>
                <w:szCs w:val="24"/>
                <w:color w:val="auto"/>
              </w:rPr>
            </w:pPr>
          </w:p>
        </w:tc>
        <w:tc>
          <w:tcPr>
            <w:tcW w:w="200" w:type="dxa"/>
            <w:vAlign w:val="bottom"/>
            <w:shd w:val="clear" w:color="auto" w:fill="1F2A44"/>
          </w:tcPr>
          <w:p>
            <w:pPr>
              <w:spacing w:after="0"/>
              <w:rPr>
                <w:sz w:val="24"/>
                <w:szCs w:val="24"/>
                <w:color w:val="auto"/>
              </w:rPr>
            </w:pPr>
          </w:p>
        </w:tc>
        <w:tc>
          <w:tcPr>
            <w:tcW w:w="1120" w:type="dxa"/>
            <w:vAlign w:val="bottom"/>
            <w:gridSpan w:val="2"/>
            <w:vMerge w:val="restart"/>
            <w:shd w:val="clear" w:color="auto" w:fill="1F2A44"/>
          </w:tcPr>
          <w:p>
            <w:pPr>
              <w:spacing w:after="0"/>
              <w:rPr>
                <w:sz w:val="20"/>
                <w:szCs w:val="20"/>
                <w:color w:val="auto"/>
              </w:rPr>
            </w:pPr>
            <w:r>
              <w:rPr>
                <w:rFonts w:ascii="Arial" w:cs="Arial" w:eastAsia="Arial" w:hAnsi="Arial"/>
                <w:sz w:val="18"/>
                <w:szCs w:val="18"/>
                <w:b w:val="1"/>
                <w:bCs w:val="1"/>
                <w:color w:val="FFFFFF"/>
              </w:rPr>
              <w:t>Committee</w:t>
            </w:r>
          </w:p>
        </w:tc>
        <w:tc>
          <w:tcPr>
            <w:tcW w:w="380" w:type="dxa"/>
            <w:vAlign w:val="bottom"/>
            <w:shd w:val="clear" w:color="auto" w:fill="1F2A44"/>
          </w:tcPr>
          <w:p>
            <w:pPr>
              <w:spacing w:after="0"/>
              <w:rPr>
                <w:sz w:val="24"/>
                <w:szCs w:val="24"/>
                <w:color w:val="auto"/>
              </w:rPr>
            </w:pPr>
          </w:p>
        </w:tc>
        <w:tc>
          <w:tcPr>
            <w:tcW w:w="1280" w:type="dxa"/>
            <w:vAlign w:val="bottom"/>
            <w:vMerge w:val="restart"/>
            <w:shd w:val="clear" w:color="auto" w:fill="1F2A44"/>
          </w:tcPr>
          <w:p>
            <w:pPr>
              <w:jc w:val="right"/>
              <w:ind w:right="350"/>
              <w:spacing w:after="0"/>
              <w:rPr>
                <w:sz w:val="20"/>
                <w:szCs w:val="20"/>
                <w:color w:val="auto"/>
              </w:rPr>
            </w:pPr>
            <w:r>
              <w:rPr>
                <w:rFonts w:ascii="Arial" w:cs="Arial" w:eastAsia="Arial" w:hAnsi="Arial"/>
                <w:sz w:val="18"/>
                <w:szCs w:val="18"/>
                <w:b w:val="1"/>
                <w:bCs w:val="1"/>
                <w:color w:val="FFFFFF"/>
              </w:rPr>
              <w:t>All Other</w:t>
            </w:r>
          </w:p>
        </w:tc>
        <w:tc>
          <w:tcPr>
            <w:tcW w:w="320" w:type="dxa"/>
            <w:vAlign w:val="bottom"/>
            <w:shd w:val="clear" w:color="auto" w:fill="1F2A44"/>
          </w:tcPr>
          <w:p>
            <w:pPr>
              <w:spacing w:after="0"/>
              <w:rPr>
                <w:sz w:val="24"/>
                <w:szCs w:val="24"/>
                <w:color w:val="auto"/>
              </w:rPr>
            </w:pPr>
          </w:p>
        </w:tc>
        <w:tc>
          <w:tcPr>
            <w:tcW w:w="1020" w:type="dxa"/>
            <w:vAlign w:val="bottom"/>
            <w:shd w:val="clear" w:color="auto" w:fill="1F2A44"/>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380" w:type="dxa"/>
            <w:vAlign w:val="bottom"/>
            <w:tcBorders>
              <w:right w:val="single" w:sz="8" w:color="auto"/>
            </w:tcBorders>
            <w:shd w:val="clear" w:color="auto" w:fill="1F2A44"/>
          </w:tcPr>
          <w:p>
            <w:pPr>
              <w:spacing w:after="0"/>
              <w:rPr>
                <w:sz w:val="3"/>
                <w:szCs w:val="3"/>
                <w:color w:val="auto"/>
              </w:rPr>
            </w:pPr>
          </w:p>
        </w:tc>
        <w:tc>
          <w:tcPr>
            <w:tcW w:w="440" w:type="dxa"/>
            <w:vAlign w:val="bottom"/>
            <w:shd w:val="clear" w:color="auto" w:fill="1F2A44"/>
          </w:tcPr>
          <w:p>
            <w:pPr>
              <w:spacing w:after="0"/>
              <w:rPr>
                <w:sz w:val="3"/>
                <w:szCs w:val="3"/>
                <w:color w:val="auto"/>
              </w:rPr>
            </w:pPr>
          </w:p>
        </w:tc>
        <w:tc>
          <w:tcPr>
            <w:tcW w:w="1020" w:type="dxa"/>
            <w:vAlign w:val="bottom"/>
            <w:shd w:val="clear" w:color="auto" w:fill="1F2A44"/>
          </w:tcPr>
          <w:p>
            <w:pPr>
              <w:spacing w:after="0"/>
              <w:rPr>
                <w:sz w:val="3"/>
                <w:szCs w:val="3"/>
                <w:color w:val="auto"/>
              </w:rPr>
            </w:pPr>
          </w:p>
        </w:tc>
        <w:tc>
          <w:tcPr>
            <w:tcW w:w="940" w:type="dxa"/>
            <w:vAlign w:val="bottom"/>
            <w:shd w:val="clear" w:color="auto" w:fill="1F2A44"/>
          </w:tcPr>
          <w:p>
            <w:pPr>
              <w:spacing w:after="0"/>
              <w:rPr>
                <w:sz w:val="3"/>
                <w:szCs w:val="3"/>
                <w:color w:val="auto"/>
              </w:rPr>
            </w:pPr>
          </w:p>
        </w:tc>
        <w:tc>
          <w:tcPr>
            <w:tcW w:w="920" w:type="dxa"/>
            <w:vAlign w:val="bottom"/>
            <w:tcBorders>
              <w:right w:val="single" w:sz="8" w:color="auto"/>
            </w:tcBorders>
            <w:shd w:val="clear" w:color="auto" w:fill="1F2A44"/>
          </w:tcPr>
          <w:p>
            <w:pPr>
              <w:spacing w:after="0"/>
              <w:rPr>
                <w:sz w:val="3"/>
                <w:szCs w:val="3"/>
                <w:color w:val="auto"/>
              </w:rPr>
            </w:pPr>
          </w:p>
        </w:tc>
        <w:tc>
          <w:tcPr>
            <w:tcW w:w="200" w:type="dxa"/>
            <w:vAlign w:val="bottom"/>
            <w:shd w:val="clear" w:color="auto" w:fill="1F2A44"/>
          </w:tcPr>
          <w:p>
            <w:pPr>
              <w:spacing w:after="0"/>
              <w:rPr>
                <w:sz w:val="3"/>
                <w:szCs w:val="3"/>
                <w:color w:val="auto"/>
              </w:rPr>
            </w:pPr>
          </w:p>
        </w:tc>
        <w:tc>
          <w:tcPr>
            <w:tcW w:w="1120" w:type="dxa"/>
            <w:vAlign w:val="bottom"/>
            <w:gridSpan w:val="2"/>
            <w:vMerge w:val="continue"/>
            <w:shd w:val="clear" w:color="auto" w:fill="1F2A44"/>
          </w:tcPr>
          <w:p>
            <w:pPr>
              <w:spacing w:after="0"/>
              <w:rPr>
                <w:sz w:val="3"/>
                <w:szCs w:val="3"/>
                <w:color w:val="auto"/>
              </w:rPr>
            </w:pPr>
          </w:p>
        </w:tc>
        <w:tc>
          <w:tcPr>
            <w:tcW w:w="380" w:type="dxa"/>
            <w:vAlign w:val="bottom"/>
            <w:shd w:val="clear" w:color="auto" w:fill="1F2A44"/>
          </w:tcPr>
          <w:p>
            <w:pPr>
              <w:spacing w:after="0"/>
              <w:rPr>
                <w:sz w:val="3"/>
                <w:szCs w:val="3"/>
                <w:color w:val="auto"/>
              </w:rPr>
            </w:pPr>
          </w:p>
        </w:tc>
        <w:tc>
          <w:tcPr>
            <w:tcW w:w="1280" w:type="dxa"/>
            <w:vAlign w:val="bottom"/>
            <w:vMerge w:val="continue"/>
            <w:shd w:val="clear" w:color="auto" w:fill="1F2A44"/>
          </w:tcPr>
          <w:p>
            <w:pPr>
              <w:spacing w:after="0"/>
              <w:rPr>
                <w:sz w:val="3"/>
                <w:szCs w:val="3"/>
                <w:color w:val="auto"/>
              </w:rPr>
            </w:pPr>
          </w:p>
        </w:tc>
        <w:tc>
          <w:tcPr>
            <w:tcW w:w="320" w:type="dxa"/>
            <w:vAlign w:val="bottom"/>
            <w:shd w:val="clear" w:color="auto" w:fill="1F2A44"/>
          </w:tcPr>
          <w:p>
            <w:pPr>
              <w:spacing w:after="0"/>
              <w:rPr>
                <w:sz w:val="3"/>
                <w:szCs w:val="3"/>
                <w:color w:val="auto"/>
              </w:rPr>
            </w:pPr>
          </w:p>
        </w:tc>
        <w:tc>
          <w:tcPr>
            <w:tcW w:w="1020" w:type="dxa"/>
            <w:vAlign w:val="bottom"/>
            <w:shd w:val="clear" w:color="auto" w:fill="1F2A44"/>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380" w:type="dxa"/>
            <w:vAlign w:val="bottom"/>
            <w:tcBorders>
              <w:right w:val="single" w:sz="8" w:color="auto"/>
            </w:tcBorders>
            <w:shd w:val="clear" w:color="auto" w:fill="1F2A44"/>
          </w:tcPr>
          <w:p>
            <w:pPr>
              <w:ind w:left="60"/>
              <w:spacing w:after="0"/>
              <w:rPr>
                <w:sz w:val="20"/>
                <w:szCs w:val="20"/>
                <w:color w:val="auto"/>
              </w:rPr>
            </w:pPr>
            <w:r>
              <w:rPr>
                <w:rFonts w:ascii="Arial" w:cs="Arial" w:eastAsia="Arial" w:hAnsi="Arial"/>
                <w:sz w:val="18"/>
                <w:szCs w:val="18"/>
                <w:b w:val="1"/>
                <w:bCs w:val="1"/>
                <w:color w:val="FFFFFF"/>
              </w:rPr>
              <w:t>Name</w:t>
            </w:r>
          </w:p>
        </w:tc>
        <w:tc>
          <w:tcPr>
            <w:tcW w:w="1460" w:type="dxa"/>
            <w:vAlign w:val="bottom"/>
            <w:gridSpan w:val="2"/>
            <w:shd w:val="clear" w:color="auto" w:fill="1F2A44"/>
          </w:tcPr>
          <w:p>
            <w:pPr>
              <w:ind w:left="180"/>
              <w:spacing w:after="0"/>
              <w:rPr>
                <w:sz w:val="20"/>
                <w:szCs w:val="20"/>
                <w:color w:val="auto"/>
              </w:rPr>
            </w:pPr>
            <w:r>
              <w:rPr>
                <w:rFonts w:ascii="Arial" w:cs="Arial" w:eastAsia="Arial" w:hAnsi="Arial"/>
                <w:sz w:val="18"/>
                <w:szCs w:val="18"/>
                <w:b w:val="1"/>
                <w:bCs w:val="1"/>
                <w:color w:val="FFFFFF"/>
              </w:rPr>
              <w:t>Paid in Cash</w:t>
            </w:r>
          </w:p>
        </w:tc>
        <w:tc>
          <w:tcPr>
            <w:tcW w:w="1860" w:type="dxa"/>
            <w:vAlign w:val="bottom"/>
            <w:tcBorders>
              <w:right w:val="single" w:sz="8" w:color="auto"/>
            </w:tcBorders>
            <w:gridSpan w:val="2"/>
            <w:shd w:val="clear" w:color="auto" w:fill="1F2A44"/>
          </w:tcPr>
          <w:p>
            <w:pPr>
              <w:ind w:left="220"/>
              <w:spacing w:after="0"/>
              <w:rPr>
                <w:sz w:val="20"/>
                <w:szCs w:val="20"/>
                <w:color w:val="auto"/>
              </w:rPr>
            </w:pPr>
            <w:r>
              <w:rPr>
                <w:rFonts w:ascii="Arial" w:cs="Arial" w:eastAsia="Arial" w:hAnsi="Arial"/>
                <w:sz w:val="18"/>
                <w:szCs w:val="18"/>
                <w:b w:val="1"/>
                <w:bCs w:val="1"/>
                <w:color w:val="FFFFFF"/>
              </w:rPr>
              <w:t>Paid in Shares</w:t>
            </w:r>
            <w:r>
              <w:rPr>
                <w:rFonts w:ascii="Arial" w:cs="Arial" w:eastAsia="Arial" w:hAnsi="Arial"/>
                <w:sz w:val="15"/>
                <w:szCs w:val="15"/>
                <w:b w:val="1"/>
                <w:bCs w:val="1"/>
                <w:color w:val="FFFFFF"/>
              </w:rPr>
              <w:t>(1)</w:t>
            </w:r>
          </w:p>
        </w:tc>
        <w:tc>
          <w:tcPr>
            <w:tcW w:w="200" w:type="dxa"/>
            <w:vAlign w:val="bottom"/>
            <w:shd w:val="clear" w:color="auto" w:fill="1F2A44"/>
          </w:tcPr>
          <w:p>
            <w:pPr>
              <w:spacing w:after="0"/>
              <w:rPr>
                <w:sz w:val="20"/>
                <w:szCs w:val="20"/>
                <w:color w:val="auto"/>
              </w:rPr>
            </w:pPr>
          </w:p>
        </w:tc>
        <w:tc>
          <w:tcPr>
            <w:tcW w:w="1120" w:type="dxa"/>
            <w:vAlign w:val="bottom"/>
            <w:gridSpan w:val="2"/>
            <w:shd w:val="clear" w:color="auto" w:fill="1F2A44"/>
          </w:tcPr>
          <w:p>
            <w:pPr>
              <w:spacing w:after="0"/>
              <w:rPr>
                <w:sz w:val="20"/>
                <w:szCs w:val="20"/>
                <w:color w:val="auto"/>
              </w:rPr>
            </w:pPr>
            <w:r>
              <w:rPr>
                <w:rFonts w:ascii="Arial" w:cs="Arial" w:eastAsia="Arial" w:hAnsi="Arial"/>
                <w:sz w:val="18"/>
                <w:szCs w:val="18"/>
                <w:b w:val="1"/>
                <w:bCs w:val="1"/>
                <w:color w:val="FFFFFF"/>
              </w:rPr>
              <w:t>Chair Fees</w:t>
            </w:r>
          </w:p>
        </w:tc>
        <w:tc>
          <w:tcPr>
            <w:tcW w:w="1660" w:type="dxa"/>
            <w:vAlign w:val="bottom"/>
            <w:gridSpan w:val="2"/>
            <w:shd w:val="clear" w:color="auto" w:fill="1F2A44"/>
          </w:tcPr>
          <w:p>
            <w:pPr>
              <w:ind w:left="200"/>
              <w:spacing w:after="0"/>
              <w:rPr>
                <w:sz w:val="20"/>
                <w:szCs w:val="20"/>
                <w:color w:val="auto"/>
              </w:rPr>
            </w:pPr>
            <w:r>
              <w:rPr>
                <w:rFonts w:ascii="Arial" w:cs="Arial" w:eastAsia="Arial" w:hAnsi="Arial"/>
                <w:sz w:val="18"/>
                <w:szCs w:val="18"/>
                <w:b w:val="1"/>
                <w:bCs w:val="1"/>
                <w:color w:val="FFFFFF"/>
              </w:rPr>
              <w:t>Compensation</w:t>
            </w:r>
          </w:p>
        </w:tc>
        <w:tc>
          <w:tcPr>
            <w:tcW w:w="320" w:type="dxa"/>
            <w:vAlign w:val="bottom"/>
            <w:shd w:val="clear" w:color="auto" w:fill="1F2A44"/>
          </w:tcPr>
          <w:p>
            <w:pPr>
              <w:spacing w:after="0"/>
              <w:rPr>
                <w:sz w:val="20"/>
                <w:szCs w:val="20"/>
                <w:color w:val="auto"/>
              </w:rPr>
            </w:pPr>
          </w:p>
        </w:tc>
        <w:tc>
          <w:tcPr>
            <w:tcW w:w="1020" w:type="dxa"/>
            <w:vAlign w:val="bottom"/>
            <w:shd w:val="clear" w:color="auto" w:fill="1F2A44"/>
          </w:tcPr>
          <w:p>
            <w:pPr>
              <w:jc w:val="right"/>
              <w:ind w:right="37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68"/>
        </w:trPr>
        <w:tc>
          <w:tcPr>
            <w:tcW w:w="3380" w:type="dxa"/>
            <w:vAlign w:val="bottom"/>
            <w:tcBorders>
              <w:right w:val="single" w:sz="8" w:color="auto"/>
            </w:tcBorders>
            <w:shd w:val="clear" w:color="auto" w:fill="1F2A44"/>
          </w:tcPr>
          <w:p>
            <w:pPr>
              <w:spacing w:after="0"/>
              <w:rPr>
                <w:sz w:val="5"/>
                <w:szCs w:val="5"/>
                <w:color w:val="auto"/>
              </w:rPr>
            </w:pPr>
          </w:p>
        </w:tc>
        <w:tc>
          <w:tcPr>
            <w:tcW w:w="440" w:type="dxa"/>
            <w:vAlign w:val="bottom"/>
            <w:shd w:val="clear" w:color="auto" w:fill="1F2A44"/>
          </w:tcPr>
          <w:p>
            <w:pPr>
              <w:spacing w:after="0"/>
              <w:rPr>
                <w:sz w:val="5"/>
                <w:szCs w:val="5"/>
                <w:color w:val="auto"/>
              </w:rPr>
            </w:pPr>
          </w:p>
        </w:tc>
        <w:tc>
          <w:tcPr>
            <w:tcW w:w="1020" w:type="dxa"/>
            <w:vAlign w:val="bottom"/>
            <w:shd w:val="clear" w:color="auto" w:fill="1F2A44"/>
          </w:tcPr>
          <w:p>
            <w:pPr>
              <w:spacing w:after="0"/>
              <w:rPr>
                <w:sz w:val="5"/>
                <w:szCs w:val="5"/>
                <w:color w:val="auto"/>
              </w:rPr>
            </w:pPr>
          </w:p>
        </w:tc>
        <w:tc>
          <w:tcPr>
            <w:tcW w:w="940" w:type="dxa"/>
            <w:vAlign w:val="bottom"/>
            <w:shd w:val="clear" w:color="auto" w:fill="1F2A44"/>
          </w:tcPr>
          <w:p>
            <w:pPr>
              <w:spacing w:after="0"/>
              <w:rPr>
                <w:sz w:val="5"/>
                <w:szCs w:val="5"/>
                <w:color w:val="auto"/>
              </w:rPr>
            </w:pPr>
          </w:p>
        </w:tc>
        <w:tc>
          <w:tcPr>
            <w:tcW w:w="920" w:type="dxa"/>
            <w:vAlign w:val="bottom"/>
            <w:tcBorders>
              <w:right w:val="single" w:sz="8" w:color="auto"/>
            </w:tcBorders>
            <w:shd w:val="clear" w:color="auto" w:fill="1F2A44"/>
          </w:tcPr>
          <w:p>
            <w:pPr>
              <w:spacing w:after="0"/>
              <w:rPr>
                <w:sz w:val="5"/>
                <w:szCs w:val="5"/>
                <w:color w:val="auto"/>
              </w:rPr>
            </w:pPr>
          </w:p>
        </w:tc>
        <w:tc>
          <w:tcPr>
            <w:tcW w:w="200" w:type="dxa"/>
            <w:vAlign w:val="bottom"/>
            <w:shd w:val="clear" w:color="auto" w:fill="1F2A44"/>
          </w:tcPr>
          <w:p>
            <w:pPr>
              <w:spacing w:after="0"/>
              <w:rPr>
                <w:sz w:val="5"/>
                <w:szCs w:val="5"/>
                <w:color w:val="auto"/>
              </w:rPr>
            </w:pPr>
          </w:p>
        </w:tc>
        <w:tc>
          <w:tcPr>
            <w:tcW w:w="220" w:type="dxa"/>
            <w:vAlign w:val="bottom"/>
            <w:shd w:val="clear" w:color="auto" w:fill="1F2A44"/>
          </w:tcPr>
          <w:p>
            <w:pPr>
              <w:spacing w:after="0"/>
              <w:rPr>
                <w:sz w:val="5"/>
                <w:szCs w:val="5"/>
                <w:color w:val="auto"/>
              </w:rPr>
            </w:pPr>
          </w:p>
        </w:tc>
        <w:tc>
          <w:tcPr>
            <w:tcW w:w="900" w:type="dxa"/>
            <w:vAlign w:val="bottom"/>
            <w:shd w:val="clear" w:color="auto" w:fill="1F2A44"/>
          </w:tcPr>
          <w:p>
            <w:pPr>
              <w:spacing w:after="0"/>
              <w:rPr>
                <w:sz w:val="5"/>
                <w:szCs w:val="5"/>
                <w:color w:val="auto"/>
              </w:rPr>
            </w:pPr>
          </w:p>
        </w:tc>
        <w:tc>
          <w:tcPr>
            <w:tcW w:w="380" w:type="dxa"/>
            <w:vAlign w:val="bottom"/>
            <w:shd w:val="clear" w:color="auto" w:fill="1F2A44"/>
          </w:tcPr>
          <w:p>
            <w:pPr>
              <w:spacing w:after="0"/>
              <w:rPr>
                <w:sz w:val="5"/>
                <w:szCs w:val="5"/>
                <w:color w:val="auto"/>
              </w:rPr>
            </w:pPr>
          </w:p>
        </w:tc>
        <w:tc>
          <w:tcPr>
            <w:tcW w:w="1280" w:type="dxa"/>
            <w:vAlign w:val="bottom"/>
            <w:shd w:val="clear" w:color="auto" w:fill="1F2A44"/>
          </w:tcPr>
          <w:p>
            <w:pPr>
              <w:spacing w:after="0"/>
              <w:rPr>
                <w:sz w:val="5"/>
                <w:szCs w:val="5"/>
                <w:color w:val="auto"/>
              </w:rPr>
            </w:pPr>
          </w:p>
        </w:tc>
        <w:tc>
          <w:tcPr>
            <w:tcW w:w="320" w:type="dxa"/>
            <w:vAlign w:val="bottom"/>
            <w:shd w:val="clear" w:color="auto" w:fill="1F2A44"/>
          </w:tcPr>
          <w:p>
            <w:pPr>
              <w:spacing w:after="0"/>
              <w:rPr>
                <w:sz w:val="5"/>
                <w:szCs w:val="5"/>
                <w:color w:val="auto"/>
              </w:rPr>
            </w:pPr>
          </w:p>
        </w:tc>
        <w:tc>
          <w:tcPr>
            <w:tcW w:w="1020" w:type="dxa"/>
            <w:vAlign w:val="bottom"/>
            <w:shd w:val="clear" w:color="auto" w:fill="1F2A44"/>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Jon E. Bortz</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76,000</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114,000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32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David W. Faeder</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76,000</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114,000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2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Kristin Gamble</w:t>
            </w:r>
            <w:r>
              <w:rPr>
                <w:rFonts w:ascii="Arial" w:cs="Arial" w:eastAsia="Arial" w:hAnsi="Arial"/>
                <w:sz w:val="15"/>
                <w:szCs w:val="15"/>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63,507</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63,507</w:t>
            </w:r>
          </w:p>
        </w:tc>
        <w:tc>
          <w:tcPr>
            <w:tcW w:w="0" w:type="dxa"/>
            <w:vAlign w:val="bottom"/>
          </w:tcPr>
          <w:p>
            <w:pPr>
              <w:spacing w:after="0"/>
              <w:rPr>
                <w:sz w:val="1"/>
                <w:szCs w:val="1"/>
                <w:color w:val="auto"/>
              </w:rPr>
            </w:pPr>
          </w:p>
        </w:tc>
      </w:tr>
      <w:tr>
        <w:trPr>
          <w:trHeight w:val="32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Elizabeth I. Holland</w:t>
            </w:r>
            <w:r>
              <w:rPr>
                <w:rFonts w:ascii="Arial" w:cs="Arial" w:eastAsia="Arial" w:hAnsi="Arial"/>
                <w:sz w:val="15"/>
                <w:szCs w:val="15"/>
                <w:color w:val="auto"/>
              </w:rPr>
              <w:t>(3)</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69,545</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104,500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174,045</w:t>
            </w:r>
          </w:p>
        </w:tc>
        <w:tc>
          <w:tcPr>
            <w:tcW w:w="0" w:type="dxa"/>
            <w:vAlign w:val="bottom"/>
          </w:tcPr>
          <w:p>
            <w:pPr>
              <w:spacing w:after="0"/>
              <w:rPr>
                <w:sz w:val="1"/>
                <w:szCs w:val="1"/>
                <w:color w:val="auto"/>
              </w:rPr>
            </w:pPr>
          </w:p>
        </w:tc>
      </w:tr>
      <w:tr>
        <w:trPr>
          <w:trHeight w:val="32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Gail P. Steinel</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76,000</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114,000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20,000</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32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Warren M. Thompson</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76,000</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114,000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2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Joseph S. Vassalluzzo</w:t>
            </w:r>
            <w:r>
              <w:rPr>
                <w:rFonts w:ascii="Arial" w:cs="Arial" w:eastAsia="Arial" w:hAnsi="Arial"/>
                <w:sz w:val="15"/>
                <w:szCs w:val="15"/>
                <w:color w:val="auto"/>
              </w:rPr>
              <w:t>(4)</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106,000</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159,000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7,500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272,500</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543,052</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719,500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40,000</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7,500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1,310,052</w:t>
            </w:r>
          </w:p>
        </w:tc>
        <w:tc>
          <w:tcPr>
            <w:tcW w:w="0" w:type="dxa"/>
            <w:vAlign w:val="bottom"/>
          </w:tcPr>
          <w:p>
            <w:pPr>
              <w:spacing w:after="0"/>
              <w:rPr>
                <w:sz w:val="1"/>
                <w:szCs w:val="1"/>
                <w:color w:val="auto"/>
              </w:rPr>
            </w:pPr>
          </w:p>
        </w:tc>
      </w:tr>
      <w:tr>
        <w:trPr>
          <w:trHeight w:val="41"/>
        </w:trPr>
        <w:tc>
          <w:tcPr>
            <w:tcW w:w="3380" w:type="dxa"/>
            <w:vAlign w:val="bottom"/>
            <w:tcBorders>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40" w:right="20" w:hanging="436"/>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were issued on January 2, 2018 with the number of Shares received by each Trustee determined by dividing the amount to be paid in Shares by $132.81, the closing price of our Shares on the NYSE on December 29, 2017, the last business day prior to the date the Shares were issued.</w:t>
      </w:r>
    </w:p>
    <w:p>
      <w:pPr>
        <w:spacing w:after="0" w:line="2"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Pro-rated for partial year of service through retirement from the Board on May 2, 2017.</w:t>
      </w:r>
    </w:p>
    <w:p>
      <w:pPr>
        <w:ind w:left="640" w:hanging="436"/>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Pro-rated for partial year of service beginning February 1, 2017.</w:t>
      </w:r>
    </w:p>
    <w:p>
      <w:pPr>
        <w:ind w:left="640" w:right="20" w:hanging="436"/>
        <w:spacing w:after="0" w:line="24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Estimated value of the administrative services. We do not believe there is any incremental cost to us of providing this administrative support.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308610"/>
                    </a:xfrm>
                    <a:prstGeom prst="rect">
                      <a:avLst/>
                    </a:prstGeom>
                    <a:noFill/>
                  </pic:spPr>
                </pic:pic>
              </a:graphicData>
            </a:graphic>
          </wp:anchor>
        </w:drawing>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EXECUTIVE OFFICER AND COMPENSATION INFORMATION</w:t>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named executive officers (“NEOs”) are:</w:t>
      </w:r>
    </w:p>
    <w:p>
      <w:pPr>
        <w:spacing w:after="0" w:line="240" w:lineRule="exact"/>
        <w:rPr>
          <w:sz w:val="20"/>
          <w:szCs w:val="20"/>
          <w:color w:val="auto"/>
        </w:rPr>
      </w:pPr>
    </w:p>
    <w:tbl>
      <w:tblPr>
        <w:tblLayout w:type="fixed"/>
        <w:tblInd w:w="230" w:type="dxa"/>
        <w:tblCellMar>
          <w:top w:w="0" w:type="dxa"/>
          <w:left w:w="0" w:type="dxa"/>
          <w:bottom w:w="0" w:type="dxa"/>
          <w:right w:w="0" w:type="dxa"/>
        </w:tblCellMar>
      </w:tblPr>
      <w:tr>
        <w:trPr>
          <w:trHeight w:val="284"/>
        </w:trPr>
        <w:tc>
          <w:tcPr>
            <w:tcW w:w="3000" w:type="dxa"/>
            <w:vAlign w:val="bottom"/>
            <w:tcBorders>
              <w:left w:val="single" w:sz="8" w:color="auto"/>
              <w:right w:val="single" w:sz="8" w:color="auto"/>
            </w:tcBorders>
            <w:shd w:val="clear" w:color="auto" w:fill="1F2A44"/>
          </w:tcPr>
          <w:p>
            <w:pPr>
              <w:ind w:left="200"/>
              <w:spacing w:after="0"/>
              <w:rPr>
                <w:sz w:val="20"/>
                <w:szCs w:val="20"/>
                <w:color w:val="auto"/>
              </w:rPr>
            </w:pPr>
            <w:r>
              <w:rPr>
                <w:rFonts w:ascii="Arial" w:cs="Arial" w:eastAsia="Arial" w:hAnsi="Arial"/>
                <w:sz w:val="18"/>
                <w:szCs w:val="18"/>
                <w:b w:val="1"/>
                <w:bCs w:val="1"/>
                <w:color w:val="FFFFFF"/>
              </w:rPr>
              <w:t>Name</w:t>
            </w:r>
          </w:p>
        </w:tc>
        <w:tc>
          <w:tcPr>
            <w:tcW w:w="920" w:type="dxa"/>
            <w:vAlign w:val="bottom"/>
            <w:tcBorders>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Age</w:t>
            </w:r>
          </w:p>
        </w:tc>
        <w:tc>
          <w:tcPr>
            <w:tcW w:w="7120" w:type="dxa"/>
            <w:vAlign w:val="bottom"/>
            <w:tcBorders>
              <w:right w:val="single" w:sz="8" w:color="auto"/>
            </w:tcBorders>
            <w:shd w:val="clear" w:color="auto" w:fill="1F2A44"/>
          </w:tcPr>
          <w:p>
            <w:pPr>
              <w:ind w:left="300"/>
              <w:spacing w:after="0"/>
              <w:rPr>
                <w:sz w:val="20"/>
                <w:szCs w:val="20"/>
                <w:color w:val="auto"/>
              </w:rPr>
            </w:pPr>
            <w:r>
              <w:rPr>
                <w:rFonts w:ascii="Arial" w:cs="Arial" w:eastAsia="Arial" w:hAnsi="Arial"/>
                <w:sz w:val="18"/>
                <w:szCs w:val="18"/>
                <w:b w:val="1"/>
                <w:bCs w:val="1"/>
                <w:color w:val="FFFFFF"/>
              </w:rPr>
              <w:t>Position</w:t>
            </w:r>
          </w:p>
        </w:tc>
      </w:tr>
      <w:tr>
        <w:trPr>
          <w:trHeight w:val="68"/>
        </w:trPr>
        <w:tc>
          <w:tcPr>
            <w:tcW w:w="3000" w:type="dxa"/>
            <w:vAlign w:val="bottom"/>
            <w:tcBorders>
              <w:left w:val="single" w:sz="8" w:color="auto"/>
              <w:right w:val="single" w:sz="8" w:color="auto"/>
            </w:tcBorders>
            <w:shd w:val="clear" w:color="auto" w:fill="1F2A44"/>
          </w:tcPr>
          <w:p>
            <w:pPr>
              <w:spacing w:after="0"/>
              <w:rPr>
                <w:sz w:val="5"/>
                <w:szCs w:val="5"/>
                <w:color w:val="auto"/>
              </w:rPr>
            </w:pPr>
          </w:p>
        </w:tc>
        <w:tc>
          <w:tcPr>
            <w:tcW w:w="920" w:type="dxa"/>
            <w:vAlign w:val="bottom"/>
            <w:tcBorders>
              <w:right w:val="single" w:sz="8" w:color="auto"/>
            </w:tcBorders>
            <w:shd w:val="clear" w:color="auto" w:fill="1F2A44"/>
          </w:tcPr>
          <w:p>
            <w:pPr>
              <w:spacing w:after="0"/>
              <w:rPr>
                <w:sz w:val="5"/>
                <w:szCs w:val="5"/>
                <w:color w:val="auto"/>
              </w:rPr>
            </w:pPr>
          </w:p>
        </w:tc>
        <w:tc>
          <w:tcPr>
            <w:tcW w:w="7120" w:type="dxa"/>
            <w:vAlign w:val="bottom"/>
            <w:tcBorders>
              <w:right w:val="single" w:sz="8" w:color="auto"/>
            </w:tcBorders>
            <w:shd w:val="clear" w:color="auto" w:fill="1F2A44"/>
          </w:tcPr>
          <w:p>
            <w:pPr>
              <w:spacing w:after="0"/>
              <w:rPr>
                <w:sz w:val="5"/>
                <w:szCs w:val="5"/>
                <w:color w:val="auto"/>
              </w:rPr>
            </w:pPr>
          </w:p>
        </w:tc>
      </w:tr>
      <w:tr>
        <w:trPr>
          <w:trHeight w:val="324"/>
        </w:trPr>
        <w:tc>
          <w:tcPr>
            <w:tcW w:w="3000" w:type="dxa"/>
            <w:vAlign w:val="bottom"/>
            <w:tcBorders>
              <w:left w:val="single" w:sz="8" w:color="auto"/>
              <w:bottom w:val="single" w:sz="8" w:color="FEC221"/>
              <w:right w:val="single" w:sz="8" w:color="auto"/>
            </w:tcBorders>
            <w:shd w:val="clear" w:color="auto" w:fill="FEC221"/>
          </w:tcPr>
          <w:p>
            <w:pPr>
              <w:ind w:left="200"/>
              <w:spacing w:after="0"/>
              <w:rPr>
                <w:sz w:val="20"/>
                <w:szCs w:val="20"/>
                <w:color w:val="auto"/>
              </w:rPr>
            </w:pPr>
            <w:r>
              <w:rPr>
                <w:rFonts w:ascii="Arial" w:cs="Arial" w:eastAsia="Arial" w:hAnsi="Arial"/>
                <w:sz w:val="18"/>
                <w:szCs w:val="18"/>
                <w:color w:val="auto"/>
              </w:rPr>
              <w:t>Donald C. Wood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71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304"/>
        </w:trPr>
        <w:tc>
          <w:tcPr>
            <w:tcW w:w="3000" w:type="dxa"/>
            <w:vAlign w:val="bottom"/>
            <w:tcBorders>
              <w:top w:val="single" w:sz="8" w:color="auto"/>
              <w:left w:val="single" w:sz="8" w:color="auto"/>
              <w:bottom w:val="single" w:sz="8" w:color="FEC221"/>
              <w:right w:val="single" w:sz="8" w:color="auto"/>
            </w:tcBorders>
            <w:shd w:val="clear" w:color="auto" w:fill="FEC221"/>
          </w:tcPr>
          <w:p>
            <w:pPr>
              <w:ind w:left="200"/>
              <w:spacing w:after="0"/>
              <w:rPr>
                <w:sz w:val="20"/>
                <w:szCs w:val="20"/>
                <w:color w:val="auto"/>
              </w:rPr>
            </w:pPr>
            <w:r>
              <w:rPr>
                <w:rFonts w:ascii="Arial" w:cs="Arial" w:eastAsia="Arial" w:hAnsi="Arial"/>
                <w:sz w:val="18"/>
                <w:szCs w:val="18"/>
                <w:color w:val="auto"/>
              </w:rPr>
              <w:t>Daniel Guglielmone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71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Executive Vice President – Chief Financial Officer and Treasurer</w:t>
            </w:r>
          </w:p>
        </w:tc>
      </w:tr>
      <w:tr>
        <w:trPr>
          <w:trHeight w:val="284"/>
        </w:trPr>
        <w:tc>
          <w:tcPr>
            <w:tcW w:w="3000" w:type="dxa"/>
            <w:vAlign w:val="bottom"/>
            <w:tcBorders>
              <w:top w:val="single" w:sz="8" w:color="auto"/>
              <w:left w:val="single" w:sz="8" w:color="auto"/>
              <w:bottom w:val="single" w:sz="8" w:color="FEC221"/>
              <w:right w:val="single" w:sz="8" w:color="auto"/>
            </w:tcBorders>
            <w:shd w:val="clear" w:color="auto" w:fill="FEC221"/>
          </w:tcPr>
          <w:p>
            <w:pPr>
              <w:ind w:left="200"/>
              <w:spacing w:after="0"/>
              <w:rPr>
                <w:sz w:val="20"/>
                <w:szCs w:val="20"/>
                <w:color w:val="auto"/>
              </w:rPr>
            </w:pPr>
            <w:r>
              <w:rPr>
                <w:rFonts w:ascii="Arial" w:cs="Arial" w:eastAsia="Arial" w:hAnsi="Arial"/>
                <w:sz w:val="18"/>
                <w:szCs w:val="18"/>
                <w:color w:val="auto"/>
              </w:rPr>
              <w:t>Dawn M. Becker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71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Executive Vice President – General Counsel and Secretary</w:t>
            </w:r>
          </w:p>
        </w:tc>
      </w:tr>
      <w:tr>
        <w:trPr>
          <w:trHeight w:val="20"/>
        </w:trPr>
        <w:tc>
          <w:tcPr>
            <w:tcW w:w="3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7120" w:type="dxa"/>
            <w:vAlign w:val="bottom"/>
            <w:tcBorders>
              <w:right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“Proposal 1 – Election of Trustees.”</w:t>
      </w:r>
    </w:p>
    <w:p>
      <w:pPr>
        <w:spacing w:after="0" w:line="171" w:lineRule="exact"/>
        <w:rPr>
          <w:sz w:val="20"/>
          <w:szCs w:val="20"/>
          <w:color w:val="auto"/>
        </w:rPr>
      </w:pPr>
    </w:p>
    <w:p>
      <w:pPr>
        <w:jc w:val="both"/>
        <w:ind w:left="200" w:right="20"/>
        <w:spacing w:after="0" w:line="247" w:lineRule="auto"/>
        <w:rPr>
          <w:sz w:val="20"/>
          <w:szCs w:val="20"/>
          <w:color w:val="auto"/>
        </w:rPr>
      </w:pPr>
      <w:r>
        <w:rPr>
          <w:rFonts w:ascii="Arial" w:cs="Arial" w:eastAsia="Arial" w:hAnsi="Arial"/>
          <w:sz w:val="18"/>
          <w:szCs w:val="18"/>
          <w:b w:val="1"/>
          <w:bCs w:val="1"/>
          <w:color w:val="auto"/>
        </w:rPr>
        <w:t>Daniel Guglielmone</w:t>
      </w:r>
      <w:r>
        <w:rPr>
          <w:rFonts w:ascii="Arial" w:cs="Arial" w:eastAsia="Arial" w:hAnsi="Arial"/>
          <w:sz w:val="18"/>
          <w:szCs w:val="18"/>
          <w:color w:val="auto"/>
        </w:rPr>
        <w:t>, Executive Vice President – Chief Financial Officer and Treasurer of the Trust (since August 2016) with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overseeing the Trust’s capital markets, financial reporting, investor relations, corporate communications and East Coast acquisitions; Senior Vice President-Acquisitions &amp; Capital Markets of Vornado Realty Trust (2003 – 2016); Director of the real estate and lodging group of Salomon Smith Barney / Citigroup (1993 – 2003) and the retail division of Douglas Elliman Commercial Real Estate (1989 to 1992).</w:t>
      </w:r>
    </w:p>
    <w:p>
      <w:pPr>
        <w:spacing w:after="0" w:line="147"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8"/>
          <w:szCs w:val="18"/>
          <w:b w:val="1"/>
          <w:bCs w:val="1"/>
          <w:color w:val="auto"/>
        </w:rPr>
        <w:t>Dawn M. Becker</w:t>
      </w:r>
      <w:r>
        <w:rPr>
          <w:rFonts w:ascii="Arial" w:cs="Arial" w:eastAsia="Arial" w:hAnsi="Arial"/>
          <w:sz w:val="18"/>
          <w:szCs w:val="18"/>
          <w:color w:val="auto"/>
        </w:rPr>
        <w:t>, Executive Vice President – General Counsel and Secretary (since April 2002) with responsibility for overseeing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Trust’s corporate functions including the Trust’s Legal, Human Resources and Information Technology Departments; and prior to that time, various officer positions with the Trust, including Executive Vice President – Managing Director Mixed Use Operations (2015 – 2016), Executive Vice President – Chief Operating Officer (2010 – 2015) and Vice President – Real Estate and Finance Counsel (2000 – 2002).</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2 – 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You are being asked to approve on an advisory basis the compensation of our NEOs as described in the Compensation Discussion and Analysis (“CD&amp;A”), the Summary Compensation Table, the supplemental tables and the disclosure narratives that follow. This is an opportunity to express your opinion regarding the decisions made by the Compensation Committee on the compensation of our NEOs for 2017; however, it will not affect any compensation already paid or awarded for 2017 and will not be binding on the Compensation Committee, the Board or the Trust. The Board and our Compensation Committee value the opinions of our shareholders and will review the results of this vote and take those results into consideration in addressing future compensation policies and decisions.</w:t>
      </w:r>
    </w:p>
    <w:p>
      <w:pPr>
        <w:spacing w:after="0" w:line="16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described in more detail below, our compensation packages include base salaries, annual cash incentive compensation, long-term equity incentives and other market appropriate benefits and perquisites. We believe our compensation programs and policies are appropriate and effective in retaining and motivating our NEOs to achieve superior results for our shareholders and that it aligns those individuals with your interests as our shareholders. A few highlights of our compensation programs are:</w:t>
      </w:r>
    </w:p>
    <w:p>
      <w:pPr>
        <w:spacing w:after="0" w:line="202" w:lineRule="exact"/>
        <w:rPr>
          <w:sz w:val="20"/>
          <w:szCs w:val="20"/>
          <w:color w:val="auto"/>
        </w:rPr>
      </w:pPr>
    </w:p>
    <w:p>
      <w:pPr>
        <w:jc w:val="both"/>
        <w:ind w:left="640" w:hanging="328"/>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portion of our NEOs’ compensation is directly linked to our performance and the creation of long-term shareholder value through long-term incentive awards. The value of these awards is only recognized over a 6-year period that includes a 3-year performance period, an award date, plus a minimum 3-year vesting period after the award date.</w:t>
      </w:r>
    </w:p>
    <w:p>
      <w:pPr>
        <w:spacing w:after="0" w:line="2" w:lineRule="exact"/>
        <w:rPr>
          <w:rFonts w:ascii="Arial" w:cs="Arial" w:eastAsia="Arial" w:hAnsi="Arial"/>
          <w:sz w:val="18"/>
          <w:szCs w:val="18"/>
          <w:color w:val="auto"/>
        </w:rPr>
      </w:pPr>
    </w:p>
    <w:p>
      <w:pPr>
        <w:jc w:val="both"/>
        <w:ind w:left="640" w:hanging="328"/>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compensation of our NEOs is strongly tied to our performance and to the performance of the individual. The annual incentive compensation is only paid if we achieve our annual FFO (see definition below in Compensation Discussion and Analysis) per share objective and long-term incentives are earned on the basis of our absolute and relative total shareholder returns as well as our return on invested capital.</w:t>
      </w:r>
    </w:p>
    <w:p>
      <w:pPr>
        <w:spacing w:after="0" w:line="3" w:lineRule="exact"/>
        <w:rPr>
          <w:rFonts w:ascii="Arial" w:cs="Arial" w:eastAsia="Arial" w:hAnsi="Arial"/>
          <w:sz w:val="18"/>
          <w:szCs w:val="18"/>
          <w:color w:val="auto"/>
        </w:rPr>
      </w:pPr>
    </w:p>
    <w:p>
      <w:pPr>
        <w:ind w:left="640" w:hanging="328"/>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ind w:left="640" w:hanging="328"/>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NEOs are incentivized to act in the best long-term interests of the Trust through stock ownership guidelines.</w:t>
      </w:r>
    </w:p>
    <w:p>
      <w:pPr>
        <w:ind w:left="640" w:hanging="328"/>
        <w:spacing w:after="0" w:line="246"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 perquisites for our NEOs that are not widely available to other employees other than as described in the CD&amp;A and the “Potential Payments on Termination of Employment and Change-in Control” section below.</w:t>
      </w:r>
    </w:p>
    <w:p>
      <w:pPr>
        <w:spacing w:after="0" w:line="156"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368935"/>
                    </a:xfrm>
                    <a:prstGeom prst="rect">
                      <a:avLst/>
                    </a:prstGeom>
                    <a:noFill/>
                  </pic:spPr>
                </pic:pic>
              </a:graphicData>
            </a:graphic>
          </wp:anchor>
        </w:drawing>
      </w:r>
    </w:p>
    <w:p>
      <w:pPr>
        <w:spacing w:after="0" w:line="37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The Board recommends that you vote “FOR” this proposal on the compensation of our NEOs for 2017.</w:t>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text of the resolution if Proposal 2 is passed is:</w:t>
      </w:r>
    </w:p>
    <w:p>
      <w:pPr>
        <w:spacing w:after="0" w:line="17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RESOLVED, that the shareholders of the Trust hereby approve, on an advisory basis, the compensation of our NEOs as described in the CD&amp;A, the Summary Compensation Table, the supplemental tables and the narrative disclosures accompanying these materials as required by Item 402 of Regulation S-K.</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This Compensation Discussion and Analysis describes the Trust’s compensation programs and compensation decisions for our NEOs for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Performance Highlights</w:t>
      </w:r>
    </w:p>
    <w:p>
      <w:pPr>
        <w:spacing w:after="0" w:line="19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Trust’s business plan of delivering long-term sustainable growth through investment in high quality, retail based properties located primarily in major coastal US markets resulted in record levels of performance in 2017 including total revenue, operating income and funds from operations (“FFO”)</w:t>
      </w:r>
      <w:r>
        <w:rPr>
          <w:rFonts w:ascii="Arial" w:cs="Arial" w:eastAsia="Arial" w:hAnsi="Arial"/>
          <w:sz w:val="15"/>
          <w:szCs w:val="15"/>
          <w:color w:val="auto"/>
        </w:rPr>
        <w:t>1</w:t>
      </w:r>
      <w:r>
        <w:rPr>
          <w:rFonts w:ascii="Arial" w:cs="Arial" w:eastAsia="Arial" w:hAnsi="Arial"/>
          <w:sz w:val="18"/>
          <w:szCs w:val="18"/>
          <w:color w:val="auto"/>
        </w:rPr>
        <w:t xml:space="preserve"> per share. These record level results were achieved despite the headwinds from significant levels of retailer failures and store closures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146050</wp:posOffset>
            </wp:positionV>
            <wp:extent cx="5831840" cy="1560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318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sustained long-term growth in these and other financial metrics reflects the Trust’s disciplined approach to investing in and operating its assets and provided the foundation for 2017 to have marked the 50</w:t>
      </w:r>
      <w:r>
        <w:rPr>
          <w:rFonts w:ascii="Arial" w:cs="Arial" w:eastAsia="Arial" w:hAnsi="Arial"/>
          <w:sz w:val="15"/>
          <w:szCs w:val="15"/>
          <w:color w:val="auto"/>
        </w:rPr>
        <w:t>th</w:t>
      </w:r>
      <w:r>
        <w:rPr>
          <w:rFonts w:ascii="Arial" w:cs="Arial" w:eastAsia="Arial" w:hAnsi="Arial"/>
          <w:sz w:val="18"/>
          <w:szCs w:val="18"/>
          <w:color w:val="auto"/>
        </w:rPr>
        <w:t xml:space="preserve"> consecutive year that the Trust increased its common dividend to shareholders, a milestone achieved by a small percentage of other US public companies and by no other real estate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146685</wp:posOffset>
            </wp:positionV>
            <wp:extent cx="4965700" cy="1191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6570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ability to achieve these results during such uncertain times for any business that is tied to the retail industry was only possible because of the creation and execution of the long-term business plan developed by our Board of Trustees and management team focused on generating increasing streams of cash flow and the creation of long-term value for our shareholders during all kinds of economic cycles. Some of the key components of that business plan include:</w:t>
      </w:r>
    </w:p>
    <w:p>
      <w:pPr>
        <w:spacing w:after="0" w:line="198" w:lineRule="exact"/>
        <w:rPr>
          <w:sz w:val="20"/>
          <w:szCs w:val="20"/>
          <w:color w:val="auto"/>
        </w:rPr>
      </w:pPr>
    </w:p>
    <w:p>
      <w:pPr>
        <w:ind w:left="860" w:hanging="332"/>
        <w:spacing w:after="0"/>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Income diversification so that no one retailer accounts for more than approximately 3% of our income in any given year</w:t>
      </w:r>
    </w:p>
    <w:p>
      <w:pPr>
        <w:ind w:left="860" w:hanging="332"/>
        <w:spacing w:after="0" w:line="234"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Income diversification through investment in retail and office uses in mixed-use environments that benefit from a strong retail base</w:t>
      </w:r>
    </w:p>
    <w:p>
      <w:pPr>
        <w:ind w:left="860" w:hanging="332"/>
        <w:spacing w:after="0" w:line="234"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Investing and reinvesting in those locations where demand for retail exceeds supply</w:t>
      </w:r>
    </w:p>
    <w:p>
      <w:pPr>
        <w:ind w:left="860" w:hanging="332"/>
        <w:spacing w:after="0" w:line="234"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Investing in those retailers who we believe have the best chance of adapting to changing trends for long-term success</w:t>
      </w:r>
    </w:p>
    <w:p>
      <w:pPr>
        <w:ind w:left="860" w:hanging="332"/>
        <w:spacing w:after="0" w:line="246" w:lineRule="auto"/>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Managing the balance sheet for the long-term including raising capital opportunistically when market conditions are favorable despite short-term dilution</w:t>
      </w:r>
    </w:p>
    <w:p>
      <w:pPr>
        <w:spacing w:after="0" w:line="153" w:lineRule="exact"/>
        <w:rPr>
          <w:rFonts w:ascii="Arial" w:cs="Arial" w:eastAsia="Arial" w:hAnsi="Arial"/>
          <w:sz w:val="18"/>
          <w:szCs w:val="18"/>
          <w:color w:val="auto"/>
        </w:rPr>
      </w:pPr>
    </w:p>
    <w:p>
      <w:pPr>
        <w:ind w:left="640" w:hanging="432"/>
        <w:spacing w:after="0"/>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FFO is a supplemental non-GAAP financial measure of a real estate company’s operating performance. We follow the definition of FFO provided by the National Association of Real Estate Investment Trusts (“NAREIT”) which is included on Appendix A along with a reconciliation of net income to FFO available for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-417195</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Part of the Trust’s long-term focused business plan includes its ongoing environmental, workplace and social initiatives. Since 2012, the Trust has invested more than $1.2 billion in building construction that has been certified as green by the United States Green Building Council and other similar groups. During that same time period, we’ve also invested nearly $35 million dollars in 22 active production solar photovoltaic systems with an additional $12 million dollars currently being invested in 10 more solar photovoltaic systems expected to be placed into service in 2018. In total, these 32 solar systems are projected to generate nearly 18.5 kWH of electricity on an annualized basis, offsetting nearly 30 million pounds of CO2 which is the equivalent of providing all electricity needs for more than 2,000 households for one year. In 2017, the Trust again participated in the Global Real Estate Sustainability benchmark report and achieved 4 Green Stars with an overall score of 78. In addition to the direct investment in sustainable development, social impact is pursued through innovative partnerships such as Up Top Acres where existing green roof infrastructure at properties is being farmed and producing vegetables used by restaurants in those properties, reflecting the Trust’s commitment to enhancing the communities in which we do business. 2017 marked the 10</w:t>
      </w:r>
      <w:r>
        <w:rPr>
          <w:rFonts w:ascii="Arial" w:cs="Arial" w:eastAsia="Arial" w:hAnsi="Arial"/>
          <w:sz w:val="15"/>
          <w:szCs w:val="15"/>
          <w:color w:val="auto"/>
        </w:rPr>
        <w:t>th</w:t>
      </w:r>
      <w:r>
        <w:rPr>
          <w:rFonts w:ascii="Arial" w:cs="Arial" w:eastAsia="Arial" w:hAnsi="Arial"/>
          <w:sz w:val="18"/>
          <w:szCs w:val="18"/>
          <w:color w:val="auto"/>
        </w:rPr>
        <w:t xml:space="preserve"> consecutive year that the Trust received the Alliance for Workplace Excellence Seal of Approval for both Overall Workplace Excellence and Health and Wellness as well as the 7</w:t>
      </w:r>
      <w:r>
        <w:rPr>
          <w:rFonts w:ascii="Arial" w:cs="Arial" w:eastAsia="Arial" w:hAnsi="Arial"/>
          <w:sz w:val="15"/>
          <w:szCs w:val="15"/>
          <w:color w:val="auto"/>
        </w:rPr>
        <w:t>th</w:t>
      </w:r>
      <w:r>
        <w:rPr>
          <w:rFonts w:ascii="Arial" w:cs="Arial" w:eastAsia="Arial" w:hAnsi="Arial"/>
          <w:sz w:val="18"/>
          <w:szCs w:val="18"/>
          <w:color w:val="auto"/>
        </w:rPr>
        <w:t xml:space="preserve"> consecutive year of receiving the Workplace Excellence Seal of Approval for ECO Leadership. The company also expanded its charitable giving in 2017 by creating a program for employees to donate vacation days which the Trust converted to cash that was donated to help the victims of the 2017 hurricanes in addition to its other ongoing programs. We take our social responsibility seriously.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Compensation Highlights</w:t>
      </w:r>
    </w:p>
    <w:p>
      <w:pPr>
        <w:spacing w:after="0" w:line="207"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Significant portions of the total pay for our NEOs is variable incentive pay tied to shareholder returns and operational performance. Despite delivering record financial results in 2017, our three-year total return to shareholders on an absolute basis fell below our minimum acceptable level and our three-year total shareholder return relative to the other shopping center REITs in the Bloomberg REIT Shopping Center Index (“BBRESHOP”) was not as strong as it was in previous years. As a result, and even taking into account exceeding targeted performance on our annual operating goals, the total pay earned by our CEO in 2017 was lower than total pay earned by our CEO in 2016 by nearly 19%. This result is a reflection of the effectiveness of the design of our compensation programs to reward executives when we create value for our shareholders and not to reward our executives when we do not create value. Some specific decisions and results impacting 2017 compensation for our NEOs include:</w:t>
      </w:r>
    </w:p>
    <w:p>
      <w:pPr>
        <w:spacing w:after="0" w:line="204" w:lineRule="exact"/>
        <w:rPr>
          <w:sz w:val="20"/>
          <w:szCs w:val="20"/>
          <w:color w:val="auto"/>
        </w:rPr>
      </w:pPr>
    </w:p>
    <w:p>
      <w:pPr>
        <w:ind w:left="860" w:hanging="332"/>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base pay increase for our CEO</w:t>
      </w:r>
    </w:p>
    <w:p>
      <w:pPr>
        <w:ind w:left="860" w:hanging="332"/>
        <w:spacing w:after="0" w:line="23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change in the target compensation levels for our CEO’s performance based compensation</w:t>
      </w:r>
    </w:p>
    <w:p>
      <w:pPr>
        <w:ind w:left="860" w:hanging="332"/>
        <w:spacing w:after="0" w:line="23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Payout under our annual bonus plan of 110.71% of target versus 100.00% of target in 2016</w:t>
      </w:r>
    </w:p>
    <w:p>
      <w:pPr>
        <w:ind w:left="860" w:hanging="332"/>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Payout under our long-term incentive plan of 93.75% of target in 2017 versus 146.29% of target in 2016</w:t>
      </w:r>
    </w:p>
    <w:p>
      <w:pPr>
        <w:spacing w:after="0" w:line="17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At each of our Annual Shareholder Meetings for the past three years, we have received at least 94% approval for our advisory say-on-pay vote. We believe this strong level of support reflects a high degree of shareholder confidence that our compensation plans are rewarding our executives appropriately and as a result, no changes were made to the basic plan design in 2017.</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Compensation and Compensation Components</w:t>
      </w:r>
    </w:p>
    <w:p>
      <w:pPr>
        <w:spacing w:after="0" w:line="207"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We provide our NEOs with three primary components of compensation, each of which serves a unique purpose in compensating and rewarding our NEOs and creates alignment between our NEOs and our shareholders. Those primary compensation elements include base salary, annual cash bonus and long-term equity incentives.</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316"/>
        </w:trPr>
        <w:tc>
          <w:tcPr>
            <w:tcW w:w="4660" w:type="dxa"/>
            <w:vAlign w:val="bottom"/>
            <w:tcBorders>
              <w:top w:val="single" w:sz="8" w:color="auto"/>
              <w:left w:val="single" w:sz="8" w:color="auto"/>
              <w:bottom w:val="single" w:sz="8" w:color="FEC221"/>
              <w:right w:val="single" w:sz="8" w:color="FEC221"/>
            </w:tcBorders>
            <w:gridSpan w:val="4"/>
            <w:shd w:val="clear" w:color="auto" w:fill="FEC221"/>
          </w:tcPr>
          <w:p>
            <w:pPr>
              <w:ind w:left="1340"/>
              <w:spacing w:after="0"/>
              <w:rPr>
                <w:sz w:val="20"/>
                <w:szCs w:val="20"/>
                <w:color w:val="auto"/>
              </w:rPr>
            </w:pPr>
            <w:r>
              <w:rPr>
                <w:rFonts w:ascii="Arial" w:cs="Arial" w:eastAsia="Arial" w:hAnsi="Arial"/>
                <w:sz w:val="18"/>
                <w:szCs w:val="18"/>
                <w:b w:val="1"/>
                <w:bCs w:val="1"/>
                <w:color w:val="1F2A44"/>
              </w:rPr>
              <w:t>Type and Form of Pay</w:t>
            </w:r>
          </w:p>
        </w:tc>
        <w:tc>
          <w:tcPr>
            <w:tcW w:w="6380" w:type="dxa"/>
            <w:vAlign w:val="bottom"/>
            <w:tcBorders>
              <w:top w:val="single" w:sz="8" w:color="auto"/>
              <w:bottom w:val="single" w:sz="8" w:color="FEC221"/>
              <w:right w:val="single" w:sz="8" w:color="auto"/>
            </w:tcBorders>
            <w:shd w:val="clear" w:color="auto" w:fill="FEC221"/>
          </w:tcPr>
          <w:p>
            <w:pPr>
              <w:ind w:left="60"/>
              <w:spacing w:after="0"/>
              <w:rPr>
                <w:sz w:val="20"/>
                <w:szCs w:val="20"/>
                <w:color w:val="auto"/>
              </w:rPr>
            </w:pPr>
            <w:r>
              <w:rPr>
                <w:rFonts w:ascii="Arial" w:cs="Arial" w:eastAsia="Arial" w:hAnsi="Arial"/>
                <w:sz w:val="18"/>
                <w:szCs w:val="18"/>
                <w:b w:val="1"/>
                <w:bCs w:val="1"/>
                <w:color w:val="1F2A44"/>
              </w:rPr>
              <w:t>Objectives</w:t>
            </w:r>
          </w:p>
        </w:tc>
        <w:tc>
          <w:tcPr>
            <w:tcW w:w="0" w:type="dxa"/>
            <w:vAlign w:val="bottom"/>
          </w:tcPr>
          <w:p>
            <w:pPr>
              <w:spacing w:after="0"/>
              <w:rPr>
                <w:sz w:val="1"/>
                <w:szCs w:val="1"/>
                <w:color w:val="auto"/>
              </w:rPr>
            </w:pPr>
          </w:p>
        </w:tc>
      </w:tr>
      <w:tr>
        <w:trPr>
          <w:trHeight w:val="115"/>
        </w:trPr>
        <w:tc>
          <w:tcPr>
            <w:tcW w:w="1640" w:type="dxa"/>
            <w:vAlign w:val="bottom"/>
            <w:tcBorders>
              <w:top w:val="single" w:sz="8" w:color="auto"/>
              <w:bottom w:val="single" w:sz="8" w:color="1F2A44"/>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56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38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1F2A44"/>
            </w:tcBorders>
            <w:shd w:val="clear" w:color="auto" w:fill="1F2A44"/>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Compensates executives for carrying out the duties of the job</w:t>
            </w:r>
          </w:p>
        </w:tc>
        <w:tc>
          <w:tcPr>
            <w:tcW w:w="0" w:type="dxa"/>
            <w:vAlign w:val="bottom"/>
          </w:tcPr>
          <w:p>
            <w:pPr>
              <w:spacing w:after="0"/>
              <w:rPr>
                <w:sz w:val="1"/>
                <w:szCs w:val="1"/>
                <w:color w:val="auto"/>
              </w:rPr>
            </w:pPr>
          </w:p>
        </w:tc>
      </w:tr>
      <w:tr>
        <w:trPr>
          <w:trHeight w:val="256"/>
        </w:trPr>
        <w:tc>
          <w:tcPr>
            <w:tcW w:w="1640" w:type="dxa"/>
            <w:vAlign w:val="bottom"/>
            <w:tcBorders>
              <w:left w:val="single" w:sz="8" w:color="1F2A44"/>
            </w:tcBorders>
            <w:shd w:val="clear" w:color="auto" w:fill="1F2A44"/>
          </w:tcPr>
          <w:p>
            <w:pPr>
              <w:jc w:val="center"/>
              <w:spacing w:after="0"/>
              <w:rPr>
                <w:sz w:val="20"/>
                <w:szCs w:val="20"/>
                <w:color w:val="auto"/>
              </w:rPr>
            </w:pPr>
            <w:r>
              <w:rPr>
                <w:rFonts w:ascii="Arial" w:cs="Arial" w:eastAsia="Arial" w:hAnsi="Arial"/>
                <w:sz w:val="18"/>
                <w:szCs w:val="18"/>
                <w:color w:val="FFFFFF"/>
                <w:w w:val="99"/>
              </w:rPr>
              <w:t>Fixed</w:t>
            </w:r>
          </w:p>
        </w:tc>
        <w:tc>
          <w:tcPr>
            <w:tcW w:w="24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rPr>
              <w:t>Base Salary</w:t>
            </w:r>
          </w:p>
        </w:tc>
        <w:tc>
          <w:tcPr>
            <w:tcW w:w="2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Recognizes individual experience, skills and performance</w:t>
            </w:r>
          </w:p>
        </w:tc>
        <w:tc>
          <w:tcPr>
            <w:tcW w:w="0" w:type="dxa"/>
            <w:vAlign w:val="bottom"/>
          </w:tcPr>
          <w:p>
            <w:pPr>
              <w:spacing w:after="0"/>
              <w:rPr>
                <w:sz w:val="1"/>
                <w:szCs w:val="1"/>
                <w:color w:val="auto"/>
              </w:rPr>
            </w:pPr>
          </w:p>
        </w:tc>
      </w:tr>
      <w:tr>
        <w:trPr>
          <w:trHeight w:val="243"/>
        </w:trPr>
        <w:tc>
          <w:tcPr>
            <w:tcW w:w="1640" w:type="dxa"/>
            <w:vAlign w:val="bottom"/>
            <w:tcBorders>
              <w:left w:val="single" w:sz="8" w:color="1F2A44"/>
            </w:tcBorders>
            <w:shd w:val="clear" w:color="auto" w:fill="1F2A44"/>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Provides value to attract and retain talented executives</w:t>
            </w:r>
          </w:p>
        </w:tc>
        <w:tc>
          <w:tcPr>
            <w:tcW w:w="0" w:type="dxa"/>
            <w:vAlign w:val="bottom"/>
          </w:tcPr>
          <w:p>
            <w:pPr>
              <w:spacing w:after="0"/>
              <w:rPr>
                <w:sz w:val="1"/>
                <w:szCs w:val="1"/>
                <w:color w:val="auto"/>
              </w:rPr>
            </w:pPr>
          </w:p>
        </w:tc>
      </w:tr>
      <w:tr>
        <w:trPr>
          <w:trHeight w:val="115"/>
        </w:trPr>
        <w:tc>
          <w:tcPr>
            <w:tcW w:w="1640" w:type="dxa"/>
            <w:vAlign w:val="bottom"/>
            <w:tcBorders>
              <w:bottom w:val="single" w:sz="8" w:color="1F2A44"/>
            </w:tcBorders>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1F2A44"/>
            </w:tcBorders>
            <w:shd w:val="clear" w:color="auto" w:fill="1F2A44"/>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Incentivizes accomplishment of annual business objectives</w:t>
            </w:r>
          </w:p>
        </w:tc>
        <w:tc>
          <w:tcPr>
            <w:tcW w:w="0" w:type="dxa"/>
            <w:vAlign w:val="bottom"/>
          </w:tcPr>
          <w:p>
            <w:pPr>
              <w:spacing w:after="0"/>
              <w:rPr>
                <w:sz w:val="1"/>
                <w:szCs w:val="1"/>
                <w:color w:val="auto"/>
              </w:rPr>
            </w:pPr>
          </w:p>
        </w:tc>
      </w:tr>
      <w:tr>
        <w:trPr>
          <w:trHeight w:val="256"/>
        </w:trPr>
        <w:tc>
          <w:tcPr>
            <w:tcW w:w="1640" w:type="dxa"/>
            <w:vAlign w:val="bottom"/>
            <w:tcBorders>
              <w:left w:val="single" w:sz="8" w:color="1F2A44"/>
            </w:tcBorders>
            <w:shd w:val="clear" w:color="auto" w:fill="1F2A44"/>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Annual Bonus</w:t>
            </w:r>
          </w:p>
        </w:tc>
        <w:tc>
          <w:tcPr>
            <w:tcW w:w="2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Aligns interests of executives with our shareholders</w:t>
            </w:r>
          </w:p>
        </w:tc>
        <w:tc>
          <w:tcPr>
            <w:tcW w:w="0" w:type="dxa"/>
            <w:vAlign w:val="bottom"/>
          </w:tcPr>
          <w:p>
            <w:pPr>
              <w:spacing w:after="0"/>
              <w:rPr>
                <w:sz w:val="1"/>
                <w:szCs w:val="1"/>
                <w:color w:val="auto"/>
              </w:rPr>
            </w:pPr>
          </w:p>
        </w:tc>
      </w:tr>
      <w:tr>
        <w:trPr>
          <w:trHeight w:val="243"/>
        </w:trPr>
        <w:tc>
          <w:tcPr>
            <w:tcW w:w="1640" w:type="dxa"/>
            <w:vAlign w:val="bottom"/>
            <w:tcBorders>
              <w:left w:val="single" w:sz="8" w:color="1F2A44"/>
              <w:bottom w:val="single" w:sz="8" w:color="1F2A44"/>
            </w:tcBorders>
            <w:shd w:val="clear" w:color="auto" w:fill="1F2A44"/>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Provides value to attract and retain talented executives</w:t>
            </w:r>
          </w:p>
        </w:tc>
        <w:tc>
          <w:tcPr>
            <w:tcW w:w="0" w:type="dxa"/>
            <w:vAlign w:val="bottom"/>
          </w:tcPr>
          <w:p>
            <w:pPr>
              <w:spacing w:after="0"/>
              <w:rPr>
                <w:sz w:val="1"/>
                <w:szCs w:val="1"/>
                <w:color w:val="auto"/>
              </w:rPr>
            </w:pPr>
          </w:p>
        </w:tc>
      </w:tr>
      <w:tr>
        <w:trPr>
          <w:trHeight w:val="115"/>
        </w:trPr>
        <w:tc>
          <w:tcPr>
            <w:tcW w:w="1640" w:type="dxa"/>
            <w:vAlign w:val="bottom"/>
            <w:tcBorders>
              <w:left w:val="single" w:sz="8" w:color="1F2A44"/>
              <w:bottom w:val="single" w:sz="8" w:color="1F2A44"/>
            </w:tcBorders>
            <w:vMerge w:val="restart"/>
            <w:shd w:val="clear" w:color="auto" w:fill="1F2A44"/>
          </w:tcPr>
          <w:p>
            <w:pPr>
              <w:jc w:val="center"/>
              <w:spacing w:after="0"/>
              <w:rPr>
                <w:sz w:val="20"/>
                <w:szCs w:val="20"/>
                <w:color w:val="auto"/>
              </w:rPr>
            </w:pPr>
            <w:r>
              <w:rPr>
                <w:rFonts w:ascii="Arial" w:cs="Arial" w:eastAsia="Arial" w:hAnsi="Arial"/>
                <w:sz w:val="18"/>
                <w:szCs w:val="18"/>
                <w:color w:val="FFFFFF"/>
                <w:w w:val="99"/>
              </w:rPr>
              <w:t>At Risk Pay Tied</w:t>
            </w:r>
          </w:p>
        </w:tc>
        <w:tc>
          <w:tcPr>
            <w:tcW w:w="240" w:type="dxa"/>
            <w:vAlign w:val="bottom"/>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640" w:type="dxa"/>
            <w:vAlign w:val="bottom"/>
            <w:tcBorders>
              <w:left w:val="single" w:sz="8" w:color="1F2A44"/>
            </w:tcBorders>
            <w:vMerge w:val="continue"/>
            <w:shd w:val="clear" w:color="auto" w:fill="1F2A44"/>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38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Incentivizes  accomplishment  of  long-term  business  objectives  critical  to</w:t>
            </w:r>
          </w:p>
        </w:tc>
        <w:tc>
          <w:tcPr>
            <w:tcW w:w="0" w:type="dxa"/>
            <w:vAlign w:val="bottom"/>
          </w:tcPr>
          <w:p>
            <w:pPr>
              <w:spacing w:after="0"/>
              <w:rPr>
                <w:sz w:val="1"/>
                <w:szCs w:val="1"/>
                <w:color w:val="auto"/>
              </w:rPr>
            </w:pPr>
          </w:p>
        </w:tc>
      </w:tr>
      <w:tr>
        <w:trPr>
          <w:trHeight w:val="68"/>
        </w:trPr>
        <w:tc>
          <w:tcPr>
            <w:tcW w:w="1640" w:type="dxa"/>
            <w:vAlign w:val="bottom"/>
            <w:tcBorders>
              <w:left w:val="single" w:sz="8" w:color="1F2A44"/>
            </w:tcBorders>
            <w:vMerge w:val="restart"/>
            <w:shd w:val="clear" w:color="auto" w:fill="1F2A44"/>
          </w:tcPr>
          <w:p>
            <w:pPr>
              <w:jc w:val="center"/>
              <w:spacing w:after="0"/>
              <w:rPr>
                <w:sz w:val="20"/>
                <w:szCs w:val="20"/>
                <w:color w:val="auto"/>
              </w:rPr>
            </w:pPr>
            <w:r>
              <w:rPr>
                <w:rFonts w:ascii="Arial" w:cs="Arial" w:eastAsia="Arial" w:hAnsi="Arial"/>
                <w:sz w:val="18"/>
                <w:szCs w:val="18"/>
                <w:color w:val="FFFFFF"/>
                <w:w w:val="99"/>
              </w:rPr>
              <w:t>to Performance</w:t>
            </w:r>
          </w:p>
        </w:tc>
        <w:tc>
          <w:tcPr>
            <w:tcW w:w="24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1F2A44"/>
            </w:tcBorders>
            <w:vMerge w:val="continue"/>
            <w:shd w:val="clear" w:color="auto" w:fill="1F2A44"/>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delivering shareholder value</w:t>
            </w:r>
          </w:p>
        </w:tc>
        <w:tc>
          <w:tcPr>
            <w:tcW w:w="0" w:type="dxa"/>
            <w:vAlign w:val="bottom"/>
          </w:tcPr>
          <w:p>
            <w:pPr>
              <w:spacing w:after="0"/>
              <w:rPr>
                <w:sz w:val="1"/>
                <w:szCs w:val="1"/>
                <w:color w:val="auto"/>
              </w:rPr>
            </w:pPr>
          </w:p>
        </w:tc>
      </w:tr>
      <w:tr>
        <w:trPr>
          <w:trHeight w:val="68"/>
        </w:trPr>
        <w:tc>
          <w:tcPr>
            <w:tcW w:w="1640" w:type="dxa"/>
            <w:vAlign w:val="bottom"/>
            <w:tcBorders>
              <w:left w:val="single" w:sz="8" w:color="1F2A44"/>
            </w:tcBorders>
            <w:shd w:val="clear" w:color="auto" w:fill="1F2A44"/>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6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1F2A44"/>
            </w:tcBorders>
            <w:shd w:val="clear" w:color="auto" w:fill="1F2A44"/>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Long-Term Equity Incentive</w:t>
            </w:r>
          </w:p>
        </w:tc>
        <w:tc>
          <w:tcPr>
            <w:tcW w:w="2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Aligns interests of executives with our shareholders</w:t>
            </w:r>
          </w:p>
        </w:tc>
        <w:tc>
          <w:tcPr>
            <w:tcW w:w="0" w:type="dxa"/>
            <w:vAlign w:val="bottom"/>
          </w:tcPr>
          <w:p>
            <w:pPr>
              <w:spacing w:after="0"/>
              <w:rPr>
                <w:sz w:val="1"/>
                <w:szCs w:val="1"/>
                <w:color w:val="auto"/>
              </w:rPr>
            </w:pPr>
          </w:p>
        </w:tc>
      </w:tr>
      <w:tr>
        <w:trPr>
          <w:trHeight w:val="257"/>
        </w:trPr>
        <w:tc>
          <w:tcPr>
            <w:tcW w:w="1640" w:type="dxa"/>
            <w:vAlign w:val="bottom"/>
            <w:tcBorders>
              <w:left w:val="single" w:sz="8" w:color="1F2A44"/>
            </w:tcBorders>
            <w:shd w:val="clear" w:color="auto" w:fill="1F2A44"/>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Promotes executives’ ownership in the company</w:t>
            </w:r>
          </w:p>
        </w:tc>
        <w:tc>
          <w:tcPr>
            <w:tcW w:w="0" w:type="dxa"/>
            <w:vAlign w:val="bottom"/>
          </w:tcPr>
          <w:p>
            <w:pPr>
              <w:spacing w:after="0"/>
              <w:rPr>
                <w:sz w:val="1"/>
                <w:szCs w:val="1"/>
                <w:color w:val="auto"/>
              </w:rPr>
            </w:pPr>
          </w:p>
        </w:tc>
      </w:tr>
      <w:tr>
        <w:trPr>
          <w:trHeight w:val="243"/>
        </w:trPr>
        <w:tc>
          <w:tcPr>
            <w:tcW w:w="1640" w:type="dxa"/>
            <w:vAlign w:val="bottom"/>
            <w:tcBorders>
              <w:left w:val="single" w:sz="8" w:color="1F2A44"/>
            </w:tcBorders>
            <w:shd w:val="clear" w:color="auto" w:fill="1F2A44"/>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Provides value to attract and retain talented executives</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We also provide various health and welfare related benefits to our NEOs that are generally the same as provided to all of our employees. These benefits are competitive with those offered by companies that we compete with for talent and provide another tool that allows us to attract and retain talented executives.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Compensation</w:t>
      </w:r>
    </w:p>
    <w:p>
      <w:pPr>
        <w:spacing w:after="0" w:line="207"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Annual compensation for our NEOs is paid in both cash and restricted stock with a significant portion at risk and contingent on achieving either annual or longer term performance goals. The total potential compensation for our named executive officers is established based on the scope of his/her individual responsibilities and contributions to our performance taking into account competitive market compensation paid for similar positions. Our Compensation Committee determines appropriate levels of total compensation for our NEOs by applying their individual understanding, experiences and judgments in the national marketplace of senior level real estate positions and related industry pay in both public and private companies that may compete for our executives while also considering the relative importance of various positions at the Trust given our business plan and organization compared with the business plans of our major competitors. The Compensation Committee also consults compensation surveys prepared for NAREIT (“NAREIT Surveys”) to confirm its assessment of appropriate market compensation for our NEOs, reviewing the information reported for each position by the 126 real estate investment trusts (“REITs”) that participated in the latest survey as well as by the approximately 28 retail focused REITs that participated in that survey. An individual compensation package is then created for each NEO using a combination of base salary, annual cash bonus and long-term equity incentives to provide the appropriate level of potential total annual compensation and the right balance of fixed versus at-risk compensation. For our CEO, approximately 87% of his total compensation earned for 2017 was at-risk and earned based on the level of attainment of our performance goals. Approximately 69% of the total compensation earned for 2017 by our NEOs other than the CEO was at risk.</w:t>
      </w:r>
    </w:p>
    <w:p>
      <w:pPr>
        <w:spacing w:after="0" w:line="207" w:lineRule="exact"/>
        <w:rPr>
          <w:sz w:val="20"/>
          <w:szCs w:val="20"/>
          <w:color w:val="auto"/>
        </w:rPr>
      </w:pPr>
    </w:p>
    <w:p>
      <w:pPr>
        <w:ind w:left="1780"/>
        <w:spacing w:after="0"/>
        <w:tabs>
          <w:tab w:leader="none" w:pos="7100" w:val="left"/>
        </w:tabs>
        <w:rPr>
          <w:sz w:val="20"/>
          <w:szCs w:val="20"/>
          <w:color w:val="auto"/>
        </w:rPr>
      </w:pPr>
      <w:r>
        <w:rPr>
          <w:rFonts w:ascii="Arial" w:cs="Arial" w:eastAsia="Arial" w:hAnsi="Arial"/>
          <w:sz w:val="18"/>
          <w:szCs w:val="18"/>
          <w:b w:val="1"/>
          <w:bCs w:val="1"/>
          <w:color w:val="auto"/>
        </w:rPr>
        <w:t>2017 CEO Compensation Mix</w:t>
      </w:r>
      <w:r>
        <w:rPr>
          <w:sz w:val="20"/>
          <w:szCs w:val="20"/>
          <w:color w:val="auto"/>
        </w:rPr>
        <w:tab/>
      </w:r>
      <w:r>
        <w:rPr>
          <w:rFonts w:ascii="Arial" w:cs="Arial" w:eastAsia="Arial" w:hAnsi="Arial"/>
          <w:sz w:val="17"/>
          <w:szCs w:val="17"/>
          <w:b w:val="1"/>
          <w:bCs w:val="1"/>
          <w:color w:val="auto"/>
        </w:rPr>
        <w:t>2017 Other NEO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149225</wp:posOffset>
            </wp:positionV>
            <wp:extent cx="1715135" cy="17151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5135" cy="171513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149225</wp:posOffset>
            </wp:positionV>
            <wp:extent cx="1672590" cy="1715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725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Fixed Compensation – Base Salary</w:t>
      </w:r>
    </w:p>
    <w:p>
      <w:pPr>
        <w:spacing w:after="0" w:line="19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Base salary is the only fixed component of the compensation paid to our NEOs. Because base salaries are just one component of total pay, we do not target base salaries to any specific level but do confirm that the base salaries for our NEOs are within market parameters using the NAREIT Survey and market knowledge. All base salary decisions for our NEOs are made at the first Compensation Committee meeting of the year and take effect on January 1 of that year. In 2017, neither Mr. Wood nor Ms. Becker received an increase in base salary. Mr. Guglielmone’s base salary was increased in January 2017 in accordance with the compensation package approved by the Compensation Committee when Mr. Guglielmone was hired in August 2016.</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 Risk Compensation</w:t>
      </w:r>
    </w:p>
    <w:p>
      <w:pPr>
        <w:spacing w:after="0" w:line="207"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A significant portion of the compensation of our NEOs is provided under our Annual Bonus Plan and Long-Term Incentive Award Plan both of which are at risk forms of compensation where the amount ultimately earned and paid is dependent on whether the company achieves short-term and longer-term performance objectives set by the Compensation Committee. The performance metrics and target pay for each of these plans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700659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6590" cy="205740"/>
                    </a:xfrm>
                    <a:prstGeom prst="rect">
                      <a:avLst/>
                    </a:prstGeom>
                    <a:noFill/>
                  </pic:spPr>
                </pic:pic>
              </a:graphicData>
            </a:graphic>
          </wp:anchor>
        </w:drawing>
      </w:r>
    </w:p>
    <w:p>
      <w:pPr>
        <w:spacing w:after="0" w:line="241" w:lineRule="exact"/>
        <w:rPr>
          <w:sz w:val="20"/>
          <w:szCs w:val="20"/>
          <w:color w:val="auto"/>
        </w:rPr>
      </w:pPr>
    </w:p>
    <w:p>
      <w:pPr>
        <w:ind w:left="360"/>
        <w:spacing w:after="0"/>
        <w:tabs>
          <w:tab w:leader="none" w:pos="3320" w:val="left"/>
          <w:tab w:leader="none" w:pos="8120" w:val="left"/>
        </w:tabs>
        <w:rPr>
          <w:sz w:val="20"/>
          <w:szCs w:val="20"/>
          <w:color w:val="auto"/>
        </w:rPr>
      </w:pPr>
      <w:r>
        <w:rPr>
          <w:rFonts w:ascii="Arial" w:cs="Arial" w:eastAsia="Arial" w:hAnsi="Arial"/>
          <w:sz w:val="18"/>
          <w:szCs w:val="18"/>
          <w:b w:val="1"/>
          <w:bCs w:val="1"/>
          <w:color w:val="1F2A44"/>
        </w:rPr>
        <w:t>Incentive Pay Element</w:t>
      </w:r>
      <w:r>
        <w:rPr>
          <w:sz w:val="20"/>
          <w:szCs w:val="20"/>
          <w:color w:val="auto"/>
        </w:rPr>
        <w:tab/>
      </w:r>
      <w:r>
        <w:rPr>
          <w:rFonts w:ascii="Arial" w:cs="Arial" w:eastAsia="Arial" w:hAnsi="Arial"/>
          <w:sz w:val="18"/>
          <w:szCs w:val="18"/>
          <w:b w:val="1"/>
          <w:bCs w:val="1"/>
          <w:color w:val="1F2A44"/>
        </w:rPr>
        <w:t>Performance Metric</w:t>
      </w:r>
      <w:r>
        <w:rPr>
          <w:sz w:val="20"/>
          <w:szCs w:val="20"/>
          <w:color w:val="auto"/>
        </w:rPr>
        <w:tab/>
      </w:r>
      <w:r>
        <w:rPr>
          <w:rFonts w:ascii="Arial" w:cs="Arial" w:eastAsia="Arial" w:hAnsi="Arial"/>
          <w:sz w:val="17"/>
          <w:szCs w:val="17"/>
          <w:b w:val="1"/>
          <w:bCs w:val="1"/>
          <w:color w:val="1F2A44"/>
        </w:rPr>
        <w:t>Achievement Hurdles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183515</wp:posOffset>
            </wp:positionV>
            <wp:extent cx="7006590" cy="403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6590" cy="4032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Annual Bonus</w:t>
      </w:r>
    </w:p>
    <w:p>
      <w:pPr>
        <w:ind w:left="360"/>
        <w:spacing w:after="0"/>
        <w:rPr>
          <w:sz w:val="20"/>
          <w:szCs w:val="20"/>
          <w:color w:val="auto"/>
        </w:rPr>
      </w:pPr>
      <w:r>
        <w:rPr>
          <w:rFonts w:ascii="Arial" w:cs="Arial" w:eastAsia="Arial" w:hAnsi="Arial"/>
          <w:sz w:val="18"/>
          <w:szCs w:val="18"/>
          <w:color w:val="FFFFFF"/>
        </w:rPr>
        <w:t>(annual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203835</wp:posOffset>
            </wp:positionV>
            <wp:extent cx="1775460" cy="1466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7546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line="275" w:lineRule="auto"/>
        <w:rPr>
          <w:sz w:val="20"/>
          <w:szCs w:val="20"/>
          <w:color w:val="auto"/>
        </w:rPr>
      </w:pPr>
      <w:r>
        <w:rPr>
          <w:rFonts w:ascii="Arial" w:cs="Arial" w:eastAsia="Arial" w:hAnsi="Arial"/>
          <w:sz w:val="17"/>
          <w:szCs w:val="17"/>
          <w:color w:val="FFFFFF"/>
        </w:rPr>
        <w:t>Long-Term Incentive Plan (long-term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Bonus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263525</wp:posOffset>
            </wp:positionV>
            <wp:extent cx="2881630" cy="403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1630" cy="4032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040"/>
        <w:spacing w:after="0" w:line="275" w:lineRule="auto"/>
        <w:rPr>
          <w:sz w:val="20"/>
          <w:szCs w:val="20"/>
          <w:color w:val="auto"/>
        </w:rPr>
      </w:pPr>
      <w:r>
        <w:rPr>
          <w:rFonts w:ascii="Arial" w:cs="Arial" w:eastAsia="Arial" w:hAnsi="Arial"/>
          <w:sz w:val="17"/>
          <w:szCs w:val="17"/>
          <w:color w:val="auto"/>
        </w:rPr>
        <w:t>3 Year TSR Relative to BBRESHOP (accounts for 50% of the total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179070</wp:posOffset>
            </wp:positionV>
            <wp:extent cx="2881630" cy="403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81630" cy="40322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3 Year Absolute TSR (annualized)</w:t>
      </w:r>
    </w:p>
    <w:p>
      <w:pPr>
        <w:spacing w:after="0"/>
        <w:rPr>
          <w:sz w:val="20"/>
          <w:szCs w:val="20"/>
          <w:color w:val="auto"/>
        </w:rPr>
      </w:pPr>
      <w:r>
        <w:rPr>
          <w:rFonts w:ascii="Arial" w:cs="Arial" w:eastAsia="Arial" w:hAnsi="Arial"/>
          <w:sz w:val="17"/>
          <w:szCs w:val="17"/>
          <w:color w:val="auto"/>
        </w:rPr>
        <w:t>(accounts for 25% of the total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210820</wp:posOffset>
            </wp:positionV>
            <wp:extent cx="2881630" cy="403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81630" cy="40322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1040"/>
        <w:spacing w:after="0" w:line="275" w:lineRule="auto"/>
        <w:rPr>
          <w:sz w:val="20"/>
          <w:szCs w:val="20"/>
          <w:color w:val="auto"/>
        </w:rPr>
      </w:pPr>
      <w:r>
        <w:rPr>
          <w:rFonts w:ascii="Arial" w:cs="Arial" w:eastAsia="Arial" w:hAnsi="Arial"/>
          <w:sz w:val="17"/>
          <w:szCs w:val="17"/>
          <w:color w:val="auto"/>
        </w:rPr>
        <w:t>3 Year Return on Invested Capital (accounts for 25% of the total award)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18"/>
          <w:szCs w:val="18"/>
          <w:color w:val="auto"/>
        </w:rPr>
        <w:t>75% Payout:</w:t>
      </w:r>
      <w:r>
        <w:rPr>
          <w:sz w:val="20"/>
          <w:szCs w:val="20"/>
          <w:color w:val="auto"/>
        </w:rPr>
        <w:tab/>
      </w:r>
      <w:r>
        <w:rPr>
          <w:rFonts w:ascii="Arial" w:cs="Arial" w:eastAsia="Arial" w:hAnsi="Arial"/>
          <w:sz w:val="17"/>
          <w:szCs w:val="17"/>
          <w:color w:val="auto"/>
        </w:rPr>
        <w:t>$5.82 FFO/share</w:t>
      </w:r>
    </w:p>
    <w:p>
      <w:pPr>
        <w:ind w:left="100"/>
        <w:spacing w:after="0" w:line="234" w:lineRule="auto"/>
        <w:rPr>
          <w:sz w:val="20"/>
          <w:szCs w:val="20"/>
          <w:color w:val="auto"/>
        </w:rPr>
      </w:pPr>
      <w:r>
        <w:rPr>
          <w:rFonts w:ascii="Arial" w:cs="Arial" w:eastAsia="Arial" w:hAnsi="Arial"/>
          <w:sz w:val="18"/>
          <w:szCs w:val="18"/>
          <w:color w:val="auto"/>
        </w:rPr>
        <w:t>100% Payout: $5.88 FFO/share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125% Payout: $5.95 FFO/share</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Threshold:</w:t>
            </w:r>
          </w:p>
        </w:tc>
        <w:tc>
          <w:tcPr>
            <w:tcW w:w="20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40th Percentile</w:t>
            </w:r>
          </w:p>
        </w:tc>
      </w:tr>
      <w:tr>
        <w:trPr>
          <w:trHeight w:val="203"/>
        </w:trPr>
        <w:tc>
          <w:tcPr>
            <w:tcW w:w="114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Target:</w:t>
            </w:r>
          </w:p>
        </w:tc>
        <w:tc>
          <w:tcPr>
            <w:tcW w:w="20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60th Percentile</w:t>
            </w:r>
          </w:p>
        </w:tc>
      </w:tr>
      <w:tr>
        <w:trPr>
          <w:trHeight w:val="203"/>
        </w:trPr>
        <w:tc>
          <w:tcPr>
            <w:tcW w:w="1140" w:type="dxa"/>
            <w:vAlign w:val="bottom"/>
            <w:tcBorders>
              <w:left w:val="single" w:sz="8" w:color="auto"/>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Stretch:</w:t>
            </w:r>
          </w:p>
        </w:tc>
        <w:tc>
          <w:tcPr>
            <w:tcW w:w="20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80th Percentile</w:t>
            </w:r>
          </w:p>
        </w:tc>
      </w:tr>
      <w:tr>
        <w:trPr>
          <w:trHeight w:val="196"/>
        </w:trPr>
        <w:tc>
          <w:tcPr>
            <w:tcW w:w="1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r>
      <w:tr>
        <w:trPr>
          <w:trHeight w:val="195"/>
        </w:trPr>
        <w:tc>
          <w:tcPr>
            <w:tcW w:w="1140" w:type="dxa"/>
            <w:vAlign w:val="bottom"/>
            <w:tcBorders>
              <w:left w:val="single" w:sz="8" w:color="auto"/>
            </w:tcBorders>
          </w:tcPr>
          <w:p>
            <w:pPr>
              <w:ind w:left="100"/>
              <w:spacing w:after="0" w:line="195" w:lineRule="exact"/>
              <w:rPr>
                <w:sz w:val="20"/>
                <w:szCs w:val="20"/>
                <w:color w:val="auto"/>
              </w:rPr>
            </w:pPr>
            <w:r>
              <w:rPr>
                <w:rFonts w:ascii="Arial" w:cs="Arial" w:eastAsia="Arial" w:hAnsi="Arial"/>
                <w:sz w:val="18"/>
                <w:szCs w:val="18"/>
                <w:color w:val="auto"/>
              </w:rPr>
              <w:t>Threshold:</w:t>
            </w:r>
          </w:p>
        </w:tc>
        <w:tc>
          <w:tcPr>
            <w:tcW w:w="20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8% annualized return</w:t>
            </w:r>
          </w:p>
        </w:tc>
      </w:tr>
      <w:tr>
        <w:trPr>
          <w:trHeight w:val="203"/>
        </w:trPr>
        <w:tc>
          <w:tcPr>
            <w:tcW w:w="114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Target:</w:t>
            </w:r>
          </w:p>
        </w:tc>
        <w:tc>
          <w:tcPr>
            <w:tcW w:w="20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10% annualized return</w:t>
            </w:r>
          </w:p>
        </w:tc>
      </w:tr>
      <w:tr>
        <w:trPr>
          <w:trHeight w:val="203"/>
        </w:trPr>
        <w:tc>
          <w:tcPr>
            <w:tcW w:w="1140" w:type="dxa"/>
            <w:vAlign w:val="bottom"/>
            <w:tcBorders>
              <w:left w:val="single" w:sz="8" w:color="auto"/>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Stretch:</w:t>
            </w:r>
          </w:p>
        </w:tc>
        <w:tc>
          <w:tcPr>
            <w:tcW w:w="20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12% annualized return</w:t>
            </w:r>
          </w:p>
        </w:tc>
      </w:tr>
      <w:tr>
        <w:trPr>
          <w:trHeight w:val="196"/>
        </w:trPr>
        <w:tc>
          <w:tcPr>
            <w:tcW w:w="1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r>
      <w:tr>
        <w:trPr>
          <w:trHeight w:val="195"/>
        </w:trPr>
        <w:tc>
          <w:tcPr>
            <w:tcW w:w="1140" w:type="dxa"/>
            <w:vAlign w:val="bottom"/>
            <w:tcBorders>
              <w:left w:val="single" w:sz="8" w:color="auto"/>
            </w:tcBorders>
          </w:tcPr>
          <w:p>
            <w:pPr>
              <w:ind w:left="100"/>
              <w:spacing w:after="0" w:line="195" w:lineRule="exact"/>
              <w:rPr>
                <w:sz w:val="20"/>
                <w:szCs w:val="20"/>
                <w:color w:val="auto"/>
              </w:rPr>
            </w:pPr>
            <w:r>
              <w:rPr>
                <w:rFonts w:ascii="Arial" w:cs="Arial" w:eastAsia="Arial" w:hAnsi="Arial"/>
                <w:sz w:val="18"/>
                <w:szCs w:val="18"/>
                <w:color w:val="auto"/>
              </w:rPr>
              <w:t>Threshold:</w:t>
            </w:r>
          </w:p>
        </w:tc>
        <w:tc>
          <w:tcPr>
            <w:tcW w:w="20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7.50% return</w:t>
            </w:r>
          </w:p>
        </w:tc>
      </w:tr>
      <w:tr>
        <w:trPr>
          <w:trHeight w:val="203"/>
        </w:trPr>
        <w:tc>
          <w:tcPr>
            <w:tcW w:w="114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Target:</w:t>
            </w:r>
          </w:p>
        </w:tc>
        <w:tc>
          <w:tcPr>
            <w:tcW w:w="20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7.75% return</w:t>
            </w:r>
          </w:p>
        </w:tc>
      </w:tr>
      <w:tr>
        <w:trPr>
          <w:trHeight w:val="203"/>
        </w:trPr>
        <w:tc>
          <w:tcPr>
            <w:tcW w:w="1140" w:type="dxa"/>
            <w:vAlign w:val="bottom"/>
            <w:tcBorders>
              <w:left w:val="single" w:sz="8" w:color="auto"/>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Stretch:</w:t>
            </w:r>
          </w:p>
        </w:tc>
        <w:tc>
          <w:tcPr>
            <w:tcW w:w="20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8.00% return</w:t>
            </w:r>
          </w:p>
        </w:tc>
      </w:tr>
    </w:tbl>
    <w:p>
      <w:pPr>
        <w:spacing w:after="0" w:line="593" w:lineRule="exact"/>
        <w:rPr>
          <w:sz w:val="20"/>
          <w:szCs w:val="20"/>
          <w:color w:val="auto"/>
        </w:rPr>
      </w:pPr>
    </w:p>
    <w:p>
      <w:pPr>
        <w:sectPr>
          <w:pgSz w:w="11900" w:h="16838" w:orient="portrait"/>
          <w:cols w:equalWidth="0" w:num="3">
            <w:col w:w="2620" w:space="720"/>
            <w:col w:w="3980" w:space="720"/>
            <w:col w:w="3200"/>
          </w:cols>
          <w:pgMar w:left="240" w:top="459" w:right="419" w:bottom="1440" w:gutter="0" w:footer="0" w:header="0"/>
          <w:type w:val="continuous"/>
        </w:sectPr>
      </w:pPr>
    </w:p>
    <w:p>
      <w:pPr>
        <w:jc w:val="both"/>
        <w:ind w:left="200" w:right="20"/>
        <w:spacing w:after="0" w:line="237" w:lineRule="auto"/>
        <w:rPr>
          <w:sz w:val="20"/>
          <w:szCs w:val="20"/>
          <w:color w:val="auto"/>
        </w:rPr>
      </w:pPr>
      <w:r>
        <w:rPr>
          <w:rFonts w:ascii="Arial" w:cs="Arial" w:eastAsia="Arial" w:hAnsi="Arial"/>
          <w:sz w:val="18"/>
          <w:szCs w:val="18"/>
          <w:color w:val="auto"/>
        </w:rPr>
        <w:t>The Annual Bonus Plan is an annual cash incentive program with payment under the plan contingent on the Trust’s achieving FFO per share within a range set by the Compensation Committee for that year. The Compensation Committee sets that range to reflect acceptable to exceptional levels of performance in light of our business objectives for the year after a thorough review and discussion of our budget and investor expectations for the year. The Compensation Committee believes that FFO per share is the appropriate measure to use for an annual program because it reflects the impacts of operational decisions, capital allocation decisions and balance sheet management for that year.</w:t>
      </w:r>
    </w:p>
    <w:p>
      <w:pPr>
        <w:spacing w:after="0" w:line="165"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Target bonus payouts for our NEOs are set as a percentage of the NEO’s base salary with the target at 150% of base salary for our CEO and at 75% of base salary for our other NEOs. Our NEOs can earn between 75% to 125% of their annual bonus target depending on where actual FFO per share for the year falls within the range set by the Compensation Committee. The bonus targets for our NEOs as a percentage of base salary were not changed in 2017. The Compensation Committee then determines the final payout to each NEO after evaluating his/her individual performance. The 2017 Annual Bonus calculation for each of our NEOs is set forth below.</w:t>
      </w:r>
    </w:p>
    <w:p>
      <w:pPr>
        <w:spacing w:after="0" w:line="184"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1460" w:type="dxa"/>
            <w:vAlign w:val="bottom"/>
            <w:tcBorders>
              <w:top w:val="single" w:sz="8" w:color="1F2A44"/>
              <w:left w:val="single" w:sz="8" w:color="1F2A44"/>
            </w:tcBorders>
            <w:shd w:val="clear" w:color="auto" w:fill="FEC221"/>
          </w:tcPr>
          <w:p>
            <w:pPr>
              <w:jc w:val="center"/>
              <w:ind w:left="68"/>
              <w:spacing w:after="0"/>
              <w:rPr>
                <w:sz w:val="20"/>
                <w:szCs w:val="20"/>
                <w:color w:val="auto"/>
              </w:rPr>
            </w:pPr>
            <w:r>
              <w:rPr>
                <w:rFonts w:ascii="Arial" w:cs="Arial" w:eastAsia="Arial" w:hAnsi="Arial"/>
                <w:sz w:val="14"/>
                <w:szCs w:val="14"/>
                <w:b w:val="1"/>
                <w:bCs w:val="1"/>
                <w:color w:val="1F2A44"/>
              </w:rPr>
              <w:t>Annual Bonus</w:t>
            </w:r>
          </w:p>
        </w:tc>
        <w:tc>
          <w:tcPr>
            <w:tcW w:w="800" w:type="dxa"/>
            <w:vAlign w:val="bottom"/>
            <w:tcBorders>
              <w:left w:val="single" w:sz="8" w:color="1F2A44"/>
              <w:right w:val="single" w:sz="8" w:color="1F2A44"/>
            </w:tcBorders>
          </w:tcPr>
          <w:p>
            <w:pPr>
              <w:spacing w:after="0"/>
              <w:rPr>
                <w:sz w:val="17"/>
                <w:szCs w:val="17"/>
                <w:color w:val="auto"/>
              </w:rPr>
            </w:pPr>
          </w:p>
        </w:tc>
        <w:tc>
          <w:tcPr>
            <w:tcW w:w="2240" w:type="dxa"/>
            <w:vAlign w:val="bottom"/>
            <w:tcBorders>
              <w:top w:val="single" w:sz="8" w:color="1F2A44"/>
              <w:right w:val="single" w:sz="8" w:color="1F2A44"/>
            </w:tcBorders>
            <w:shd w:val="clear" w:color="auto" w:fill="FEC221"/>
          </w:tcPr>
          <w:p>
            <w:pPr>
              <w:ind w:left="480"/>
              <w:spacing w:after="0"/>
              <w:rPr>
                <w:sz w:val="20"/>
                <w:szCs w:val="20"/>
                <w:color w:val="auto"/>
              </w:rPr>
            </w:pPr>
            <w:r>
              <w:rPr>
                <w:rFonts w:ascii="Arial" w:cs="Arial" w:eastAsia="Arial" w:hAnsi="Arial"/>
                <w:sz w:val="14"/>
                <w:szCs w:val="14"/>
                <w:b w:val="1"/>
                <w:bCs w:val="1"/>
                <w:color w:val="1F2A44"/>
              </w:rPr>
              <w:t>NEO Bonus targets</w:t>
            </w:r>
          </w:p>
        </w:tc>
        <w:tc>
          <w:tcPr>
            <w:tcW w:w="620" w:type="dxa"/>
            <w:vAlign w:val="bottom"/>
            <w:tcBorders>
              <w:right w:val="single" w:sz="8" w:color="1F2A44"/>
            </w:tcBorders>
          </w:tcPr>
          <w:p>
            <w:pPr>
              <w:spacing w:after="0"/>
              <w:rPr>
                <w:sz w:val="17"/>
                <w:szCs w:val="17"/>
                <w:color w:val="auto"/>
              </w:rPr>
            </w:pPr>
          </w:p>
        </w:tc>
        <w:tc>
          <w:tcPr>
            <w:tcW w:w="2580" w:type="dxa"/>
            <w:vAlign w:val="bottom"/>
            <w:tcBorders>
              <w:top w:val="single" w:sz="8" w:color="1F2A44"/>
              <w:right w:val="single" w:sz="8" w:color="1F2A44"/>
            </w:tcBorders>
            <w:shd w:val="clear" w:color="auto" w:fill="FEC221"/>
          </w:tcPr>
          <w:p>
            <w:pPr>
              <w:ind w:left="720"/>
              <w:spacing w:after="0"/>
              <w:rPr>
                <w:sz w:val="20"/>
                <w:szCs w:val="20"/>
                <w:color w:val="auto"/>
              </w:rPr>
            </w:pPr>
            <w:r>
              <w:rPr>
                <w:rFonts w:ascii="Arial" w:cs="Arial" w:eastAsia="Arial" w:hAnsi="Arial"/>
                <w:sz w:val="14"/>
                <w:szCs w:val="14"/>
                <w:b w:val="1"/>
                <w:bCs w:val="1"/>
                <w:color w:val="1F2A44"/>
              </w:rPr>
              <w:t>FFO/share Range</w:t>
            </w:r>
          </w:p>
        </w:tc>
        <w:tc>
          <w:tcPr>
            <w:tcW w:w="680" w:type="dxa"/>
            <w:vAlign w:val="bottom"/>
            <w:tcBorders>
              <w:right w:val="single" w:sz="8" w:color="1F2A44"/>
            </w:tcBorders>
          </w:tcPr>
          <w:p>
            <w:pPr>
              <w:spacing w:after="0"/>
              <w:rPr>
                <w:sz w:val="17"/>
                <w:szCs w:val="17"/>
                <w:color w:val="auto"/>
              </w:rPr>
            </w:pPr>
          </w:p>
        </w:tc>
        <w:tc>
          <w:tcPr>
            <w:tcW w:w="2660" w:type="dxa"/>
            <w:vAlign w:val="bottom"/>
            <w:tcBorders>
              <w:top w:val="single" w:sz="8" w:color="1F2A44"/>
              <w:right w:val="single" w:sz="8" w:color="1F2A44"/>
            </w:tcBorders>
            <w:shd w:val="clear" w:color="auto" w:fill="FEC221"/>
          </w:tcPr>
          <w:p>
            <w:pPr>
              <w:ind w:left="880"/>
              <w:spacing w:after="0"/>
              <w:rPr>
                <w:sz w:val="20"/>
                <w:szCs w:val="20"/>
                <w:color w:val="auto"/>
              </w:rPr>
            </w:pPr>
            <w:r>
              <w:rPr>
                <w:rFonts w:ascii="Arial" w:cs="Arial" w:eastAsia="Arial" w:hAnsi="Arial"/>
                <w:sz w:val="14"/>
                <w:szCs w:val="14"/>
                <w:b w:val="1"/>
                <w:bCs w:val="1"/>
                <w:color w:val="1F2A44"/>
              </w:rPr>
              <w:t>Final Payout</w:t>
            </w:r>
          </w:p>
        </w:tc>
        <w:tc>
          <w:tcPr>
            <w:tcW w:w="0" w:type="dxa"/>
            <w:vAlign w:val="bottom"/>
          </w:tcPr>
          <w:p>
            <w:pPr>
              <w:spacing w:after="0"/>
              <w:rPr>
                <w:sz w:val="1"/>
                <w:szCs w:val="1"/>
                <w:color w:val="auto"/>
              </w:rPr>
            </w:pPr>
          </w:p>
        </w:tc>
      </w:tr>
      <w:tr>
        <w:trPr>
          <w:trHeight w:val="234"/>
        </w:trPr>
        <w:tc>
          <w:tcPr>
            <w:tcW w:w="1460" w:type="dxa"/>
            <w:vAlign w:val="bottom"/>
            <w:tcBorders>
              <w:left w:val="single" w:sz="8" w:color="1F2A44"/>
              <w:bottom w:val="single" w:sz="8" w:color="FEC221"/>
            </w:tcBorders>
            <w:shd w:val="clear" w:color="auto" w:fill="FEC221"/>
          </w:tcPr>
          <w:p>
            <w:pPr>
              <w:jc w:val="center"/>
              <w:ind w:left="68"/>
              <w:spacing w:after="0"/>
              <w:rPr>
                <w:sz w:val="20"/>
                <w:szCs w:val="20"/>
                <w:color w:val="auto"/>
              </w:rPr>
            </w:pPr>
            <w:r>
              <w:rPr>
                <w:rFonts w:ascii="Arial" w:cs="Arial" w:eastAsia="Arial" w:hAnsi="Arial"/>
                <w:sz w:val="14"/>
                <w:szCs w:val="14"/>
                <w:b w:val="1"/>
                <w:bCs w:val="1"/>
                <w:color w:val="1F2A44"/>
              </w:rPr>
              <w:t>Plan</w:t>
            </w:r>
          </w:p>
        </w:tc>
        <w:tc>
          <w:tcPr>
            <w:tcW w:w="800" w:type="dxa"/>
            <w:vAlign w:val="bottom"/>
            <w:tcBorders>
              <w:left w:val="single" w:sz="8" w:color="1F2A44"/>
              <w:right w:val="single" w:sz="8" w:color="1F2A44"/>
            </w:tcBorders>
          </w:tcPr>
          <w:p>
            <w:pPr>
              <w:spacing w:after="0"/>
              <w:rPr>
                <w:sz w:val="19"/>
                <w:szCs w:val="19"/>
                <w:color w:val="auto"/>
              </w:rPr>
            </w:pPr>
          </w:p>
        </w:tc>
        <w:tc>
          <w:tcPr>
            <w:tcW w:w="2240" w:type="dxa"/>
            <w:vAlign w:val="bottom"/>
            <w:tcBorders>
              <w:bottom w:val="single" w:sz="8" w:color="FEC221"/>
              <w:right w:val="single" w:sz="8" w:color="1F2A44"/>
            </w:tcBorders>
            <w:shd w:val="clear" w:color="auto" w:fill="FEC221"/>
          </w:tcPr>
          <w:p>
            <w:pPr>
              <w:ind w:left="740"/>
              <w:spacing w:after="0"/>
              <w:rPr>
                <w:sz w:val="20"/>
                <w:szCs w:val="20"/>
                <w:color w:val="auto"/>
              </w:rPr>
            </w:pPr>
            <w:r>
              <w:rPr>
                <w:rFonts w:ascii="Arial" w:cs="Arial" w:eastAsia="Arial" w:hAnsi="Arial"/>
                <w:sz w:val="14"/>
                <w:szCs w:val="14"/>
                <w:b w:val="1"/>
                <w:bCs w:val="1"/>
                <w:color w:val="1F2A44"/>
              </w:rPr>
              <w:t>Determined</w:t>
            </w:r>
          </w:p>
        </w:tc>
        <w:tc>
          <w:tcPr>
            <w:tcW w:w="620" w:type="dxa"/>
            <w:vAlign w:val="bottom"/>
            <w:tcBorders>
              <w:right w:val="single" w:sz="8" w:color="1F2A44"/>
            </w:tcBorders>
          </w:tcPr>
          <w:p>
            <w:pPr>
              <w:spacing w:after="0"/>
              <w:rPr>
                <w:sz w:val="19"/>
                <w:szCs w:val="19"/>
                <w:color w:val="auto"/>
              </w:rPr>
            </w:pPr>
          </w:p>
        </w:tc>
        <w:tc>
          <w:tcPr>
            <w:tcW w:w="2580" w:type="dxa"/>
            <w:vAlign w:val="bottom"/>
            <w:tcBorders>
              <w:bottom w:val="single" w:sz="8" w:color="FEC221"/>
              <w:right w:val="single" w:sz="8" w:color="1F2A44"/>
            </w:tcBorders>
            <w:shd w:val="clear" w:color="auto" w:fill="FEC221"/>
          </w:tcPr>
          <w:p>
            <w:pPr>
              <w:ind w:left="900"/>
              <w:spacing w:after="0"/>
              <w:rPr>
                <w:sz w:val="20"/>
                <w:szCs w:val="20"/>
                <w:color w:val="auto"/>
              </w:rPr>
            </w:pPr>
            <w:r>
              <w:rPr>
                <w:rFonts w:ascii="Arial" w:cs="Arial" w:eastAsia="Arial" w:hAnsi="Arial"/>
                <w:sz w:val="14"/>
                <w:szCs w:val="14"/>
                <w:b w:val="1"/>
                <w:bCs w:val="1"/>
                <w:color w:val="1F2A44"/>
              </w:rPr>
              <w:t>Established</w:t>
            </w:r>
          </w:p>
        </w:tc>
        <w:tc>
          <w:tcPr>
            <w:tcW w:w="680" w:type="dxa"/>
            <w:vAlign w:val="bottom"/>
            <w:tcBorders>
              <w:right w:val="single" w:sz="8" w:color="1F2A44"/>
            </w:tcBorders>
          </w:tcPr>
          <w:p>
            <w:pPr>
              <w:spacing w:after="0"/>
              <w:rPr>
                <w:sz w:val="19"/>
                <w:szCs w:val="19"/>
                <w:color w:val="auto"/>
              </w:rPr>
            </w:pPr>
          </w:p>
        </w:tc>
        <w:tc>
          <w:tcPr>
            <w:tcW w:w="2660" w:type="dxa"/>
            <w:vAlign w:val="bottom"/>
            <w:tcBorders>
              <w:bottom w:val="single" w:sz="8" w:color="FEC221"/>
              <w:right w:val="single" w:sz="8" w:color="1F2A44"/>
            </w:tcBorders>
            <w:shd w:val="clear" w:color="auto" w:fill="FEC221"/>
          </w:tcPr>
          <w:p>
            <w:pPr>
              <w:ind w:left="960"/>
              <w:spacing w:after="0"/>
              <w:rPr>
                <w:sz w:val="20"/>
                <w:szCs w:val="20"/>
                <w:color w:val="auto"/>
              </w:rPr>
            </w:pPr>
            <w:r>
              <w:rPr>
                <w:rFonts w:ascii="Arial" w:cs="Arial" w:eastAsia="Arial" w:hAnsi="Arial"/>
                <w:sz w:val="14"/>
                <w:szCs w:val="14"/>
                <w:b w:val="1"/>
                <w:bCs w:val="1"/>
                <w:color w:val="1F2A44"/>
              </w:rPr>
              <w:t>Calculated</w:t>
            </w:r>
          </w:p>
        </w:tc>
        <w:tc>
          <w:tcPr>
            <w:tcW w:w="0" w:type="dxa"/>
            <w:vAlign w:val="bottom"/>
          </w:tcPr>
          <w:p>
            <w:pPr>
              <w:spacing w:after="0"/>
              <w:rPr>
                <w:sz w:val="1"/>
                <w:szCs w:val="1"/>
                <w:color w:val="auto"/>
              </w:rPr>
            </w:pPr>
          </w:p>
        </w:tc>
      </w:tr>
      <w:tr>
        <w:trPr>
          <w:trHeight w:val="156"/>
        </w:trPr>
        <w:tc>
          <w:tcPr>
            <w:tcW w:w="1460" w:type="dxa"/>
            <w:vAlign w:val="bottom"/>
            <w:tcBorders>
              <w:top w:val="single" w:sz="8" w:color="1F2A44"/>
              <w:bottom w:val="single" w:sz="8" w:color="1F2A44"/>
            </w:tcBorders>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Borders>
              <w:top w:val="single" w:sz="8" w:color="1F2A44"/>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tcBorders>
              <w:top w:val="single" w:sz="8" w:color="1F2A44"/>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660" w:type="dxa"/>
            <w:vAlign w:val="bottom"/>
            <w:tcBorders>
              <w:top w:val="single" w:sz="8" w:color="1F2A44"/>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1F2A44"/>
            </w:tcBorders>
            <w:vMerge w:val="restart"/>
            <w:shd w:val="clear" w:color="auto" w:fill="1F2A44"/>
          </w:tcPr>
          <w:p>
            <w:pPr>
              <w:jc w:val="center"/>
              <w:spacing w:after="0"/>
              <w:rPr>
                <w:sz w:val="20"/>
                <w:szCs w:val="20"/>
                <w:color w:val="auto"/>
              </w:rPr>
            </w:pPr>
            <w:r>
              <w:rPr>
                <w:rFonts w:ascii="Arial" w:cs="Arial" w:eastAsia="Arial" w:hAnsi="Arial"/>
                <w:sz w:val="14"/>
                <w:szCs w:val="14"/>
                <w:b w:val="1"/>
                <w:bCs w:val="1"/>
                <w:color w:val="FFFFFF"/>
              </w:rPr>
              <w:t>2017 Plan</w:t>
            </w:r>
          </w:p>
        </w:tc>
        <w:tc>
          <w:tcPr>
            <w:tcW w:w="80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Wood = 150% of base</w:t>
            </w:r>
          </w:p>
        </w:tc>
        <w:tc>
          <w:tcPr>
            <w:tcW w:w="62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125% Payout: $5.95 FFO/sh</w:t>
            </w:r>
          </w:p>
        </w:tc>
        <w:tc>
          <w:tcPr>
            <w:tcW w:w="68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1F2A44"/>
            </w:tcBorders>
            <w:vMerge w:val="continue"/>
            <w:shd w:val="clear" w:color="auto" w:fill="1F2A44"/>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Becker = 75% of base</w:t>
            </w:r>
          </w:p>
        </w:tc>
        <w:tc>
          <w:tcPr>
            <w:tcW w:w="62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100% Payout: $5.88 FFO/sh</w:t>
            </w:r>
          </w:p>
        </w:tc>
        <w:tc>
          <w:tcPr>
            <w:tcW w:w="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Final Payout to each NEO</w:t>
            </w:r>
          </w:p>
        </w:tc>
        <w:tc>
          <w:tcPr>
            <w:tcW w:w="0" w:type="dxa"/>
            <w:vAlign w:val="bottom"/>
          </w:tcPr>
          <w:p>
            <w:pPr>
              <w:spacing w:after="0"/>
              <w:rPr>
                <w:sz w:val="1"/>
                <w:szCs w:val="1"/>
                <w:color w:val="auto"/>
              </w:rPr>
            </w:pPr>
          </w:p>
        </w:tc>
      </w:tr>
      <w:tr>
        <w:trPr>
          <w:trHeight w:val="174"/>
        </w:trPr>
        <w:tc>
          <w:tcPr>
            <w:tcW w:w="1460" w:type="dxa"/>
            <w:vAlign w:val="bottom"/>
            <w:tcBorders>
              <w:left w:val="single" w:sz="8" w:color="1F2A44"/>
            </w:tcBorders>
            <w:shd w:val="clear" w:color="auto" w:fill="1F2A44"/>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Guglielmone = 75% of base</w:t>
            </w:r>
          </w:p>
        </w:tc>
        <w:tc>
          <w:tcPr>
            <w:tcW w:w="620" w:type="dxa"/>
            <w:vAlign w:val="bottom"/>
            <w:tcBorders>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75% Payout: $5.82 FFO/sh</w:t>
            </w:r>
          </w:p>
        </w:tc>
        <w:tc>
          <w:tcPr>
            <w:tcW w:w="680" w:type="dxa"/>
            <w:vAlign w:val="bottom"/>
            <w:tcBorders>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60" w:type="dxa"/>
            <w:vAlign w:val="bottom"/>
            <w:tcBorders>
              <w:bottom w:val="single" w:sz="8" w:color="1F2A44"/>
            </w:tcBorders>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1F2A44"/>
            </w:tcBorders>
            <w:vMerge w:val="restart"/>
            <w:shd w:val="clear" w:color="auto" w:fill="1F2A44"/>
          </w:tcPr>
          <w:p>
            <w:pPr>
              <w:jc w:val="center"/>
              <w:spacing w:after="0"/>
              <w:rPr>
                <w:sz w:val="20"/>
                <w:szCs w:val="20"/>
                <w:color w:val="auto"/>
              </w:rPr>
            </w:pPr>
            <w:r>
              <w:rPr>
                <w:rFonts w:ascii="Arial" w:cs="Arial" w:eastAsia="Arial" w:hAnsi="Arial"/>
                <w:sz w:val="14"/>
                <w:szCs w:val="14"/>
                <w:b w:val="1"/>
                <w:bCs w:val="1"/>
                <w:color w:val="FFFFFF"/>
              </w:rPr>
              <w:t>Final Calculation</w:t>
            </w:r>
          </w:p>
        </w:tc>
        <w:tc>
          <w:tcPr>
            <w:tcW w:w="80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Wood = $1,425,000</w:t>
            </w:r>
          </w:p>
        </w:tc>
        <w:tc>
          <w:tcPr>
            <w:tcW w:w="62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Wood = $1,577,618</w:t>
            </w:r>
          </w:p>
        </w:tc>
        <w:tc>
          <w:tcPr>
            <w:tcW w:w="0" w:type="dxa"/>
            <w:vAlign w:val="bottom"/>
          </w:tcPr>
          <w:p>
            <w:pPr>
              <w:spacing w:after="0"/>
              <w:rPr>
                <w:sz w:val="1"/>
                <w:szCs w:val="1"/>
                <w:color w:val="auto"/>
              </w:rPr>
            </w:pPr>
          </w:p>
        </w:tc>
      </w:tr>
      <w:tr>
        <w:trPr>
          <w:trHeight w:val="172"/>
        </w:trPr>
        <w:tc>
          <w:tcPr>
            <w:tcW w:w="1460" w:type="dxa"/>
            <w:vAlign w:val="bottom"/>
            <w:tcBorders>
              <w:left w:val="single" w:sz="8" w:color="1F2A44"/>
            </w:tcBorders>
            <w:vMerge w:val="continue"/>
            <w:shd w:val="clear" w:color="auto" w:fill="1F2A44"/>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Becker = $337,500</w:t>
            </w:r>
          </w:p>
        </w:tc>
        <w:tc>
          <w:tcPr>
            <w:tcW w:w="62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110.71% payout: $5.91 FFO/share</w:t>
            </w:r>
          </w:p>
        </w:tc>
        <w:tc>
          <w:tcPr>
            <w:tcW w:w="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Becker = $373,646</w:t>
            </w:r>
          </w:p>
        </w:tc>
        <w:tc>
          <w:tcPr>
            <w:tcW w:w="0" w:type="dxa"/>
            <w:vAlign w:val="bottom"/>
          </w:tcPr>
          <w:p>
            <w:pPr>
              <w:spacing w:after="0"/>
              <w:rPr>
                <w:sz w:val="1"/>
                <w:szCs w:val="1"/>
                <w:color w:val="auto"/>
              </w:rPr>
            </w:pPr>
          </w:p>
        </w:tc>
      </w:tr>
      <w:tr>
        <w:trPr>
          <w:trHeight w:val="174"/>
        </w:trPr>
        <w:tc>
          <w:tcPr>
            <w:tcW w:w="1460" w:type="dxa"/>
            <w:vAlign w:val="bottom"/>
            <w:tcBorders>
              <w:left w:val="single" w:sz="8" w:color="1F2A44"/>
            </w:tcBorders>
            <w:shd w:val="clear" w:color="auto" w:fill="1F2A44"/>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Guglielmone = $356,250</w:t>
            </w:r>
          </w:p>
        </w:tc>
        <w:tc>
          <w:tcPr>
            <w:tcW w:w="620" w:type="dxa"/>
            <w:vAlign w:val="bottom"/>
            <w:tcBorders>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Guglielmone = $394,404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-676910</wp:posOffset>
            </wp:positionV>
            <wp:extent cx="28321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3210" cy="8572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-676910</wp:posOffset>
            </wp:positionV>
            <wp:extent cx="6858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-676910</wp:posOffset>
            </wp:positionV>
            <wp:extent cx="10287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-231140</wp:posOffset>
            </wp:positionV>
            <wp:extent cx="28321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3210" cy="8572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-231140</wp:posOffset>
            </wp:positionV>
            <wp:extent cx="6858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-231140</wp:posOffset>
            </wp:positionV>
            <wp:extent cx="10287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6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In 2017, we reported FFO per share of $5.74 which included a charge of approximately $0.17 per share for early prepayment in December 2017 of higher rate debt due in 2020. The decision to repay that debt prior to its maturity date was made in December 2017 in order to opportunistically take advantage of favorable interest rates before the expected rate increases that occurred in 2018. Had bonus payouts been determined on the basis of reported FFO per share, no payments would have been made under our annual bonus plan for 2017. The Compensation Committee, however, determined that such a result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would not be appropriate and could potentially discourage management from making sound, long-term financing decisions in the future. Accordingly, the Compensation Committee determined that it would be appropriate and in the best interest of the Trust’s shareholders to exclude that prepayment charge from the calculation of FFO per share for bonus purposes resulting in FFO per share for bonus purposes of $5.91 and a bonus payout of 110.71% of target. The $5.91 of FFO per share used for bonus purposes included the impact of all of the additional interest and other charges associated with the opportunistic capital raise completed in December 2017 other than the prepayment premium mentioned above. Based on their individual contributions to the Trust in 2017, the Compensation Committee awarded each of our NEOs the full annual bonus for which he/she was eligible.</w:t>
      </w:r>
    </w:p>
    <w:p>
      <w:pPr>
        <w:spacing w:after="0" w:line="176"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Annual Bonus plan for our NEOs is the same bonus plan that covers nearly 95% of our employees. The NEOs and approximately 80 other participants in the Annual Bonus plan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elected to receive in Shares. For 2017, Mr. Wood elected to receive 25% of his bonus in Shares and our other NEOs elected to receive all of their annual bonus in cash. The cash portion of the 2017 annual bonuses is reflected in the “Non-Equity Incentive Plan Compensation” column in the Summary Compensation Table in this proxy statement. The portion Annual Bonus paid in Shares will be included in the “Stock Awards” column in the Summary Compensation Table and the Grants of Plan-Based Awards Table in next year’s proxy statement.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 Award Program</w:t>
      </w:r>
    </w:p>
    <w:p>
      <w:pPr>
        <w:spacing w:after="0" w:line="19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largest portion of compensation for our NEOs comes from our equity based Long-Term Incentive Award Program. This program aligns the interests of our NEOs with shareholders by incentivizing our NEOs to identify and accomplish longer-term business objectives that generate value through stock price appreciation and dividend growth over a minimum 6-year time horizon comprised of a 3-year performance period followed by a minimum of a 3-year vesting period for shares and a 5-year vesting period for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146050</wp:posOffset>
            </wp:positionV>
            <wp:extent cx="5831840" cy="548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318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Awards under this program are made in the form of restricted shares with time based vesting over a three year period; however, each NEO can elect to take up to 50% of his/her award in the form of options which vest over five years. The Compensation Committee believes that allowing NEOs to choose to receive a portion of his/her award in the form of options provides value to the NEO that outweighs any diminution in retention value from the granting of options in lieu of Shares. Each of our NEOs chose to receive the full value of his her 2017 LTIAP award in Shares. Dividends are paid on all Shares issued under the LTIAP.</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amount of LTIAP awards is determined based on how well the Trust performs on three performance metrics:</w:t>
      </w:r>
    </w:p>
    <w:p>
      <w:pPr>
        <w:spacing w:after="0" w:line="171" w:lineRule="exact"/>
        <w:rPr>
          <w:sz w:val="20"/>
          <w:szCs w:val="20"/>
          <w:color w:val="auto"/>
        </w:rPr>
      </w:pPr>
    </w:p>
    <w:p>
      <w:pPr>
        <w:jc w:val="both"/>
        <w:ind w:left="200" w:firstLine="4"/>
        <w:spacing w:after="0" w:line="237" w:lineRule="auto"/>
        <w:tabs>
          <w:tab w:leader="none" w:pos="10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shareholder return relative to the Bloomberg REIT Shopping Center index (“BBRESHOP”). Performance on this metric accounts for 50% of the total LTIAP award. The relative shareholder return metric reflects how well we have performed for our shareholders as compared to other companies facing the same general market dynamics. The Compensation Committee determined that the BBRESHOP is the best index to use given that it is an industry index made up of primarily companies that own and operate open are shopping centers whose businesses are most closely aligned with ours. Total shareholder return takes into account both stock price appreciation and dividends assuming all dividends are reinvested.</w:t>
      </w:r>
    </w:p>
    <w:p>
      <w:pPr>
        <w:spacing w:after="0" w:line="164" w:lineRule="exact"/>
        <w:rPr>
          <w:rFonts w:ascii="Arial" w:cs="Arial" w:eastAsia="Arial" w:hAnsi="Arial"/>
          <w:sz w:val="18"/>
          <w:szCs w:val="18"/>
          <w:color w:val="auto"/>
        </w:rPr>
      </w:pPr>
    </w:p>
    <w:p>
      <w:pPr>
        <w:jc w:val="both"/>
        <w:ind w:left="200" w:firstLine="4"/>
        <w:spacing w:after="0"/>
        <w:tabs>
          <w:tab w:leader="none" w:pos="8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Absolute total shareholder return. Performance on this metric accounts for 25% of the total LTIAP award and reflects whether we have actually created value and delivered acceptable returns to our shareholders over the 3-year performance period. Total shareholder return takes into account both stock price appreciation and dividends assuming all dividends are reinvested.</w:t>
      </w:r>
    </w:p>
    <w:p>
      <w:pPr>
        <w:spacing w:after="0" w:line="175" w:lineRule="exact"/>
        <w:rPr>
          <w:rFonts w:ascii="Arial" w:cs="Arial" w:eastAsia="Arial" w:hAnsi="Arial"/>
          <w:sz w:val="18"/>
          <w:szCs w:val="18"/>
          <w:color w:val="auto"/>
        </w:rPr>
      </w:pPr>
    </w:p>
    <w:p>
      <w:pPr>
        <w:jc w:val="both"/>
        <w:ind w:left="200" w:firstLine="4"/>
        <w:spacing w:after="0"/>
        <w:tabs>
          <w:tab w:leader="none" w:pos="9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invested capital. Performance on this metric accounts for 25% of the total LTIAP award. Return on invested capital reflects how effectively we have allocated our shareholders’ capital during that time and incentivizes our executives to make sound, long-term investment decisions that will generate strong future returns to our shareholders.</w:t>
      </w: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target levels of payout for each of our NEOs in 2017 remain unchanged from prior years. Mr. Wood and Ms. Becker can earn an award equal to 50% of target for performance at the threshold level and an award of 150% of target for performance at the stretch level. Mr. Guglielmone can earn an award equal to 67% of target for threshold level performance and 133% of target for stretch level performance. Payout levels are interpolated for results falling between threshold, target and stretch levels.</w:t>
      </w:r>
    </w:p>
    <w:p>
      <w:pPr>
        <w:spacing w:after="0" w:line="17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levels of performance and target payout percentages for the LTIAP awards for each of our NEOs and the performance actually achieved on each metric for the three year period from January 1, 2015 through December 31, 2017 are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125730</wp:posOffset>
            </wp:positionV>
            <wp:extent cx="5840095" cy="25387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009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Based on the results achieved, the LTIAP awards for Mr. Wood (CEO) and Ms. Becker (GC) were paid at 93.75% of target and the award for Mr. Guglielmone (CFO) was paid at 87.50% of his target award. The Compensation Committee has the discretion to increase or decrease the award for each executive by up to 20% to in order to account for personal performance but did not adjust the awards for any of our NEOs for the performance period ending in 2017. The number of Shares actually awarded to each of our NEOs under the LTIAP is determined by dividing the amount of the award by the closing price of our stock on the NYSE on the date the awards are made. There is no amount included for 2017 in the Summary Compensation Table or Grants of Plan-Based Awards Table in this proxy statement for LTIAP awards earned for the 2015-2017 performance period. The LTIAP awards reflected for 2017 in the Summary Compensation Table and the Grants of Plan-Based Awards Table for our named executive officers in this proxy statement relate to awards made in February 2017 for the 3-year performance period ending December 31, 2016.</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Total Compensation</w:t>
      </w:r>
    </w:p>
    <w:p>
      <w:pPr>
        <w:spacing w:after="0" w:line="207"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following chart sets out the compensation earned by each of our named executive officers for 2017 based on company and individual performance for the 1 and 3-year periods ending December 31, 2017:</w:t>
      </w:r>
    </w:p>
    <w:p>
      <w:pPr>
        <w:spacing w:after="0" w:line="205" w:lineRule="exact"/>
        <w:rPr>
          <w:sz w:val="20"/>
          <w:szCs w:val="20"/>
          <w:color w:val="auto"/>
        </w:rPr>
      </w:pPr>
    </w:p>
    <w:tbl>
      <w:tblPr>
        <w:tblLayout w:type="fixed"/>
        <w:tblInd w:w="230" w:type="dxa"/>
        <w:tblCellMar>
          <w:top w:w="0" w:type="dxa"/>
          <w:left w:w="0" w:type="dxa"/>
          <w:bottom w:w="0" w:type="dxa"/>
          <w:right w:w="0" w:type="dxa"/>
        </w:tblCellMar>
      </w:tblPr>
      <w:tr>
        <w:trPr>
          <w:trHeight w:val="291"/>
        </w:trPr>
        <w:tc>
          <w:tcPr>
            <w:tcW w:w="4200" w:type="dxa"/>
            <w:vAlign w:val="bottom"/>
            <w:tcBorders>
              <w:top w:val="single" w:sz="8" w:color="auto"/>
              <w:left w:val="single" w:sz="8" w:color="auto"/>
              <w:bottom w:val="single" w:sz="8" w:color="auto"/>
            </w:tcBorders>
            <w:shd w:val="clear" w:color="auto" w:fill="FEC221"/>
          </w:tcPr>
          <w:p>
            <w:pPr>
              <w:ind w:left="220"/>
              <w:spacing w:after="0"/>
              <w:rPr>
                <w:sz w:val="20"/>
                <w:szCs w:val="20"/>
                <w:color w:val="auto"/>
              </w:rPr>
            </w:pPr>
            <w:r>
              <w:rPr>
                <w:rFonts w:ascii="Arial" w:cs="Arial" w:eastAsia="Arial" w:hAnsi="Arial"/>
                <w:sz w:val="18"/>
                <w:szCs w:val="18"/>
                <w:b w:val="1"/>
                <w:bCs w:val="1"/>
                <w:color w:val="1F2A44"/>
              </w:rPr>
              <w:t>Compensation Component</w:t>
            </w:r>
          </w:p>
        </w:tc>
        <w:tc>
          <w:tcPr>
            <w:tcW w:w="2120" w:type="dxa"/>
            <w:vAlign w:val="bottom"/>
            <w:tcBorders>
              <w:top w:val="single" w:sz="8" w:color="auto"/>
              <w:bottom w:val="single" w:sz="8" w:color="auto"/>
            </w:tcBorders>
            <w:gridSpan w:val="2"/>
            <w:shd w:val="clear" w:color="auto" w:fill="FEC221"/>
          </w:tcPr>
          <w:p>
            <w:pPr>
              <w:ind w:left="340"/>
              <w:spacing w:after="0"/>
              <w:rPr>
                <w:sz w:val="20"/>
                <w:szCs w:val="20"/>
                <w:color w:val="auto"/>
              </w:rPr>
            </w:pPr>
            <w:r>
              <w:rPr>
                <w:rFonts w:ascii="Arial" w:cs="Arial" w:eastAsia="Arial" w:hAnsi="Arial"/>
                <w:sz w:val="18"/>
                <w:szCs w:val="18"/>
                <w:b w:val="1"/>
                <w:bCs w:val="1"/>
                <w:color w:val="1F2A44"/>
              </w:rPr>
              <w:t>Donald C. Wood</w:t>
            </w:r>
          </w:p>
        </w:tc>
        <w:tc>
          <w:tcPr>
            <w:tcW w:w="2480" w:type="dxa"/>
            <w:vAlign w:val="bottom"/>
            <w:tcBorders>
              <w:top w:val="single" w:sz="8" w:color="auto"/>
              <w:bottom w:val="single" w:sz="8" w:color="auto"/>
            </w:tcBorders>
            <w:gridSpan w:val="2"/>
            <w:shd w:val="clear" w:color="auto" w:fill="FEC221"/>
          </w:tcPr>
          <w:p>
            <w:pPr>
              <w:ind w:left="400"/>
              <w:spacing w:after="0"/>
              <w:rPr>
                <w:sz w:val="20"/>
                <w:szCs w:val="20"/>
                <w:color w:val="auto"/>
              </w:rPr>
            </w:pPr>
            <w:r>
              <w:rPr>
                <w:rFonts w:ascii="Arial" w:cs="Arial" w:eastAsia="Arial" w:hAnsi="Arial"/>
                <w:sz w:val="18"/>
                <w:szCs w:val="18"/>
                <w:b w:val="1"/>
                <w:bCs w:val="1"/>
                <w:color w:val="1F2A44"/>
              </w:rPr>
              <w:t>Daniel Guglielmone</w:t>
            </w:r>
          </w:p>
        </w:tc>
        <w:tc>
          <w:tcPr>
            <w:tcW w:w="2240" w:type="dxa"/>
            <w:vAlign w:val="bottom"/>
            <w:tcBorders>
              <w:top w:val="single" w:sz="8" w:color="auto"/>
              <w:bottom w:val="single" w:sz="8" w:color="auto"/>
              <w:right w:val="single" w:sz="8" w:color="auto"/>
            </w:tcBorders>
            <w:gridSpan w:val="2"/>
            <w:shd w:val="clear" w:color="auto" w:fill="FEC221"/>
          </w:tcPr>
          <w:p>
            <w:pPr>
              <w:ind w:left="420"/>
              <w:spacing w:after="0"/>
              <w:rPr>
                <w:sz w:val="20"/>
                <w:szCs w:val="20"/>
                <w:color w:val="auto"/>
              </w:rPr>
            </w:pPr>
            <w:r>
              <w:rPr>
                <w:rFonts w:ascii="Arial" w:cs="Arial" w:eastAsia="Arial" w:hAnsi="Arial"/>
                <w:sz w:val="18"/>
                <w:szCs w:val="18"/>
                <w:b w:val="1"/>
                <w:bCs w:val="1"/>
                <w:color w:val="1F2A44"/>
              </w:rPr>
              <w:t>Dawn M. Becker</w:t>
            </w:r>
          </w:p>
        </w:tc>
      </w:tr>
      <w:tr>
        <w:trPr>
          <w:trHeight w:val="270"/>
        </w:trPr>
        <w:tc>
          <w:tcPr>
            <w:tcW w:w="4200" w:type="dxa"/>
            <w:vAlign w:val="bottom"/>
            <w:tcBorders>
              <w:left w:val="single" w:sz="8" w:color="auto"/>
            </w:tcBorders>
          </w:tcPr>
          <w:p>
            <w:pPr>
              <w:ind w:left="220"/>
              <w:spacing w:after="0"/>
              <w:rPr>
                <w:sz w:val="20"/>
                <w:szCs w:val="20"/>
                <w:color w:val="auto"/>
              </w:rPr>
            </w:pPr>
            <w:r>
              <w:rPr>
                <w:rFonts w:ascii="Arial" w:cs="Arial" w:eastAsia="Arial" w:hAnsi="Arial"/>
                <w:sz w:val="18"/>
                <w:szCs w:val="18"/>
                <w:b w:val="1"/>
                <w:bCs w:val="1"/>
                <w:color w:val="auto"/>
              </w:rPr>
              <w:t>Base Salary</w:t>
            </w:r>
          </w:p>
        </w:tc>
        <w:tc>
          <w:tcPr>
            <w:tcW w:w="54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950,000</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475,000</w:t>
            </w: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450,000</w:t>
            </w:r>
          </w:p>
        </w:tc>
      </w:tr>
      <w:tr>
        <w:trPr>
          <w:trHeight w:val="338"/>
        </w:trPr>
        <w:tc>
          <w:tcPr>
            <w:tcW w:w="420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Target Bonus</w:t>
            </w:r>
          </w:p>
        </w:tc>
        <w:tc>
          <w:tcPr>
            <w:tcW w:w="54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150% of base</w:t>
            </w:r>
          </w:p>
        </w:tc>
        <w:tc>
          <w:tcPr>
            <w:tcW w:w="800" w:type="dxa"/>
            <w:vAlign w:val="bottom"/>
          </w:tcPr>
          <w:p>
            <w:pPr>
              <w:spacing w:after="0"/>
              <w:rPr>
                <w:sz w:val="24"/>
                <w:szCs w:val="24"/>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75% of base</w:t>
            </w:r>
          </w:p>
        </w:tc>
        <w:tc>
          <w:tcPr>
            <w:tcW w:w="660" w:type="dxa"/>
            <w:vAlign w:val="bottom"/>
          </w:tcPr>
          <w:p>
            <w:pPr>
              <w:spacing w:after="0"/>
              <w:rPr>
                <w:sz w:val="24"/>
                <w:szCs w:val="24"/>
                <w:color w:val="auto"/>
              </w:rPr>
            </w:pP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75% of base</w:t>
            </w:r>
          </w:p>
        </w:tc>
      </w:tr>
      <w:tr>
        <w:trPr>
          <w:trHeight w:val="270"/>
        </w:trPr>
        <w:tc>
          <w:tcPr>
            <w:tcW w:w="4200" w:type="dxa"/>
            <w:vAlign w:val="bottom"/>
            <w:tcBorders>
              <w:left w:val="single" w:sz="8" w:color="auto"/>
            </w:tcBorders>
          </w:tcPr>
          <w:p>
            <w:pPr>
              <w:ind w:left="220"/>
              <w:spacing w:after="0"/>
              <w:rPr>
                <w:sz w:val="20"/>
                <w:szCs w:val="20"/>
                <w:color w:val="auto"/>
              </w:rPr>
            </w:pPr>
            <w:r>
              <w:rPr>
                <w:rFonts w:ascii="Arial" w:cs="Arial" w:eastAsia="Arial" w:hAnsi="Arial"/>
                <w:sz w:val="18"/>
                <w:szCs w:val="18"/>
                <w:b w:val="1"/>
                <w:bCs w:val="1"/>
                <w:color w:val="auto"/>
              </w:rPr>
              <w:t>Actual 2017 Bonus</w:t>
            </w:r>
          </w:p>
        </w:tc>
        <w:tc>
          <w:tcPr>
            <w:tcW w:w="54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1,577,618</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394,404</w:t>
            </w: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373,646</w:t>
            </w:r>
          </w:p>
        </w:tc>
      </w:tr>
      <w:tr>
        <w:trPr>
          <w:trHeight w:val="338"/>
        </w:trPr>
        <w:tc>
          <w:tcPr>
            <w:tcW w:w="420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LTIAP</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r>
      <w:tr>
        <w:trPr>
          <w:trHeight w:val="270"/>
        </w:trPr>
        <w:tc>
          <w:tcPr>
            <w:tcW w:w="4200" w:type="dxa"/>
            <w:vAlign w:val="bottom"/>
            <w:tcBorders>
              <w:left w:val="single" w:sz="8" w:color="auto"/>
            </w:tcBorders>
          </w:tcPr>
          <w:p>
            <w:pPr>
              <w:ind w:left="620"/>
              <w:spacing w:after="0"/>
              <w:rPr>
                <w:sz w:val="20"/>
                <w:szCs w:val="20"/>
                <w:color w:val="auto"/>
              </w:rPr>
            </w:pPr>
            <w:r>
              <w:rPr>
                <w:rFonts w:ascii="Arial" w:cs="Arial" w:eastAsia="Arial" w:hAnsi="Arial"/>
                <w:sz w:val="18"/>
                <w:szCs w:val="18"/>
                <w:color w:val="auto"/>
              </w:rPr>
              <w:t>Threshold</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2,500,000</w:t>
            </w: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600,000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300,000</w:t>
            </w:r>
          </w:p>
        </w:tc>
      </w:tr>
      <w:tr>
        <w:trPr>
          <w:trHeight w:val="297"/>
        </w:trPr>
        <w:tc>
          <w:tcPr>
            <w:tcW w:w="4200" w:type="dxa"/>
            <w:vAlign w:val="bottom"/>
            <w:tcBorders>
              <w:left w:val="single" w:sz="8" w:color="auto"/>
            </w:tcBorders>
          </w:tcPr>
          <w:p>
            <w:pPr>
              <w:ind w:left="620"/>
              <w:spacing w:after="0"/>
              <w:rPr>
                <w:sz w:val="20"/>
                <w:szCs w:val="20"/>
                <w:color w:val="auto"/>
              </w:rPr>
            </w:pPr>
            <w:r>
              <w:rPr>
                <w:rFonts w:ascii="Arial" w:cs="Arial" w:eastAsia="Arial" w:hAnsi="Arial"/>
                <w:sz w:val="18"/>
                <w:szCs w:val="18"/>
                <w:color w:val="auto"/>
              </w:rPr>
              <w:t>Target</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5,000,000</w:t>
            </w: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900,000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600,000</w:t>
            </w:r>
          </w:p>
        </w:tc>
      </w:tr>
      <w:tr>
        <w:trPr>
          <w:trHeight w:val="297"/>
        </w:trPr>
        <w:tc>
          <w:tcPr>
            <w:tcW w:w="4200" w:type="dxa"/>
            <w:vAlign w:val="bottom"/>
            <w:tcBorders>
              <w:left w:val="single" w:sz="8" w:color="auto"/>
            </w:tcBorders>
          </w:tcPr>
          <w:p>
            <w:pPr>
              <w:ind w:left="620"/>
              <w:spacing w:after="0"/>
              <w:rPr>
                <w:sz w:val="20"/>
                <w:szCs w:val="20"/>
                <w:color w:val="auto"/>
              </w:rPr>
            </w:pPr>
            <w:r>
              <w:rPr>
                <w:rFonts w:ascii="Arial" w:cs="Arial" w:eastAsia="Arial" w:hAnsi="Arial"/>
                <w:sz w:val="18"/>
                <w:szCs w:val="18"/>
                <w:color w:val="auto"/>
              </w:rPr>
              <w:t>Stretch</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7,500,000</w:t>
            </w: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1,200,000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900,000</w:t>
            </w:r>
          </w:p>
        </w:tc>
      </w:tr>
      <w:tr>
        <w:trPr>
          <w:trHeight w:val="297"/>
        </w:trPr>
        <w:tc>
          <w:tcPr>
            <w:tcW w:w="4200" w:type="dxa"/>
            <w:vAlign w:val="bottom"/>
            <w:tcBorders>
              <w:left w:val="single" w:sz="8" w:color="auto"/>
            </w:tcBorders>
          </w:tcPr>
          <w:p>
            <w:pPr>
              <w:ind w:left="220"/>
              <w:spacing w:after="0"/>
              <w:rPr>
                <w:sz w:val="20"/>
                <w:szCs w:val="20"/>
                <w:color w:val="auto"/>
              </w:rPr>
            </w:pPr>
            <w:r>
              <w:rPr>
                <w:rFonts w:ascii="Arial" w:cs="Arial" w:eastAsia="Arial" w:hAnsi="Arial"/>
                <w:sz w:val="18"/>
                <w:szCs w:val="18"/>
                <w:b w:val="1"/>
                <w:bCs w:val="1"/>
                <w:color w:val="auto"/>
              </w:rPr>
              <w:t>Actual 2017 LTIAP</w:t>
            </w:r>
          </w:p>
        </w:tc>
        <w:tc>
          <w:tcPr>
            <w:tcW w:w="54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4,687,500</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787,500</w:t>
            </w: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562,500</w:t>
            </w:r>
          </w:p>
        </w:tc>
      </w:tr>
      <w:tr>
        <w:trPr>
          <w:trHeight w:val="345"/>
        </w:trPr>
        <w:tc>
          <w:tcPr>
            <w:tcW w:w="4200" w:type="dxa"/>
            <w:vAlign w:val="bottom"/>
            <w:tcBorders>
              <w:left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2017 Comp</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7,215,118</w:t>
            </w: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1,656,904</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1,386,146</w:t>
            </w:r>
          </w:p>
        </w:tc>
      </w:tr>
    </w:tbl>
    <w:p>
      <w:pPr>
        <w:spacing w:after="0" w:line="175"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The amounts set forth above for the annual performance bonus and performance based, long-term equity program differ from the amounts shown for 2017 in the Summary Compensation Table because the chart above reflects the amount earned for the year while the Summary Compensation Table reflects these amounts in the year in which they are paid regardless of the time period during which those amounts were earned. We believe the chart above is helpful because it allows the actual compensation earned for 2017 to be understood in the context of the Trust’s financial and other performance for the performance periods ending in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Benefits</w:t>
      </w:r>
    </w:p>
    <w:p>
      <w:pPr>
        <w:spacing w:after="0" w:line="193"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We provide other health and welfare benefits to our NEOs on the same basis as we provide those benefits to all employees. In addition to those benefits, we provide to Mr. Wood, his spouse and his dependents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three of Mr. Wood’s children until that child is no longer a dependent as defined under Section 106 of the Internal Revenue Code and as to one of the children, until death. We are required to provide coverage of at least the same level as provided to Mr. Wood and his family at the time of his termination and such coverage will be secondary to certain other coverages that may be available to Mr. Wood and his family. This agreement has been in place and remained unchanged since 2008.</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 Considerations</w:t>
      </w:r>
    </w:p>
    <w:p>
      <w:pPr>
        <w:spacing w:after="0" w:line="185" w:lineRule="exact"/>
        <w:rPr>
          <w:sz w:val="20"/>
          <w:szCs w:val="20"/>
          <w:color w:val="auto"/>
        </w:rPr>
      </w:pPr>
    </w:p>
    <w:p>
      <w:pPr>
        <w:jc w:val="both"/>
        <w:ind w:left="640" w:right="20"/>
        <w:spacing w:after="0" w:line="244" w:lineRule="auto"/>
        <w:rPr>
          <w:sz w:val="20"/>
          <w:szCs w:val="20"/>
          <w:color w:val="auto"/>
        </w:rPr>
      </w:pPr>
      <w:r>
        <w:rPr>
          <w:rFonts w:ascii="Arial" w:cs="Arial" w:eastAsia="Arial" w:hAnsi="Arial"/>
          <w:sz w:val="18"/>
          <w:szCs w:val="18"/>
          <w:b w:val="1"/>
          <w:bCs w:val="1"/>
          <w:color w:val="auto"/>
        </w:rPr>
        <w:t xml:space="preserve">Equity Ownership: </w:t>
      </w:r>
      <w:r>
        <w:rPr>
          <w:rFonts w:ascii="Arial" w:cs="Arial" w:eastAsia="Arial" w:hAnsi="Arial"/>
          <w:sz w:val="18"/>
          <w:szCs w:val="18"/>
          <w:color w:val="auto"/>
        </w:rPr>
        <w:t>Each of our NEOs is required to maintain a level of ownership of equity in the company equal to 3 times the sum</w:t>
      </w:r>
      <w:r>
        <w:rPr>
          <w:rFonts w:ascii="Arial" w:cs="Arial" w:eastAsia="Arial" w:hAnsi="Arial"/>
          <w:sz w:val="18"/>
          <w:szCs w:val="18"/>
          <w:b w:val="1"/>
          <w:bCs w:val="1"/>
          <w:color w:val="auto"/>
        </w:rPr>
        <w:t xml:space="preserve"> </w:t>
      </w:r>
      <w:r>
        <w:rPr>
          <w:rFonts w:ascii="Arial" w:cs="Arial" w:eastAsia="Arial" w:hAnsi="Arial"/>
          <w:sz w:val="18"/>
          <w:szCs w:val="18"/>
          <w:color w:val="auto"/>
        </w:rPr>
        <w:t>of base salary and annual bonus for Mr. Wood and 2.5 times the sum of base salary and annual bonus for each of Mr. Guglielmone and Ms. Becker. Both Mr. Wood and Ms. Becker were in compliance with the equity ownership requirement as of December 31, 2017. Mr. Guglielmone who joined the Trust in August 2016 was not in compliance with the requirements as of December 31, 2017; however, is in compliance as of the date of this proxy statement.</w:t>
      </w:r>
    </w:p>
    <w:p>
      <w:pPr>
        <w:spacing w:after="0" w:line="136" w:lineRule="exact"/>
        <w:rPr>
          <w:sz w:val="20"/>
          <w:szCs w:val="20"/>
          <w:color w:val="auto"/>
        </w:rPr>
      </w:pPr>
    </w:p>
    <w:p>
      <w:pPr>
        <w:jc w:val="both"/>
        <w:ind w:left="640" w:right="20"/>
        <w:spacing w:after="0" w:line="271" w:lineRule="auto"/>
        <w:rPr>
          <w:sz w:val="20"/>
          <w:szCs w:val="20"/>
          <w:color w:val="auto"/>
        </w:rPr>
      </w:pPr>
      <w:r>
        <w:rPr>
          <w:rFonts w:ascii="Arial" w:cs="Arial" w:eastAsia="Arial" w:hAnsi="Arial"/>
          <w:sz w:val="18"/>
          <w:szCs w:val="18"/>
          <w:b w:val="1"/>
          <w:bCs w:val="1"/>
          <w:color w:val="auto"/>
        </w:rPr>
        <w:t xml:space="preserve">Risk Assessment: </w:t>
      </w:r>
      <w:r>
        <w:rPr>
          <w:rFonts w:ascii="Arial" w:cs="Arial" w:eastAsia="Arial" w:hAnsi="Arial"/>
          <w:sz w:val="18"/>
          <w:szCs w:val="18"/>
          <w:color w:val="auto"/>
        </w:rPr>
        <w:t>As described in the “Risk Management Oversight” section, we have concluded that our compensation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do not encourage excessive or unnecessary risk taking.</w:t>
      </w:r>
    </w:p>
    <w:p>
      <w:pPr>
        <w:spacing w:after="0" w:line="113" w:lineRule="exact"/>
        <w:rPr>
          <w:sz w:val="20"/>
          <w:szCs w:val="20"/>
          <w:color w:val="auto"/>
        </w:rPr>
      </w:pPr>
    </w:p>
    <w:p>
      <w:pPr>
        <w:jc w:val="both"/>
        <w:ind w:left="640" w:right="20"/>
        <w:spacing w:after="0" w:line="242" w:lineRule="auto"/>
        <w:rPr>
          <w:sz w:val="20"/>
          <w:szCs w:val="20"/>
          <w:color w:val="auto"/>
        </w:rPr>
      </w:pPr>
      <w:r>
        <w:rPr>
          <w:rFonts w:ascii="Arial" w:cs="Arial" w:eastAsia="Arial" w:hAnsi="Arial"/>
          <w:sz w:val="18"/>
          <w:szCs w:val="18"/>
          <w:b w:val="1"/>
          <w:bCs w:val="1"/>
          <w:color w:val="auto"/>
        </w:rPr>
        <w:t xml:space="preserve">Timing of Equity Grants: </w:t>
      </w:r>
      <w:r>
        <w:rPr>
          <w:rFonts w:ascii="Arial" w:cs="Arial" w:eastAsia="Arial" w:hAnsi="Arial"/>
          <w:sz w:val="18"/>
          <w:szCs w:val="18"/>
          <w:color w:val="auto"/>
        </w:rPr>
        <w:t>Equity awards to our employees under our Annual Bonus Plan and LTIAP described above are made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Compensation Committee meeting of the year which generally occurs before we release year-end financial results for the prior fiscal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40"/>
        <w:spacing w:after="0" w:line="239" w:lineRule="auto"/>
        <w:rPr>
          <w:sz w:val="20"/>
          <w:szCs w:val="20"/>
          <w:color w:val="auto"/>
        </w:rPr>
      </w:pPr>
      <w:r>
        <w:rPr>
          <w:rFonts w:ascii="Arial" w:cs="Arial" w:eastAsia="Arial" w:hAnsi="Arial"/>
          <w:sz w:val="18"/>
          <w:szCs w:val="18"/>
          <w:color w:val="auto"/>
        </w:rPr>
        <w:t>date the award is made. The Compensation Committee has never re-priced options, granted options with an exercise price that is less than the closing price on the NYSE on the date of the grant or granted options which are priced on a date other than the grant date. Equity awards for our NEOs for the 3-year performance period ending on December 31, 2017 were made at the Compensation Committee’s meeting on February 7, 2018 based on the closing price of our Shares on the NYSE on that date.</w:t>
      </w:r>
    </w:p>
    <w:p>
      <w:pPr>
        <w:spacing w:after="0" w:line="153" w:lineRule="exact"/>
        <w:rPr>
          <w:sz w:val="20"/>
          <w:szCs w:val="20"/>
          <w:color w:val="auto"/>
        </w:rPr>
      </w:pPr>
    </w:p>
    <w:p>
      <w:pPr>
        <w:jc w:val="both"/>
        <w:ind w:left="640"/>
        <w:spacing w:after="0" w:line="242" w:lineRule="auto"/>
        <w:rPr>
          <w:sz w:val="20"/>
          <w:szCs w:val="20"/>
          <w:color w:val="auto"/>
        </w:rPr>
      </w:pPr>
      <w:r>
        <w:rPr>
          <w:rFonts w:ascii="Arial" w:cs="Arial" w:eastAsia="Arial" w:hAnsi="Arial"/>
          <w:sz w:val="18"/>
          <w:szCs w:val="18"/>
          <w:b w:val="1"/>
          <w:bCs w:val="1"/>
          <w:color w:val="auto"/>
        </w:rPr>
        <w:t xml:space="preserve">Termination and Change-in-Control Arrangements: </w:t>
      </w:r>
      <w:r>
        <w:rPr>
          <w:rFonts w:ascii="Arial" w:cs="Arial" w:eastAsia="Arial" w:hAnsi="Arial"/>
          <w:sz w:val="18"/>
          <w:szCs w:val="18"/>
          <w:color w:val="auto"/>
        </w:rPr>
        <w:t>We have agreements in place with each of our NEOs providing for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NEOs.</w:t>
      </w:r>
    </w:p>
    <w:p>
      <w:pPr>
        <w:spacing w:after="0" w:line="139" w:lineRule="exact"/>
        <w:rPr>
          <w:sz w:val="20"/>
          <w:szCs w:val="20"/>
          <w:color w:val="auto"/>
        </w:rPr>
      </w:pPr>
    </w:p>
    <w:p>
      <w:pPr>
        <w:jc w:val="both"/>
        <w:ind w:left="640"/>
        <w:spacing w:after="0"/>
        <w:rPr>
          <w:sz w:val="20"/>
          <w:szCs w:val="20"/>
          <w:color w:val="auto"/>
        </w:rPr>
      </w:pPr>
      <w:r>
        <w:rPr>
          <w:rFonts w:ascii="Arial" w:cs="Arial" w:eastAsia="Arial" w:hAnsi="Arial"/>
          <w:sz w:val="18"/>
          <w:szCs w:val="18"/>
          <w:b w:val="1"/>
          <w:bCs w:val="1"/>
          <w:color w:val="auto"/>
        </w:rPr>
        <w:t xml:space="preserve">Deductibility of Executive Compensation in Excess of $1.0 Million: </w:t>
      </w:r>
      <w:r>
        <w:rPr>
          <w:rFonts w:ascii="Arial" w:cs="Arial" w:eastAsia="Arial" w:hAnsi="Arial"/>
          <w:sz w:val="18"/>
          <w:szCs w:val="18"/>
          <w:color w:val="auto"/>
        </w:rPr>
        <w:t>For tax years ending on or prior to December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Internal Revenue Code generally prohibited any publicly held corporation from taking a federal income tax deduction for compensation in excess of $1 million in any taxable year paid to an executive officer who is named in the Summary Compensation Table. An exception was made for qualified performance-based compensation, among other things. Although the Compensation Committee considered the impact of Section 162(m) in structuring compensation programs, the Committee’s primary focus was on creating programs that addressed the needs and objectives of the company regardless of the impact of Section 162(m). As a result, the Compensation Committee made awards and structured programs that were non-deductible under Section 162(m).</w:t>
      </w:r>
    </w:p>
    <w:p>
      <w:pPr>
        <w:spacing w:after="0" w:line="162"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The Tax Cuts and Jobs Act of 2017 modified Section 162(m) to, among other things, modify who is subject to the $1 million deduction limit and to eliminate the exception for performance based pay from the $1 million deduction limit starting with tax years ending after December 31, 2017. We do not anticipate these changes to Section 162(m) to have a material impact on us. We do not anticipate anyone other than our three NEOs being subject to the $1 million deduction limit and we anticipate our taxable income to only increase modestly on an annual basis as a result of the loss of the performance based compensation deduction. To maintain our status as a real estate investment trust, we are required to distribute at least 90% of our taxable income to our shareholders in the form of dividends. The modest increase in taxable income resulting from the change in Section 162(m) will be taken into account as our Board determines the amount of dividend to be paid to our shareholders in tax years ending after December 31, 2017.</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discussions, the Compensation Committee recommended to the Board that the CD&amp;A be included in this Proxy Statement.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Submitted by:</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David W. Faeder, Chairman</w:t>
      </w:r>
    </w:p>
    <w:p>
      <w:pPr>
        <w:ind w:left="200"/>
        <w:spacing w:after="0" w:line="234" w:lineRule="auto"/>
        <w:rPr>
          <w:sz w:val="20"/>
          <w:szCs w:val="20"/>
          <w:color w:val="auto"/>
        </w:rPr>
      </w:pPr>
      <w:r>
        <w:rPr>
          <w:rFonts w:ascii="Arial" w:cs="Arial" w:eastAsia="Arial" w:hAnsi="Arial"/>
          <w:sz w:val="18"/>
          <w:szCs w:val="18"/>
          <w:color w:val="auto"/>
        </w:rPr>
        <w:t>Elizabeth I. Holland</w:t>
      </w:r>
    </w:p>
    <w:p>
      <w:pPr>
        <w:ind w:left="200"/>
        <w:spacing w:after="0" w:line="235" w:lineRule="auto"/>
        <w:rPr>
          <w:sz w:val="20"/>
          <w:szCs w:val="20"/>
          <w:color w:val="auto"/>
        </w:rPr>
      </w:pPr>
      <w:r>
        <w:rPr>
          <w:rFonts w:ascii="Arial" w:cs="Arial" w:eastAsia="Arial" w:hAnsi="Arial"/>
          <w:sz w:val="18"/>
          <w:szCs w:val="18"/>
          <w:color w:val="auto"/>
        </w:rPr>
        <w:t>Gail P. Steinel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Joseph S. Vassalluzzo</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The following table summarizes the total compensation earned by each of our NEOs for the fiscal years ended December 31, 2017, 2016 and 2015, in accordance with current SEC rules. The Summary Compensation Table below does not include the value of the Shares issued to our NEOs on February 7, 2018 for the performance period ending December 31, 2017. The value of those Shares will appear in next year’s proxy statement in the Grants of Plan-Based Awards Table as well as the “Stock Awards” column of the Summary Compensation Table.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3660" w:type="dxa"/>
            <w:vAlign w:val="bottom"/>
            <w:shd w:val="clear" w:color="auto" w:fill="1F2A44"/>
          </w:tcPr>
          <w:p>
            <w:pPr>
              <w:spacing w:after="0"/>
              <w:rPr>
                <w:sz w:val="20"/>
                <w:szCs w:val="20"/>
                <w:color w:val="auto"/>
              </w:rPr>
            </w:pPr>
          </w:p>
        </w:tc>
        <w:tc>
          <w:tcPr>
            <w:tcW w:w="140" w:type="dxa"/>
            <w:vAlign w:val="bottom"/>
            <w:shd w:val="clear" w:color="auto" w:fill="1F2A44"/>
          </w:tcPr>
          <w:p>
            <w:pPr>
              <w:spacing w:after="0"/>
              <w:rPr>
                <w:sz w:val="20"/>
                <w:szCs w:val="20"/>
                <w:color w:val="auto"/>
              </w:rPr>
            </w:pPr>
          </w:p>
        </w:tc>
        <w:tc>
          <w:tcPr>
            <w:tcW w:w="460" w:type="dxa"/>
            <w:vAlign w:val="bottom"/>
            <w:shd w:val="clear" w:color="auto" w:fill="1F2A44"/>
          </w:tcPr>
          <w:p>
            <w:pPr>
              <w:spacing w:after="0"/>
              <w:rPr>
                <w:sz w:val="20"/>
                <w:szCs w:val="20"/>
                <w:color w:val="auto"/>
              </w:rPr>
            </w:pPr>
          </w:p>
        </w:tc>
        <w:tc>
          <w:tcPr>
            <w:tcW w:w="180" w:type="dxa"/>
            <w:vAlign w:val="bottom"/>
            <w:shd w:val="clear" w:color="auto" w:fill="1F2A44"/>
          </w:tcPr>
          <w:p>
            <w:pPr>
              <w:spacing w:after="0"/>
              <w:rPr>
                <w:sz w:val="20"/>
                <w:szCs w:val="20"/>
                <w:color w:val="auto"/>
              </w:rPr>
            </w:pPr>
          </w:p>
        </w:tc>
        <w:tc>
          <w:tcPr>
            <w:tcW w:w="680" w:type="dxa"/>
            <w:vAlign w:val="bottom"/>
            <w:shd w:val="clear" w:color="auto" w:fill="1F2A44"/>
          </w:tcPr>
          <w:p>
            <w:pPr>
              <w:spacing w:after="0"/>
              <w:rPr>
                <w:sz w:val="20"/>
                <w:szCs w:val="20"/>
                <w:color w:val="auto"/>
              </w:rPr>
            </w:pPr>
          </w:p>
        </w:tc>
        <w:tc>
          <w:tcPr>
            <w:tcW w:w="200" w:type="dxa"/>
            <w:vAlign w:val="bottom"/>
            <w:shd w:val="clear" w:color="auto" w:fill="1F2A44"/>
          </w:tcPr>
          <w:p>
            <w:pPr>
              <w:spacing w:after="0"/>
              <w:rPr>
                <w:sz w:val="20"/>
                <w:szCs w:val="20"/>
                <w:color w:val="auto"/>
              </w:rPr>
            </w:pPr>
          </w:p>
        </w:tc>
        <w:tc>
          <w:tcPr>
            <w:tcW w:w="680" w:type="dxa"/>
            <w:vAlign w:val="bottom"/>
            <w:shd w:val="clear" w:color="auto" w:fill="1F2A44"/>
          </w:tcPr>
          <w:p>
            <w:pPr>
              <w:spacing w:after="0"/>
              <w:rPr>
                <w:sz w:val="20"/>
                <w:szCs w:val="20"/>
                <w:color w:val="auto"/>
              </w:rPr>
            </w:pPr>
          </w:p>
        </w:tc>
        <w:tc>
          <w:tcPr>
            <w:tcW w:w="200" w:type="dxa"/>
            <w:vAlign w:val="bottom"/>
            <w:shd w:val="clear" w:color="auto" w:fill="1F2A44"/>
          </w:tcPr>
          <w:p>
            <w:pPr>
              <w:spacing w:after="0"/>
              <w:rPr>
                <w:sz w:val="20"/>
                <w:szCs w:val="20"/>
                <w:color w:val="auto"/>
              </w:rPr>
            </w:pPr>
          </w:p>
        </w:tc>
        <w:tc>
          <w:tcPr>
            <w:tcW w:w="820" w:type="dxa"/>
            <w:vAlign w:val="bottom"/>
            <w:shd w:val="clear" w:color="auto" w:fill="1F2A44"/>
          </w:tcPr>
          <w:p>
            <w:pPr>
              <w:spacing w:after="0"/>
              <w:rPr>
                <w:sz w:val="20"/>
                <w:szCs w:val="20"/>
                <w:color w:val="auto"/>
              </w:rPr>
            </w:pPr>
          </w:p>
        </w:tc>
        <w:tc>
          <w:tcPr>
            <w:tcW w:w="200" w:type="dxa"/>
            <w:vAlign w:val="bottom"/>
            <w:shd w:val="clear" w:color="auto" w:fill="1F2A44"/>
          </w:tcPr>
          <w:p>
            <w:pPr>
              <w:spacing w:after="0"/>
              <w:rPr>
                <w:sz w:val="20"/>
                <w:szCs w:val="20"/>
                <w:color w:val="auto"/>
              </w:rPr>
            </w:pPr>
          </w:p>
        </w:tc>
        <w:tc>
          <w:tcPr>
            <w:tcW w:w="1280" w:type="dxa"/>
            <w:vAlign w:val="bottom"/>
            <w:shd w:val="clear" w:color="auto" w:fill="1F2A44"/>
          </w:tcPr>
          <w:p>
            <w:pPr>
              <w:jc w:val="right"/>
              <w:ind w:right="219"/>
              <w:spacing w:after="0"/>
              <w:rPr>
                <w:sz w:val="20"/>
                <w:szCs w:val="20"/>
                <w:color w:val="auto"/>
              </w:rPr>
            </w:pPr>
            <w:r>
              <w:rPr>
                <w:rFonts w:ascii="Arial" w:cs="Arial" w:eastAsia="Arial" w:hAnsi="Arial"/>
                <w:sz w:val="16"/>
                <w:szCs w:val="16"/>
                <w:b w:val="1"/>
                <w:bCs w:val="1"/>
                <w:color w:val="FFFFFF"/>
              </w:rPr>
              <w:t>Non-Equity</w:t>
            </w:r>
          </w:p>
        </w:tc>
        <w:tc>
          <w:tcPr>
            <w:tcW w:w="300" w:type="dxa"/>
            <w:vAlign w:val="bottom"/>
            <w:shd w:val="clear" w:color="auto" w:fill="1F2A44"/>
          </w:tcPr>
          <w:p>
            <w:pPr>
              <w:spacing w:after="0"/>
              <w:rPr>
                <w:sz w:val="20"/>
                <w:szCs w:val="20"/>
                <w:color w:val="auto"/>
              </w:rPr>
            </w:pPr>
          </w:p>
        </w:tc>
        <w:tc>
          <w:tcPr>
            <w:tcW w:w="1200" w:type="dxa"/>
            <w:vAlign w:val="bottom"/>
            <w:shd w:val="clear" w:color="auto" w:fill="1F2A44"/>
          </w:tcPr>
          <w:p>
            <w:pPr>
              <w:spacing w:after="0"/>
              <w:rPr>
                <w:sz w:val="20"/>
                <w:szCs w:val="20"/>
                <w:color w:val="auto"/>
              </w:rPr>
            </w:pPr>
          </w:p>
        </w:tc>
        <w:tc>
          <w:tcPr>
            <w:tcW w:w="180" w:type="dxa"/>
            <w:vAlign w:val="bottom"/>
            <w:shd w:val="clear" w:color="auto" w:fill="1F2A44"/>
          </w:tcPr>
          <w:p>
            <w:pPr>
              <w:spacing w:after="0"/>
              <w:rPr>
                <w:sz w:val="20"/>
                <w:szCs w:val="20"/>
                <w:color w:val="auto"/>
              </w:rPr>
            </w:pPr>
          </w:p>
        </w:tc>
        <w:tc>
          <w:tcPr>
            <w:tcW w:w="840" w:type="dxa"/>
            <w:vAlign w:val="bottom"/>
            <w:shd w:val="clear" w:color="auto" w:fill="1F2A44"/>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1F2A44"/>
          </w:tcPr>
          <w:p>
            <w:pPr>
              <w:spacing w:after="0"/>
              <w:rPr>
                <w:sz w:val="16"/>
                <w:szCs w:val="16"/>
                <w:color w:val="auto"/>
              </w:rPr>
            </w:pPr>
          </w:p>
        </w:tc>
        <w:tc>
          <w:tcPr>
            <w:tcW w:w="140" w:type="dxa"/>
            <w:vAlign w:val="bottom"/>
            <w:shd w:val="clear" w:color="auto" w:fill="1F2A44"/>
          </w:tcPr>
          <w:p>
            <w:pPr>
              <w:spacing w:after="0"/>
              <w:rPr>
                <w:sz w:val="16"/>
                <w:szCs w:val="16"/>
                <w:color w:val="auto"/>
              </w:rPr>
            </w:pPr>
          </w:p>
        </w:tc>
        <w:tc>
          <w:tcPr>
            <w:tcW w:w="460" w:type="dxa"/>
            <w:vAlign w:val="bottom"/>
            <w:shd w:val="clear" w:color="auto" w:fill="1F2A44"/>
          </w:tcPr>
          <w:p>
            <w:pPr>
              <w:spacing w:after="0"/>
              <w:rPr>
                <w:sz w:val="16"/>
                <w:szCs w:val="16"/>
                <w:color w:val="auto"/>
              </w:rPr>
            </w:pPr>
          </w:p>
        </w:tc>
        <w:tc>
          <w:tcPr>
            <w:tcW w:w="180" w:type="dxa"/>
            <w:vAlign w:val="bottom"/>
            <w:shd w:val="clear" w:color="auto" w:fill="1F2A44"/>
          </w:tcPr>
          <w:p>
            <w:pPr>
              <w:spacing w:after="0"/>
              <w:rPr>
                <w:sz w:val="16"/>
                <w:szCs w:val="16"/>
                <w:color w:val="auto"/>
              </w:rPr>
            </w:pPr>
          </w:p>
        </w:tc>
        <w:tc>
          <w:tcPr>
            <w:tcW w:w="680" w:type="dxa"/>
            <w:vAlign w:val="bottom"/>
            <w:shd w:val="clear" w:color="auto" w:fill="1F2A44"/>
          </w:tcPr>
          <w:p>
            <w:pPr>
              <w:spacing w:after="0"/>
              <w:rPr>
                <w:sz w:val="16"/>
                <w:szCs w:val="16"/>
                <w:color w:val="auto"/>
              </w:rPr>
            </w:pPr>
          </w:p>
        </w:tc>
        <w:tc>
          <w:tcPr>
            <w:tcW w:w="200" w:type="dxa"/>
            <w:vAlign w:val="bottom"/>
            <w:shd w:val="clear" w:color="auto" w:fill="1F2A44"/>
          </w:tcPr>
          <w:p>
            <w:pPr>
              <w:spacing w:after="0"/>
              <w:rPr>
                <w:sz w:val="16"/>
                <w:szCs w:val="16"/>
                <w:color w:val="auto"/>
              </w:rPr>
            </w:pPr>
          </w:p>
        </w:tc>
        <w:tc>
          <w:tcPr>
            <w:tcW w:w="680" w:type="dxa"/>
            <w:vAlign w:val="bottom"/>
            <w:shd w:val="clear" w:color="auto" w:fill="1F2A44"/>
          </w:tcPr>
          <w:p>
            <w:pPr>
              <w:spacing w:after="0"/>
              <w:rPr>
                <w:sz w:val="16"/>
                <w:szCs w:val="16"/>
                <w:color w:val="auto"/>
              </w:rPr>
            </w:pPr>
          </w:p>
        </w:tc>
        <w:tc>
          <w:tcPr>
            <w:tcW w:w="200" w:type="dxa"/>
            <w:vAlign w:val="bottom"/>
            <w:shd w:val="clear" w:color="auto" w:fill="1F2A44"/>
          </w:tcPr>
          <w:p>
            <w:pPr>
              <w:spacing w:after="0"/>
              <w:rPr>
                <w:sz w:val="16"/>
                <w:szCs w:val="16"/>
                <w:color w:val="auto"/>
              </w:rPr>
            </w:pPr>
          </w:p>
        </w:tc>
        <w:tc>
          <w:tcPr>
            <w:tcW w:w="820" w:type="dxa"/>
            <w:vAlign w:val="bottom"/>
            <w:shd w:val="clear" w:color="auto" w:fill="1F2A44"/>
          </w:tcPr>
          <w:p>
            <w:pPr>
              <w:jc w:val="right"/>
              <w:ind w:right="199"/>
              <w:spacing w:after="0"/>
              <w:rPr>
                <w:sz w:val="20"/>
                <w:szCs w:val="20"/>
                <w:color w:val="auto"/>
              </w:rPr>
            </w:pPr>
            <w:r>
              <w:rPr>
                <w:rFonts w:ascii="Arial" w:cs="Arial" w:eastAsia="Arial" w:hAnsi="Arial"/>
                <w:sz w:val="16"/>
                <w:szCs w:val="16"/>
                <w:b w:val="1"/>
                <w:bCs w:val="1"/>
                <w:color w:val="FFFFFF"/>
              </w:rPr>
              <w:t>Stock</w:t>
            </w:r>
          </w:p>
        </w:tc>
        <w:tc>
          <w:tcPr>
            <w:tcW w:w="200" w:type="dxa"/>
            <w:vAlign w:val="bottom"/>
            <w:shd w:val="clear" w:color="auto" w:fill="1F2A44"/>
          </w:tcPr>
          <w:p>
            <w:pPr>
              <w:spacing w:after="0"/>
              <w:rPr>
                <w:sz w:val="16"/>
                <w:szCs w:val="16"/>
                <w:color w:val="auto"/>
              </w:rPr>
            </w:pPr>
          </w:p>
        </w:tc>
        <w:tc>
          <w:tcPr>
            <w:tcW w:w="1280" w:type="dxa"/>
            <w:vAlign w:val="bottom"/>
            <w:shd w:val="clear" w:color="auto" w:fill="1F2A44"/>
          </w:tcPr>
          <w:p>
            <w:pPr>
              <w:jc w:val="right"/>
              <w:ind w:right="119"/>
              <w:spacing w:after="0"/>
              <w:rPr>
                <w:sz w:val="20"/>
                <w:szCs w:val="20"/>
                <w:color w:val="auto"/>
              </w:rPr>
            </w:pPr>
            <w:r>
              <w:rPr>
                <w:rFonts w:ascii="Arial" w:cs="Arial" w:eastAsia="Arial" w:hAnsi="Arial"/>
                <w:sz w:val="16"/>
                <w:szCs w:val="16"/>
                <w:b w:val="1"/>
                <w:bCs w:val="1"/>
                <w:color w:val="FFFFFF"/>
                <w:w w:val="98"/>
              </w:rPr>
              <w:t>Incentive Plan</w:t>
            </w:r>
          </w:p>
        </w:tc>
        <w:tc>
          <w:tcPr>
            <w:tcW w:w="300" w:type="dxa"/>
            <w:vAlign w:val="bottom"/>
            <w:shd w:val="clear" w:color="auto" w:fill="1F2A44"/>
          </w:tcPr>
          <w:p>
            <w:pPr>
              <w:spacing w:after="0"/>
              <w:rPr>
                <w:sz w:val="16"/>
                <w:szCs w:val="16"/>
                <w:color w:val="auto"/>
              </w:rPr>
            </w:pPr>
          </w:p>
        </w:tc>
        <w:tc>
          <w:tcPr>
            <w:tcW w:w="1200" w:type="dxa"/>
            <w:vAlign w:val="bottom"/>
            <w:shd w:val="clear" w:color="auto" w:fill="1F2A44"/>
          </w:tcPr>
          <w:p>
            <w:pPr>
              <w:jc w:val="right"/>
              <w:ind w:right="319"/>
              <w:spacing w:after="0"/>
              <w:rPr>
                <w:sz w:val="20"/>
                <w:szCs w:val="20"/>
                <w:color w:val="auto"/>
              </w:rPr>
            </w:pPr>
            <w:r>
              <w:rPr>
                <w:rFonts w:ascii="Arial" w:cs="Arial" w:eastAsia="Arial" w:hAnsi="Arial"/>
                <w:sz w:val="16"/>
                <w:szCs w:val="16"/>
                <w:b w:val="1"/>
                <w:bCs w:val="1"/>
                <w:color w:val="FFFFFF"/>
              </w:rPr>
              <w:t>All Other</w:t>
            </w:r>
          </w:p>
        </w:tc>
        <w:tc>
          <w:tcPr>
            <w:tcW w:w="180" w:type="dxa"/>
            <w:vAlign w:val="bottom"/>
            <w:shd w:val="clear" w:color="auto" w:fill="1F2A44"/>
          </w:tcPr>
          <w:p>
            <w:pPr>
              <w:spacing w:after="0"/>
              <w:rPr>
                <w:sz w:val="16"/>
                <w:szCs w:val="16"/>
                <w:color w:val="auto"/>
              </w:rPr>
            </w:pPr>
          </w:p>
        </w:tc>
        <w:tc>
          <w:tcPr>
            <w:tcW w:w="840" w:type="dxa"/>
            <w:vAlign w:val="bottom"/>
            <w:shd w:val="clear" w:color="auto" w:fill="1F2A44"/>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660" w:type="dxa"/>
            <w:vAlign w:val="bottom"/>
            <w:shd w:val="clear" w:color="auto" w:fill="1F2A44"/>
          </w:tcPr>
          <w:p>
            <w:pPr>
              <w:ind w:left="60"/>
              <w:spacing w:after="0"/>
              <w:rPr>
                <w:sz w:val="20"/>
                <w:szCs w:val="20"/>
                <w:color w:val="auto"/>
              </w:rPr>
            </w:pPr>
            <w:r>
              <w:rPr>
                <w:rFonts w:ascii="Arial" w:cs="Arial" w:eastAsia="Arial" w:hAnsi="Arial"/>
                <w:sz w:val="16"/>
                <w:szCs w:val="16"/>
                <w:b w:val="1"/>
                <w:bCs w:val="1"/>
                <w:color w:val="FFFFFF"/>
              </w:rPr>
              <w:t>Name and Principal Position</w:t>
            </w:r>
          </w:p>
        </w:tc>
        <w:tc>
          <w:tcPr>
            <w:tcW w:w="600" w:type="dxa"/>
            <w:vAlign w:val="bottom"/>
            <w:gridSpan w:val="2"/>
            <w:shd w:val="clear" w:color="auto" w:fill="1F2A44"/>
          </w:tcPr>
          <w:p>
            <w:pPr>
              <w:jc w:val="right"/>
              <w:ind w:right="59"/>
              <w:spacing w:after="0"/>
              <w:rPr>
                <w:sz w:val="20"/>
                <w:szCs w:val="20"/>
                <w:color w:val="auto"/>
              </w:rPr>
            </w:pPr>
            <w:r>
              <w:rPr>
                <w:rFonts w:ascii="Arial" w:cs="Arial" w:eastAsia="Arial" w:hAnsi="Arial"/>
                <w:sz w:val="16"/>
                <w:szCs w:val="16"/>
                <w:b w:val="1"/>
                <w:bCs w:val="1"/>
                <w:color w:val="FFFFFF"/>
              </w:rPr>
              <w:t>Year</w:t>
            </w:r>
          </w:p>
        </w:tc>
        <w:tc>
          <w:tcPr>
            <w:tcW w:w="860" w:type="dxa"/>
            <w:vAlign w:val="bottom"/>
            <w:gridSpan w:val="2"/>
            <w:shd w:val="clear" w:color="auto" w:fill="1F2A44"/>
          </w:tcPr>
          <w:p>
            <w:pPr>
              <w:ind w:left="100"/>
              <w:spacing w:after="0" w:line="235" w:lineRule="exact"/>
              <w:rPr>
                <w:sz w:val="20"/>
                <w:szCs w:val="20"/>
                <w:color w:val="auto"/>
              </w:rPr>
            </w:pPr>
            <w:r>
              <w:rPr>
                <w:rFonts w:ascii="Arial" w:cs="Arial" w:eastAsia="Arial" w:hAnsi="Arial"/>
                <w:sz w:val="16"/>
                <w:szCs w:val="16"/>
                <w:b w:val="1"/>
                <w:bCs w:val="1"/>
                <w:color w:val="FFFFFF"/>
              </w:rPr>
              <w:t>Salary</w:t>
            </w:r>
            <w:r>
              <w:rPr>
                <w:rFonts w:ascii="Arial" w:cs="Arial" w:eastAsia="Arial" w:hAnsi="Arial"/>
                <w:sz w:val="27"/>
                <w:szCs w:val="27"/>
                <w:b w:val="1"/>
                <w:bCs w:val="1"/>
                <w:color w:val="FFFFFF"/>
                <w:vertAlign w:val="superscript"/>
              </w:rPr>
              <w:t>(1)</w:t>
            </w:r>
          </w:p>
        </w:tc>
        <w:tc>
          <w:tcPr>
            <w:tcW w:w="200" w:type="dxa"/>
            <w:vAlign w:val="bottom"/>
            <w:shd w:val="clear" w:color="auto" w:fill="1F2A44"/>
          </w:tcPr>
          <w:p>
            <w:pPr>
              <w:spacing w:after="0"/>
              <w:rPr>
                <w:sz w:val="20"/>
                <w:szCs w:val="20"/>
                <w:color w:val="auto"/>
              </w:rPr>
            </w:pPr>
          </w:p>
        </w:tc>
        <w:tc>
          <w:tcPr>
            <w:tcW w:w="680" w:type="dxa"/>
            <w:vAlign w:val="bottom"/>
            <w:shd w:val="clear" w:color="auto" w:fill="1F2A44"/>
          </w:tcPr>
          <w:p>
            <w:pPr>
              <w:jc w:val="right"/>
              <w:ind w:right="99"/>
              <w:spacing w:after="0"/>
              <w:rPr>
                <w:sz w:val="20"/>
                <w:szCs w:val="20"/>
                <w:color w:val="auto"/>
              </w:rPr>
            </w:pPr>
            <w:r>
              <w:rPr>
                <w:rFonts w:ascii="Arial" w:cs="Arial" w:eastAsia="Arial" w:hAnsi="Arial"/>
                <w:sz w:val="16"/>
                <w:szCs w:val="16"/>
                <w:b w:val="1"/>
                <w:bCs w:val="1"/>
                <w:color w:val="FFFFFF"/>
                <w:w w:val="96"/>
              </w:rPr>
              <w:t>Bonus</w:t>
            </w:r>
          </w:p>
        </w:tc>
        <w:tc>
          <w:tcPr>
            <w:tcW w:w="1020" w:type="dxa"/>
            <w:vAlign w:val="bottom"/>
            <w:gridSpan w:val="2"/>
            <w:shd w:val="clear" w:color="auto" w:fill="1F2A44"/>
          </w:tcPr>
          <w:p>
            <w:pPr>
              <w:jc w:val="right"/>
              <w:ind w:right="59"/>
              <w:spacing w:after="0" w:line="235"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7"/>
                <w:szCs w:val="27"/>
                <w:b w:val="1"/>
                <w:bCs w:val="1"/>
                <w:color w:val="FFFFFF"/>
                <w:vertAlign w:val="superscript"/>
              </w:rPr>
              <w:t>(2)</w:t>
            </w:r>
          </w:p>
        </w:tc>
        <w:tc>
          <w:tcPr>
            <w:tcW w:w="1480" w:type="dxa"/>
            <w:vAlign w:val="bottom"/>
            <w:gridSpan w:val="2"/>
            <w:shd w:val="clear" w:color="auto" w:fill="1F2A44"/>
          </w:tcPr>
          <w:p>
            <w:pPr>
              <w:ind w:left="100"/>
              <w:spacing w:after="0" w:line="235" w:lineRule="exact"/>
              <w:rPr>
                <w:sz w:val="20"/>
                <w:szCs w:val="20"/>
                <w:color w:val="auto"/>
              </w:rPr>
            </w:pPr>
            <w:r>
              <w:rPr>
                <w:rFonts w:ascii="Arial" w:cs="Arial" w:eastAsia="Arial" w:hAnsi="Arial"/>
                <w:sz w:val="16"/>
                <w:szCs w:val="16"/>
                <w:b w:val="1"/>
                <w:bCs w:val="1"/>
                <w:color w:val="FFFFFF"/>
              </w:rPr>
              <w:t>Compensation</w:t>
            </w:r>
            <w:r>
              <w:rPr>
                <w:rFonts w:ascii="Arial" w:cs="Arial" w:eastAsia="Arial" w:hAnsi="Arial"/>
                <w:sz w:val="27"/>
                <w:szCs w:val="27"/>
                <w:b w:val="1"/>
                <w:bCs w:val="1"/>
                <w:color w:val="FFFFFF"/>
                <w:vertAlign w:val="superscript"/>
              </w:rPr>
              <w:t>(3)</w:t>
            </w:r>
          </w:p>
        </w:tc>
        <w:tc>
          <w:tcPr>
            <w:tcW w:w="1500" w:type="dxa"/>
            <w:vAlign w:val="bottom"/>
            <w:gridSpan w:val="2"/>
            <w:shd w:val="clear" w:color="auto" w:fill="1F2A44"/>
          </w:tcPr>
          <w:p>
            <w:pPr>
              <w:ind w:left="100"/>
              <w:spacing w:after="0" w:line="235" w:lineRule="exact"/>
              <w:rPr>
                <w:sz w:val="20"/>
                <w:szCs w:val="20"/>
                <w:color w:val="auto"/>
              </w:rPr>
            </w:pPr>
            <w:r>
              <w:rPr>
                <w:rFonts w:ascii="Arial" w:cs="Arial" w:eastAsia="Arial" w:hAnsi="Arial"/>
                <w:sz w:val="16"/>
                <w:szCs w:val="16"/>
                <w:b w:val="1"/>
                <w:bCs w:val="1"/>
                <w:color w:val="FFFFFF"/>
              </w:rPr>
              <w:t>Compensation</w:t>
            </w:r>
            <w:r>
              <w:rPr>
                <w:rFonts w:ascii="Arial" w:cs="Arial" w:eastAsia="Arial" w:hAnsi="Arial"/>
                <w:sz w:val="27"/>
                <w:szCs w:val="27"/>
                <w:b w:val="1"/>
                <w:bCs w:val="1"/>
                <w:color w:val="FFFFFF"/>
                <w:vertAlign w:val="superscript"/>
              </w:rPr>
              <w:t>(4)</w:t>
            </w:r>
          </w:p>
        </w:tc>
        <w:tc>
          <w:tcPr>
            <w:tcW w:w="180" w:type="dxa"/>
            <w:vAlign w:val="bottom"/>
            <w:shd w:val="clear" w:color="auto" w:fill="1F2A44"/>
          </w:tcPr>
          <w:p>
            <w:pPr>
              <w:spacing w:after="0"/>
              <w:rPr>
                <w:sz w:val="20"/>
                <w:szCs w:val="20"/>
                <w:color w:val="auto"/>
              </w:rPr>
            </w:pPr>
          </w:p>
        </w:tc>
        <w:tc>
          <w:tcPr>
            <w:tcW w:w="840" w:type="dxa"/>
            <w:vAlign w:val="bottom"/>
            <w:shd w:val="clear" w:color="auto" w:fill="1F2A44"/>
          </w:tcPr>
          <w:p>
            <w:pPr>
              <w:jc w:val="right"/>
              <w:ind w:right="2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8"/>
        </w:trPr>
        <w:tc>
          <w:tcPr>
            <w:tcW w:w="3660" w:type="dxa"/>
            <w:vAlign w:val="bottom"/>
          </w:tcPr>
          <w:p>
            <w:pPr>
              <w:ind w:left="60"/>
              <w:spacing w:after="0"/>
              <w:rPr>
                <w:sz w:val="20"/>
                <w:szCs w:val="20"/>
                <w:color w:val="auto"/>
              </w:rPr>
            </w:pPr>
            <w:r>
              <w:rPr>
                <w:rFonts w:ascii="Arial" w:cs="Arial" w:eastAsia="Arial" w:hAnsi="Arial"/>
                <w:sz w:val="16"/>
                <w:szCs w:val="16"/>
                <w:color w:val="auto"/>
              </w:rPr>
              <w:t>Donald C. Wood, President and Chief Executive</w:t>
            </w: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2017</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6,927,569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1,183,213</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9,077,782</w:t>
            </w:r>
          </w:p>
        </w:tc>
        <w:tc>
          <w:tcPr>
            <w:tcW w:w="0" w:type="dxa"/>
            <w:vAlign w:val="bottom"/>
          </w:tcPr>
          <w:p>
            <w:pPr>
              <w:spacing w:after="0"/>
              <w:rPr>
                <w:sz w:val="1"/>
                <w:szCs w:val="1"/>
                <w:color w:val="auto"/>
              </w:rPr>
            </w:pPr>
          </w:p>
        </w:tc>
      </w:tr>
      <w:tr>
        <w:trPr>
          <w:trHeight w:val="222"/>
        </w:trPr>
        <w:tc>
          <w:tcPr>
            <w:tcW w:w="3660" w:type="dxa"/>
            <w:vAlign w:val="bottom"/>
          </w:tcPr>
          <w:p>
            <w:pPr>
              <w:ind w:left="60"/>
              <w:spacing w:after="0"/>
              <w:rPr>
                <w:sz w:val="20"/>
                <w:szCs w:val="20"/>
                <w:color w:val="auto"/>
              </w:rPr>
            </w:pPr>
            <w:r>
              <w:rPr>
                <w:rFonts w:ascii="Arial" w:cs="Arial" w:eastAsia="Arial" w:hAnsi="Arial"/>
                <w:sz w:val="16"/>
                <w:szCs w:val="16"/>
                <w:color w:val="auto"/>
              </w:rPr>
              <w:t>Officer (PEO)</w:t>
            </w: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2016</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7,462,223</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1,068,750</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15,767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9,496,740</w:t>
            </w:r>
          </w:p>
        </w:tc>
        <w:tc>
          <w:tcPr>
            <w:tcW w:w="0" w:type="dxa"/>
            <w:vAlign w:val="bottom"/>
          </w:tcPr>
          <w:p>
            <w:pPr>
              <w:spacing w:after="0"/>
              <w:rPr>
                <w:sz w:val="1"/>
                <w:szCs w:val="1"/>
                <w:color w:val="auto"/>
              </w:rPr>
            </w:pPr>
          </w:p>
        </w:tc>
      </w:tr>
      <w:tr>
        <w:trPr>
          <w:trHeight w:val="226"/>
        </w:trPr>
        <w:tc>
          <w:tcPr>
            <w:tcW w:w="3660" w:type="dxa"/>
            <w:vAlign w:val="bottom"/>
          </w:tcPr>
          <w:p>
            <w:pPr>
              <w:spacing w:after="0"/>
              <w:rPr>
                <w:sz w:val="19"/>
                <w:szCs w:val="19"/>
                <w:color w:val="auto"/>
              </w:rPr>
            </w:pP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2015</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3,462,159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1,155,437</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15,435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5,483,031</w:t>
            </w:r>
          </w:p>
        </w:tc>
        <w:tc>
          <w:tcPr>
            <w:tcW w:w="0" w:type="dxa"/>
            <w:vAlign w:val="bottom"/>
          </w:tcPr>
          <w:p>
            <w:pPr>
              <w:spacing w:after="0"/>
              <w:rPr>
                <w:sz w:val="1"/>
                <w:szCs w:val="1"/>
                <w:color w:val="auto"/>
              </w:rPr>
            </w:pPr>
          </w:p>
        </w:tc>
      </w:tr>
      <w:tr>
        <w:trPr>
          <w:trHeight w:val="268"/>
        </w:trPr>
        <w:tc>
          <w:tcPr>
            <w:tcW w:w="3660" w:type="dxa"/>
            <w:vAlign w:val="bottom"/>
            <w:shd w:val="clear" w:color="auto" w:fill="D2D4D9"/>
          </w:tcPr>
          <w:p>
            <w:pPr>
              <w:ind w:left="60"/>
              <w:spacing w:after="0"/>
              <w:rPr>
                <w:sz w:val="20"/>
                <w:szCs w:val="20"/>
                <w:color w:val="auto"/>
              </w:rPr>
            </w:pPr>
            <w:r>
              <w:rPr>
                <w:rFonts w:ascii="Arial" w:cs="Arial" w:eastAsia="Arial" w:hAnsi="Arial"/>
                <w:sz w:val="16"/>
                <w:szCs w:val="16"/>
                <w:color w:val="auto"/>
              </w:rPr>
              <w:t>Daniel Guglielmone, Executive Vice</w:t>
            </w:r>
          </w:p>
        </w:tc>
        <w:tc>
          <w:tcPr>
            <w:tcW w:w="600" w:type="dxa"/>
            <w:vAlign w:val="bottom"/>
            <w:gridSpan w:val="2"/>
            <w:shd w:val="clear" w:color="auto" w:fill="D2D4D9"/>
          </w:tcPr>
          <w:p>
            <w:pPr>
              <w:jc w:val="right"/>
              <w:ind w:right="19"/>
              <w:spacing w:after="0"/>
              <w:rPr>
                <w:sz w:val="20"/>
                <w:szCs w:val="20"/>
                <w:color w:val="auto"/>
              </w:rPr>
            </w:pPr>
            <w:r>
              <w:rPr>
                <w:rFonts w:ascii="Arial" w:cs="Arial" w:eastAsia="Arial" w:hAnsi="Arial"/>
                <w:sz w:val="16"/>
                <w:szCs w:val="16"/>
                <w:color w:val="auto"/>
              </w:rPr>
              <w:t>2017</w:t>
            </w:r>
          </w:p>
        </w:tc>
        <w:tc>
          <w:tcPr>
            <w:tcW w:w="180" w:type="dxa"/>
            <w:vAlign w:val="bottom"/>
            <w:shd w:val="clear" w:color="auto" w:fill="D2D4D9"/>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475,000</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899,958</w:t>
            </w:r>
          </w:p>
        </w:tc>
        <w:tc>
          <w:tcPr>
            <w:tcW w:w="200" w:type="dxa"/>
            <w:vAlign w:val="bottom"/>
            <w:shd w:val="clear" w:color="auto" w:fill="D2D4D9"/>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394,404</w:t>
            </w:r>
          </w:p>
        </w:tc>
        <w:tc>
          <w:tcPr>
            <w:tcW w:w="300" w:type="dxa"/>
            <w:vAlign w:val="bottom"/>
            <w:shd w:val="clear" w:color="auto" w:fill="D2D4D9"/>
          </w:tcPr>
          <w:p>
            <w:pPr>
              <w:ind w:lef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38,701</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w w:val="98"/>
              </w:rPr>
              <w:t>2,058,064</w:t>
            </w:r>
          </w:p>
        </w:tc>
        <w:tc>
          <w:tcPr>
            <w:tcW w:w="0" w:type="dxa"/>
            <w:vAlign w:val="bottom"/>
          </w:tcPr>
          <w:p>
            <w:pPr>
              <w:spacing w:after="0"/>
              <w:rPr>
                <w:sz w:val="1"/>
                <w:szCs w:val="1"/>
                <w:color w:val="auto"/>
              </w:rPr>
            </w:pPr>
          </w:p>
        </w:tc>
      </w:tr>
      <w:tr>
        <w:trPr>
          <w:trHeight w:val="184"/>
        </w:trPr>
        <w:tc>
          <w:tcPr>
            <w:tcW w:w="3660" w:type="dxa"/>
            <w:vAlign w:val="bottom"/>
            <w:shd w:val="clear" w:color="auto" w:fill="D2D4D9"/>
          </w:tcPr>
          <w:p>
            <w:pPr>
              <w:ind w:left="60"/>
              <w:spacing w:after="0"/>
              <w:rPr>
                <w:sz w:val="20"/>
                <w:szCs w:val="20"/>
                <w:color w:val="auto"/>
              </w:rPr>
            </w:pPr>
            <w:r>
              <w:rPr>
                <w:rFonts w:ascii="Arial" w:cs="Arial" w:eastAsia="Arial" w:hAnsi="Arial"/>
                <w:sz w:val="16"/>
                <w:szCs w:val="16"/>
                <w:color w:val="auto"/>
              </w:rPr>
              <w:t>President-Chief</w:t>
            </w:r>
          </w:p>
        </w:tc>
        <w:tc>
          <w:tcPr>
            <w:tcW w:w="140" w:type="dxa"/>
            <w:vAlign w:val="bottom"/>
            <w:shd w:val="clear" w:color="auto" w:fill="D2D4D9"/>
          </w:tcPr>
          <w:p>
            <w:pPr>
              <w:spacing w:after="0"/>
              <w:rPr>
                <w:sz w:val="16"/>
                <w:szCs w:val="16"/>
                <w:color w:val="auto"/>
              </w:rPr>
            </w:pPr>
          </w:p>
        </w:tc>
        <w:tc>
          <w:tcPr>
            <w:tcW w:w="46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w w:val="95"/>
              </w:rPr>
              <w:t>2016</w:t>
            </w:r>
          </w:p>
        </w:tc>
        <w:tc>
          <w:tcPr>
            <w:tcW w:w="180" w:type="dxa"/>
            <w:vAlign w:val="bottom"/>
            <w:shd w:val="clear" w:color="auto" w:fill="D2D4D9"/>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164,423</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w w:val="98"/>
              </w:rPr>
              <w:t>1,500,080</w:t>
            </w:r>
          </w:p>
        </w:tc>
        <w:tc>
          <w:tcPr>
            <w:tcW w:w="200" w:type="dxa"/>
            <w:vAlign w:val="bottom"/>
            <w:shd w:val="clear" w:color="auto" w:fill="D2D4D9"/>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337,500</w:t>
            </w:r>
          </w:p>
        </w:tc>
        <w:tc>
          <w:tcPr>
            <w:tcW w:w="300" w:type="dxa"/>
            <w:vAlign w:val="bottom"/>
            <w:shd w:val="clear" w:color="auto" w:fill="D2D4D9"/>
          </w:tcPr>
          <w:p>
            <w:pPr>
              <w:ind w:lef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20,802</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w w:val="98"/>
              </w:rPr>
              <w:t>2,022,805</w:t>
            </w:r>
          </w:p>
        </w:tc>
        <w:tc>
          <w:tcPr>
            <w:tcW w:w="0" w:type="dxa"/>
            <w:vAlign w:val="bottom"/>
          </w:tcPr>
          <w:p>
            <w:pPr>
              <w:spacing w:after="0"/>
              <w:rPr>
                <w:sz w:val="1"/>
                <w:szCs w:val="1"/>
                <w:color w:val="auto"/>
              </w:rPr>
            </w:pPr>
          </w:p>
        </w:tc>
      </w:tr>
      <w:tr>
        <w:trPr>
          <w:trHeight w:val="206"/>
        </w:trPr>
        <w:tc>
          <w:tcPr>
            <w:tcW w:w="3660" w:type="dxa"/>
            <w:vAlign w:val="bottom"/>
            <w:shd w:val="clear" w:color="auto" w:fill="D2D4D9"/>
          </w:tcPr>
          <w:p>
            <w:pPr>
              <w:ind w:left="60"/>
              <w:spacing w:after="0" w:line="205" w:lineRule="exact"/>
              <w:rPr>
                <w:sz w:val="20"/>
                <w:szCs w:val="20"/>
                <w:color w:val="auto"/>
              </w:rPr>
            </w:pPr>
            <w:r>
              <w:rPr>
                <w:rFonts w:ascii="Arial" w:cs="Arial" w:eastAsia="Arial" w:hAnsi="Arial"/>
                <w:sz w:val="14"/>
                <w:szCs w:val="14"/>
                <w:color w:val="auto"/>
              </w:rPr>
              <w:t>Financial Officer and Treasurer (PFO)</w:t>
            </w:r>
            <w:r>
              <w:rPr>
                <w:rFonts w:ascii="Arial" w:cs="Arial" w:eastAsia="Arial" w:hAnsi="Arial"/>
                <w:sz w:val="23"/>
                <w:szCs w:val="23"/>
                <w:color w:val="auto"/>
                <w:vertAlign w:val="superscript"/>
              </w:rPr>
              <w:t>(5)</w:t>
            </w:r>
          </w:p>
        </w:tc>
        <w:tc>
          <w:tcPr>
            <w:tcW w:w="140" w:type="dxa"/>
            <w:vAlign w:val="bottom"/>
            <w:shd w:val="clear" w:color="auto" w:fill="D2D4D9"/>
          </w:tcPr>
          <w:p>
            <w:pPr>
              <w:spacing w:after="0"/>
              <w:rPr>
                <w:sz w:val="17"/>
                <w:szCs w:val="17"/>
                <w:color w:val="auto"/>
              </w:rPr>
            </w:pPr>
          </w:p>
        </w:tc>
        <w:tc>
          <w:tcPr>
            <w:tcW w:w="460" w:type="dxa"/>
            <w:vAlign w:val="bottom"/>
            <w:vMerge w:val="restart"/>
            <w:shd w:val="clear" w:color="auto" w:fill="D2D4D9"/>
          </w:tcPr>
          <w:p>
            <w:pPr>
              <w:jc w:val="right"/>
              <w:ind w:right="19"/>
              <w:spacing w:after="0"/>
              <w:rPr>
                <w:sz w:val="20"/>
                <w:szCs w:val="20"/>
                <w:color w:val="auto"/>
              </w:rPr>
            </w:pPr>
            <w:r>
              <w:rPr>
                <w:rFonts w:ascii="Arial" w:cs="Arial" w:eastAsia="Arial" w:hAnsi="Arial"/>
                <w:sz w:val="16"/>
                <w:szCs w:val="16"/>
                <w:color w:val="auto"/>
                <w:w w:val="95"/>
              </w:rPr>
              <w:t>2015</w:t>
            </w:r>
          </w:p>
        </w:tc>
        <w:tc>
          <w:tcPr>
            <w:tcW w:w="180" w:type="dxa"/>
            <w:vAlign w:val="bottom"/>
            <w:vMerge w:val="restart"/>
            <w:shd w:val="clear" w:color="auto" w:fill="D2D4D9"/>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D2D4D9"/>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D2D4D9"/>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D2D4D9"/>
          </w:tcPr>
          <w:p>
            <w:pPr>
              <w:ind w:left="10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D2D4D9"/>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D2D4D9"/>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3660" w:type="dxa"/>
            <w:vAlign w:val="bottom"/>
            <w:shd w:val="clear" w:color="auto" w:fill="D2D4D9"/>
          </w:tcPr>
          <w:p>
            <w:pPr>
              <w:spacing w:after="0"/>
              <w:rPr>
                <w:sz w:val="5"/>
                <w:szCs w:val="5"/>
                <w:color w:val="auto"/>
              </w:rPr>
            </w:pPr>
          </w:p>
        </w:tc>
        <w:tc>
          <w:tcPr>
            <w:tcW w:w="140" w:type="dxa"/>
            <w:vAlign w:val="bottom"/>
            <w:shd w:val="clear" w:color="auto" w:fill="D2D4D9"/>
          </w:tcPr>
          <w:p>
            <w:pPr>
              <w:spacing w:after="0"/>
              <w:rPr>
                <w:sz w:val="5"/>
                <w:szCs w:val="5"/>
                <w:color w:val="auto"/>
              </w:rPr>
            </w:pPr>
          </w:p>
        </w:tc>
        <w:tc>
          <w:tcPr>
            <w:tcW w:w="460" w:type="dxa"/>
            <w:vAlign w:val="bottom"/>
            <w:vMerge w:val="continue"/>
            <w:shd w:val="clear" w:color="auto" w:fill="D2D4D9"/>
          </w:tcPr>
          <w:p>
            <w:pPr>
              <w:spacing w:after="0"/>
              <w:rPr>
                <w:sz w:val="5"/>
                <w:szCs w:val="5"/>
                <w:color w:val="auto"/>
              </w:rPr>
            </w:pPr>
          </w:p>
        </w:tc>
        <w:tc>
          <w:tcPr>
            <w:tcW w:w="180" w:type="dxa"/>
            <w:vAlign w:val="bottom"/>
            <w:vMerge w:val="continue"/>
            <w:shd w:val="clear" w:color="auto" w:fill="D2D4D9"/>
          </w:tcPr>
          <w:p>
            <w:pPr>
              <w:spacing w:after="0"/>
              <w:rPr>
                <w:sz w:val="5"/>
                <w:szCs w:val="5"/>
                <w:color w:val="auto"/>
              </w:rPr>
            </w:pPr>
          </w:p>
        </w:tc>
        <w:tc>
          <w:tcPr>
            <w:tcW w:w="680" w:type="dxa"/>
            <w:vAlign w:val="bottom"/>
            <w:vMerge w:val="continue"/>
            <w:shd w:val="clear" w:color="auto" w:fill="D2D4D9"/>
          </w:tcPr>
          <w:p>
            <w:pPr>
              <w:spacing w:after="0"/>
              <w:rPr>
                <w:sz w:val="5"/>
                <w:szCs w:val="5"/>
                <w:color w:val="auto"/>
              </w:rPr>
            </w:pPr>
          </w:p>
        </w:tc>
        <w:tc>
          <w:tcPr>
            <w:tcW w:w="200" w:type="dxa"/>
            <w:vAlign w:val="bottom"/>
            <w:vMerge w:val="continue"/>
            <w:shd w:val="clear" w:color="auto" w:fill="D2D4D9"/>
          </w:tcPr>
          <w:p>
            <w:pPr>
              <w:spacing w:after="0"/>
              <w:rPr>
                <w:sz w:val="5"/>
                <w:szCs w:val="5"/>
                <w:color w:val="auto"/>
              </w:rPr>
            </w:pPr>
          </w:p>
        </w:tc>
        <w:tc>
          <w:tcPr>
            <w:tcW w:w="680" w:type="dxa"/>
            <w:vAlign w:val="bottom"/>
            <w:vMerge w:val="continue"/>
            <w:shd w:val="clear" w:color="auto" w:fill="D2D4D9"/>
          </w:tcPr>
          <w:p>
            <w:pPr>
              <w:spacing w:after="0"/>
              <w:rPr>
                <w:sz w:val="5"/>
                <w:szCs w:val="5"/>
                <w:color w:val="auto"/>
              </w:rPr>
            </w:pPr>
          </w:p>
        </w:tc>
        <w:tc>
          <w:tcPr>
            <w:tcW w:w="200" w:type="dxa"/>
            <w:vAlign w:val="bottom"/>
            <w:vMerge w:val="continue"/>
            <w:shd w:val="clear" w:color="auto" w:fill="D2D4D9"/>
          </w:tcPr>
          <w:p>
            <w:pPr>
              <w:spacing w:after="0"/>
              <w:rPr>
                <w:sz w:val="5"/>
                <w:szCs w:val="5"/>
                <w:color w:val="auto"/>
              </w:rPr>
            </w:pPr>
          </w:p>
        </w:tc>
        <w:tc>
          <w:tcPr>
            <w:tcW w:w="820" w:type="dxa"/>
            <w:vAlign w:val="bottom"/>
            <w:vMerge w:val="continue"/>
            <w:shd w:val="clear" w:color="auto" w:fill="D2D4D9"/>
          </w:tcPr>
          <w:p>
            <w:pPr>
              <w:spacing w:after="0"/>
              <w:rPr>
                <w:sz w:val="5"/>
                <w:szCs w:val="5"/>
                <w:color w:val="auto"/>
              </w:rPr>
            </w:pPr>
          </w:p>
        </w:tc>
        <w:tc>
          <w:tcPr>
            <w:tcW w:w="200" w:type="dxa"/>
            <w:vAlign w:val="bottom"/>
            <w:vMerge w:val="continue"/>
            <w:shd w:val="clear" w:color="auto" w:fill="D2D4D9"/>
          </w:tcPr>
          <w:p>
            <w:pPr>
              <w:spacing w:after="0"/>
              <w:rPr>
                <w:sz w:val="5"/>
                <w:szCs w:val="5"/>
                <w:color w:val="auto"/>
              </w:rPr>
            </w:pPr>
          </w:p>
        </w:tc>
        <w:tc>
          <w:tcPr>
            <w:tcW w:w="1280" w:type="dxa"/>
            <w:vAlign w:val="bottom"/>
            <w:vMerge w:val="continue"/>
            <w:shd w:val="clear" w:color="auto" w:fill="D2D4D9"/>
          </w:tcPr>
          <w:p>
            <w:pPr>
              <w:spacing w:after="0"/>
              <w:rPr>
                <w:sz w:val="5"/>
                <w:szCs w:val="5"/>
                <w:color w:val="auto"/>
              </w:rPr>
            </w:pPr>
          </w:p>
        </w:tc>
        <w:tc>
          <w:tcPr>
            <w:tcW w:w="300" w:type="dxa"/>
            <w:vAlign w:val="bottom"/>
            <w:vMerge w:val="continue"/>
            <w:shd w:val="clear" w:color="auto" w:fill="D2D4D9"/>
          </w:tcPr>
          <w:p>
            <w:pPr>
              <w:spacing w:after="0"/>
              <w:rPr>
                <w:sz w:val="5"/>
                <w:szCs w:val="5"/>
                <w:color w:val="auto"/>
              </w:rPr>
            </w:pPr>
          </w:p>
        </w:tc>
        <w:tc>
          <w:tcPr>
            <w:tcW w:w="1200" w:type="dxa"/>
            <w:vAlign w:val="bottom"/>
            <w:vMerge w:val="continue"/>
            <w:shd w:val="clear" w:color="auto" w:fill="D2D4D9"/>
          </w:tcPr>
          <w:p>
            <w:pPr>
              <w:spacing w:after="0"/>
              <w:rPr>
                <w:sz w:val="5"/>
                <w:szCs w:val="5"/>
                <w:color w:val="auto"/>
              </w:rPr>
            </w:pPr>
          </w:p>
        </w:tc>
        <w:tc>
          <w:tcPr>
            <w:tcW w:w="180" w:type="dxa"/>
            <w:vAlign w:val="bottom"/>
            <w:vMerge w:val="continue"/>
            <w:shd w:val="clear" w:color="auto" w:fill="D2D4D9"/>
          </w:tcPr>
          <w:p>
            <w:pPr>
              <w:spacing w:after="0"/>
              <w:rPr>
                <w:sz w:val="5"/>
                <w:szCs w:val="5"/>
                <w:color w:val="auto"/>
              </w:rPr>
            </w:pPr>
          </w:p>
        </w:tc>
        <w:tc>
          <w:tcPr>
            <w:tcW w:w="840" w:type="dxa"/>
            <w:vAlign w:val="bottom"/>
            <w:vMerge w:val="continue"/>
            <w:shd w:val="clear" w:color="auto" w:fill="D2D4D9"/>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660" w:type="dxa"/>
            <w:vAlign w:val="bottom"/>
          </w:tcPr>
          <w:p>
            <w:pPr>
              <w:ind w:left="60"/>
              <w:spacing w:after="0"/>
              <w:rPr>
                <w:sz w:val="20"/>
                <w:szCs w:val="20"/>
                <w:color w:val="auto"/>
              </w:rPr>
            </w:pPr>
            <w:r>
              <w:rPr>
                <w:rFonts w:ascii="Arial" w:cs="Arial" w:eastAsia="Arial" w:hAnsi="Arial"/>
                <w:sz w:val="16"/>
                <w:szCs w:val="16"/>
                <w:color w:val="auto"/>
              </w:rPr>
              <w:t>Dawn M. Becker, Executive Vice</w:t>
            </w: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2017</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979,017</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373,646</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11,073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1,813,737</w:t>
            </w:r>
          </w:p>
        </w:tc>
        <w:tc>
          <w:tcPr>
            <w:tcW w:w="0" w:type="dxa"/>
            <w:vAlign w:val="bottom"/>
          </w:tcPr>
          <w:p>
            <w:pPr>
              <w:spacing w:after="0"/>
              <w:rPr>
                <w:sz w:val="1"/>
                <w:szCs w:val="1"/>
                <w:color w:val="auto"/>
              </w:rPr>
            </w:pPr>
          </w:p>
        </w:tc>
      </w:tr>
      <w:tr>
        <w:trPr>
          <w:trHeight w:val="189"/>
        </w:trPr>
        <w:tc>
          <w:tcPr>
            <w:tcW w:w="3660" w:type="dxa"/>
            <w:vAlign w:val="bottom"/>
          </w:tcPr>
          <w:p>
            <w:pPr>
              <w:ind w:left="60"/>
              <w:spacing w:after="0"/>
              <w:rPr>
                <w:sz w:val="20"/>
                <w:szCs w:val="20"/>
                <w:color w:val="auto"/>
              </w:rPr>
            </w:pPr>
            <w:r>
              <w:rPr>
                <w:rFonts w:ascii="Arial" w:cs="Arial" w:eastAsia="Arial" w:hAnsi="Arial"/>
                <w:sz w:val="16"/>
                <w:szCs w:val="16"/>
                <w:color w:val="auto"/>
              </w:rPr>
              <w:t>President-General</w:t>
            </w: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2016</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798,719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253,125</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1,512,151</w:t>
            </w:r>
          </w:p>
        </w:tc>
        <w:tc>
          <w:tcPr>
            <w:tcW w:w="0" w:type="dxa"/>
            <w:vAlign w:val="bottom"/>
          </w:tcPr>
          <w:p>
            <w:pPr>
              <w:spacing w:after="0"/>
              <w:rPr>
                <w:sz w:val="1"/>
                <w:szCs w:val="1"/>
                <w:color w:val="auto"/>
              </w:rPr>
            </w:pPr>
          </w:p>
        </w:tc>
      </w:tr>
      <w:tr>
        <w:trPr>
          <w:trHeight w:val="195"/>
        </w:trPr>
        <w:tc>
          <w:tcPr>
            <w:tcW w:w="3660" w:type="dxa"/>
            <w:vAlign w:val="bottom"/>
          </w:tcPr>
          <w:p>
            <w:pPr>
              <w:ind w:left="60"/>
              <w:spacing w:after="0"/>
              <w:rPr>
                <w:sz w:val="20"/>
                <w:szCs w:val="20"/>
                <w:color w:val="auto"/>
              </w:rPr>
            </w:pPr>
            <w:r>
              <w:rPr>
                <w:rFonts w:ascii="Arial" w:cs="Arial" w:eastAsia="Arial" w:hAnsi="Arial"/>
                <w:sz w:val="16"/>
                <w:szCs w:val="16"/>
                <w:color w:val="auto"/>
              </w:rPr>
              <w:t>Counsel and Secretary</w:t>
            </w:r>
          </w:p>
        </w:tc>
        <w:tc>
          <w:tcPr>
            <w:tcW w:w="60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2015</w:t>
            </w:r>
          </w:p>
        </w:tc>
        <w:tc>
          <w:tcPr>
            <w:tcW w:w="180" w:type="dxa"/>
            <w:vAlign w:val="bottom"/>
            <w:vMerge w:val="restart"/>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450,000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565,500</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407,801</w:t>
            </w:r>
          </w:p>
        </w:tc>
        <w:tc>
          <w:tcPr>
            <w:tcW w:w="3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10,384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w w:val="98"/>
              </w:rPr>
              <w:t>1,433,685</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4" w:lineRule="exact"/>
        <w:rPr>
          <w:sz w:val="20"/>
          <w:szCs w:val="20"/>
          <w:color w:val="auto"/>
        </w:rPr>
      </w:pPr>
    </w:p>
    <w:p>
      <w:pPr>
        <w:ind w:left="640" w:right="20" w:hanging="436"/>
        <w:spacing w:after="0" w:line="23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NEOs into our non-qualified deferred compensation plan.</w:t>
      </w:r>
    </w:p>
    <w:p>
      <w:pPr>
        <w:spacing w:after="0" w:line="1"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in the Stock Awards column reflect the aggregate grant date fair value of the awards calculated in accordance with FASB ASC Topic 718 for the fiscal years ended December 31, 2017, 2016 and 2015. For a discussion of the valuation of these awards, please refer to Note 12 in the notes to our consolidated financial statements in our Annual Report on Form 10-K filed on February 13, 2018.</w:t>
      </w:r>
    </w:p>
    <w:p>
      <w:pPr>
        <w:spacing w:after="0" w:line="3"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in this column represent only the cash portion paid under our Annual Bonus Plan and include amounts deferred by our NEOs into our non-qualified deferred compensation plan. Mr. Wood received 75% of his Annual Bonus in cash for each of 2017, 2016 and 2015. Ms. Becker received 100% of her bonus in cash for 2017 and 2015 and 75% in cash for 2016. Mr. Guglielmone received 100% of his Annual Bonus in cash for 2017 and 2016. The remaining amounts earned under the Annual Bonus Plan in 2017, 2016 and 2015 were paid in Shares in an amount equal to 120% of the cash value in consideration of a 3-year vesting schedule.</w:t>
      </w:r>
    </w:p>
    <w:p>
      <w:pPr>
        <w:spacing w:after="0" w:line="4"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(a) payments for group term life insurance, long-term disability insurance and supplement life insurance of $10,250 for Mr. Wood, $2,932 for Mr. Guglielmone and $3,324 for Ms. Becker;</w:t>
      </w:r>
    </w:p>
    <w:p>
      <w:pPr>
        <w:spacing w:after="0" w:line="1" w:lineRule="exact"/>
        <w:rPr>
          <w:rFonts w:ascii="Arial" w:cs="Arial" w:eastAsia="Arial" w:hAnsi="Arial"/>
          <w:sz w:val="18"/>
          <w:szCs w:val="18"/>
          <w:color w:val="auto"/>
        </w:rPr>
      </w:pPr>
    </w:p>
    <w:p>
      <w:pPr>
        <w:ind w:left="640" w:right="20" w:hanging="4"/>
        <w:spacing w:after="0" w:line="234" w:lineRule="auto"/>
        <w:tabs>
          <w:tab w:leader="none" w:pos="926"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contributions to our 401(k) plan of $6,750 for each of our NEOs; and (c) for Mr. Guglielmone, $29,019 as the rental value of a temporary apartment we provided to him for one year as part of his initial hiring compensation package.</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bonus is a portion of the cash hiring bonus agreed to as part of Mr. Guglielmone’s initial hiring compensation package.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following Share awards were made in 2017, all of which were earned based on the 1-year or 3-year performance period ending December 31, 2016. Awards made in 2018 to the NEOs under our Annual Bonus Plan and long-term incentive plan for the 1-year and 3-year performance periods ending December 31, 2017 will be reported in the Grants of Plan-Based Awards Table in next year’s proxy statement.</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460" w:type="dxa"/>
            <w:vAlign w:val="bottom"/>
            <w:shd w:val="clear" w:color="auto" w:fill="1F2A44"/>
          </w:tcPr>
          <w:p>
            <w:pPr>
              <w:spacing w:after="0"/>
              <w:rPr>
                <w:sz w:val="14"/>
                <w:szCs w:val="14"/>
                <w:color w:val="auto"/>
              </w:rPr>
            </w:pPr>
          </w:p>
        </w:tc>
        <w:tc>
          <w:tcPr>
            <w:tcW w:w="3200" w:type="dxa"/>
            <w:vAlign w:val="bottom"/>
            <w:shd w:val="clear" w:color="auto" w:fill="1F2A44"/>
          </w:tcPr>
          <w:p>
            <w:pPr>
              <w:spacing w:after="0"/>
              <w:rPr>
                <w:sz w:val="14"/>
                <w:szCs w:val="14"/>
                <w:color w:val="auto"/>
              </w:rPr>
            </w:pPr>
          </w:p>
        </w:tc>
        <w:tc>
          <w:tcPr>
            <w:tcW w:w="2540" w:type="dxa"/>
            <w:vAlign w:val="bottom"/>
            <w:shd w:val="clear" w:color="auto" w:fill="1F2A44"/>
          </w:tcPr>
          <w:p>
            <w:pPr>
              <w:jc w:val="center"/>
              <w:ind w:right="148"/>
              <w:spacing w:after="0"/>
              <w:rPr>
                <w:sz w:val="20"/>
                <w:szCs w:val="20"/>
                <w:color w:val="auto"/>
              </w:rPr>
            </w:pPr>
            <w:r>
              <w:rPr>
                <w:rFonts w:ascii="Arial" w:cs="Arial" w:eastAsia="Arial" w:hAnsi="Arial"/>
                <w:sz w:val="14"/>
                <w:szCs w:val="14"/>
                <w:b w:val="1"/>
                <w:bCs w:val="1"/>
                <w:color w:val="FFFFFF"/>
              </w:rPr>
              <w:t>All Other Stock Awards:</w:t>
            </w:r>
          </w:p>
        </w:tc>
        <w:tc>
          <w:tcPr>
            <w:tcW w:w="700" w:type="dxa"/>
            <w:vAlign w:val="bottom"/>
            <w:shd w:val="clear" w:color="auto" w:fill="1F2A44"/>
          </w:tcPr>
          <w:p>
            <w:pPr>
              <w:spacing w:after="0"/>
              <w:rPr>
                <w:sz w:val="14"/>
                <w:szCs w:val="14"/>
                <w:color w:val="auto"/>
              </w:rPr>
            </w:pPr>
          </w:p>
        </w:tc>
        <w:tc>
          <w:tcPr>
            <w:tcW w:w="1120" w:type="dxa"/>
            <w:vAlign w:val="bottom"/>
            <w:shd w:val="clear" w:color="auto" w:fill="1F2A44"/>
          </w:tcPr>
          <w:p>
            <w:pPr>
              <w:spacing w:after="0"/>
              <w:rPr>
                <w:sz w:val="14"/>
                <w:szCs w:val="14"/>
                <w:color w:val="auto"/>
              </w:rPr>
            </w:pPr>
          </w:p>
        </w:tc>
      </w:tr>
      <w:tr>
        <w:trPr>
          <w:trHeight w:val="159"/>
        </w:trPr>
        <w:tc>
          <w:tcPr>
            <w:tcW w:w="3460" w:type="dxa"/>
            <w:vAlign w:val="bottom"/>
            <w:shd w:val="clear" w:color="auto" w:fill="1F2A44"/>
          </w:tcPr>
          <w:p>
            <w:pPr>
              <w:spacing w:after="0"/>
              <w:rPr>
                <w:sz w:val="13"/>
                <w:szCs w:val="13"/>
                <w:color w:val="auto"/>
              </w:rPr>
            </w:pPr>
          </w:p>
        </w:tc>
        <w:tc>
          <w:tcPr>
            <w:tcW w:w="3200" w:type="dxa"/>
            <w:vAlign w:val="bottom"/>
            <w:shd w:val="clear" w:color="auto" w:fill="1F2A44"/>
          </w:tcPr>
          <w:p>
            <w:pPr>
              <w:jc w:val="right"/>
              <w:ind w:right="448"/>
              <w:spacing w:after="0" w:line="159" w:lineRule="exact"/>
              <w:rPr>
                <w:sz w:val="20"/>
                <w:szCs w:val="20"/>
                <w:color w:val="auto"/>
              </w:rPr>
            </w:pPr>
            <w:r>
              <w:rPr>
                <w:rFonts w:ascii="Arial" w:cs="Arial" w:eastAsia="Arial" w:hAnsi="Arial"/>
                <w:sz w:val="14"/>
                <w:szCs w:val="14"/>
                <w:b w:val="1"/>
                <w:bCs w:val="1"/>
                <w:color w:val="FFFFFF"/>
              </w:rPr>
              <w:t>Grant</w:t>
            </w:r>
          </w:p>
        </w:tc>
        <w:tc>
          <w:tcPr>
            <w:tcW w:w="2540" w:type="dxa"/>
            <w:vAlign w:val="bottom"/>
            <w:shd w:val="clear" w:color="auto" w:fill="1F2A44"/>
          </w:tcPr>
          <w:p>
            <w:pPr>
              <w:jc w:val="center"/>
              <w:ind w:right="168"/>
              <w:spacing w:after="0" w:line="159" w:lineRule="exact"/>
              <w:rPr>
                <w:sz w:val="20"/>
                <w:szCs w:val="20"/>
                <w:color w:val="auto"/>
              </w:rPr>
            </w:pPr>
            <w:r>
              <w:rPr>
                <w:rFonts w:ascii="Arial" w:cs="Arial" w:eastAsia="Arial" w:hAnsi="Arial"/>
                <w:sz w:val="14"/>
                <w:szCs w:val="14"/>
                <w:b w:val="1"/>
                <w:bCs w:val="1"/>
                <w:color w:val="FFFFFF"/>
              </w:rPr>
              <w:t>Number of Shares of</w:t>
            </w:r>
          </w:p>
        </w:tc>
        <w:tc>
          <w:tcPr>
            <w:tcW w:w="1820" w:type="dxa"/>
            <w:vAlign w:val="bottom"/>
            <w:gridSpan w:val="2"/>
            <w:shd w:val="clear" w:color="auto" w:fill="1F2A44"/>
          </w:tcPr>
          <w:p>
            <w:pPr>
              <w:ind w:left="620"/>
              <w:spacing w:after="0" w:line="159" w:lineRule="exact"/>
              <w:rPr>
                <w:sz w:val="20"/>
                <w:szCs w:val="20"/>
                <w:color w:val="auto"/>
              </w:rPr>
            </w:pPr>
            <w:r>
              <w:rPr>
                <w:rFonts w:ascii="Arial" w:cs="Arial" w:eastAsia="Arial" w:hAnsi="Arial"/>
                <w:sz w:val="14"/>
                <w:szCs w:val="14"/>
                <w:b w:val="1"/>
                <w:bCs w:val="1"/>
                <w:color w:val="FFFFFF"/>
              </w:rPr>
              <w:t>Grant Date</w:t>
            </w:r>
          </w:p>
        </w:tc>
      </w:tr>
      <w:tr>
        <w:trPr>
          <w:trHeight w:val="206"/>
        </w:trPr>
        <w:tc>
          <w:tcPr>
            <w:tcW w:w="346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3200" w:type="dxa"/>
            <w:vAlign w:val="bottom"/>
            <w:shd w:val="clear" w:color="auto" w:fill="1F2A44"/>
          </w:tcPr>
          <w:p>
            <w:pPr>
              <w:jc w:val="right"/>
              <w:ind w:right="488"/>
              <w:spacing w:after="0"/>
              <w:rPr>
                <w:sz w:val="20"/>
                <w:szCs w:val="20"/>
                <w:color w:val="auto"/>
              </w:rPr>
            </w:pPr>
            <w:r>
              <w:rPr>
                <w:rFonts w:ascii="Arial" w:cs="Arial" w:eastAsia="Arial" w:hAnsi="Arial"/>
                <w:sz w:val="14"/>
                <w:szCs w:val="14"/>
                <w:b w:val="1"/>
                <w:bCs w:val="1"/>
                <w:color w:val="FFFFFF"/>
              </w:rPr>
              <w:t>Date</w:t>
            </w:r>
          </w:p>
        </w:tc>
        <w:tc>
          <w:tcPr>
            <w:tcW w:w="2540" w:type="dxa"/>
            <w:vAlign w:val="bottom"/>
            <w:shd w:val="clear" w:color="auto" w:fill="1F2A44"/>
          </w:tcPr>
          <w:p>
            <w:pPr>
              <w:jc w:val="center"/>
              <w:ind w:right="148"/>
              <w:spacing w:after="0" w:line="205" w:lineRule="exact"/>
              <w:rPr>
                <w:sz w:val="20"/>
                <w:szCs w:val="20"/>
                <w:color w:val="auto"/>
              </w:rPr>
            </w:pPr>
            <w:r>
              <w:rPr>
                <w:rFonts w:ascii="Arial" w:cs="Arial" w:eastAsia="Arial" w:hAnsi="Arial"/>
                <w:sz w:val="14"/>
                <w:szCs w:val="14"/>
                <w:b w:val="1"/>
                <w:bCs w:val="1"/>
                <w:color w:val="FFFFFF"/>
                <w:w w:val="98"/>
              </w:rPr>
              <w:t>Stock or Units</w:t>
            </w:r>
            <w:r>
              <w:rPr>
                <w:rFonts w:ascii="Arial" w:cs="Arial" w:eastAsia="Arial" w:hAnsi="Arial"/>
                <w:sz w:val="23"/>
                <w:szCs w:val="23"/>
                <w:b w:val="1"/>
                <w:bCs w:val="1"/>
                <w:color w:val="FFFFFF"/>
                <w:w w:val="98"/>
                <w:vertAlign w:val="superscript"/>
              </w:rPr>
              <w:t>(3)</w:t>
            </w:r>
          </w:p>
        </w:tc>
        <w:tc>
          <w:tcPr>
            <w:tcW w:w="1820" w:type="dxa"/>
            <w:vAlign w:val="bottom"/>
            <w:gridSpan w:val="2"/>
            <w:shd w:val="clear" w:color="auto" w:fill="1F2A44"/>
          </w:tcPr>
          <w:p>
            <w:pPr>
              <w:ind w:left="560"/>
              <w:spacing w:after="0" w:line="205" w:lineRule="exact"/>
              <w:rPr>
                <w:sz w:val="20"/>
                <w:szCs w:val="20"/>
                <w:color w:val="auto"/>
              </w:rPr>
            </w:pPr>
            <w:r>
              <w:rPr>
                <w:rFonts w:ascii="Arial" w:cs="Arial" w:eastAsia="Arial" w:hAnsi="Arial"/>
                <w:sz w:val="14"/>
                <w:szCs w:val="14"/>
                <w:b w:val="1"/>
                <w:bCs w:val="1"/>
                <w:color w:val="FFFFFF"/>
              </w:rPr>
              <w:t>Fair Value</w:t>
            </w:r>
            <w:r>
              <w:rPr>
                <w:rFonts w:ascii="Arial" w:cs="Arial" w:eastAsia="Arial" w:hAnsi="Arial"/>
                <w:sz w:val="23"/>
                <w:szCs w:val="23"/>
                <w:b w:val="1"/>
                <w:bCs w:val="1"/>
                <w:color w:val="FFFFFF"/>
                <w:vertAlign w:val="superscript"/>
              </w:rPr>
              <w:t>(4)</w:t>
            </w:r>
          </w:p>
        </w:tc>
      </w:tr>
      <w:tr>
        <w:trPr>
          <w:trHeight w:val="191"/>
        </w:trPr>
        <w:tc>
          <w:tcPr>
            <w:tcW w:w="346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3200" w:type="dxa"/>
            <w:vAlign w:val="bottom"/>
          </w:tcPr>
          <w:p>
            <w:pPr>
              <w:jc w:val="right"/>
              <w:ind w:right="248"/>
              <w:spacing w:after="0"/>
              <w:rPr>
                <w:sz w:val="20"/>
                <w:szCs w:val="20"/>
                <w:color w:val="auto"/>
              </w:rPr>
            </w:pPr>
            <w:r>
              <w:rPr>
                <w:rFonts w:ascii="Arial" w:cs="Arial" w:eastAsia="Arial" w:hAnsi="Arial"/>
                <w:sz w:val="14"/>
                <w:szCs w:val="14"/>
                <w:color w:val="auto"/>
              </w:rPr>
              <w:t>2/7/2017</w:t>
            </w:r>
            <w:r>
              <w:rPr>
                <w:rFonts w:ascii="Arial" w:cs="Arial" w:eastAsia="Arial" w:hAnsi="Arial"/>
                <w:sz w:val="12"/>
                <w:szCs w:val="12"/>
                <w:color w:val="auto"/>
              </w:rPr>
              <w:t>(1)</w:t>
            </w:r>
          </w:p>
        </w:tc>
        <w:tc>
          <w:tcPr>
            <w:tcW w:w="2540" w:type="dxa"/>
            <w:vAlign w:val="bottom"/>
          </w:tcPr>
          <w:p>
            <w:pPr>
              <w:jc w:val="right"/>
              <w:ind w:right="968"/>
              <w:spacing w:after="0"/>
              <w:rPr>
                <w:sz w:val="20"/>
                <w:szCs w:val="20"/>
                <w:color w:val="auto"/>
              </w:rPr>
            </w:pPr>
            <w:r>
              <w:rPr>
                <w:rFonts w:ascii="Arial" w:cs="Arial" w:eastAsia="Arial" w:hAnsi="Arial"/>
                <w:sz w:val="14"/>
                <w:szCs w:val="14"/>
                <w:color w:val="auto"/>
              </w:rPr>
              <w:t>3,061</w:t>
            </w:r>
          </w:p>
        </w:tc>
        <w:tc>
          <w:tcPr>
            <w:tcW w:w="700" w:type="dxa"/>
            <w:vAlign w:val="bottom"/>
          </w:tcPr>
          <w:p>
            <w:pPr>
              <w:ind w:left="6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427,560</w:t>
            </w:r>
          </w:p>
        </w:tc>
      </w:tr>
      <w:tr>
        <w:trPr>
          <w:trHeight w:val="195"/>
        </w:trPr>
        <w:tc>
          <w:tcPr>
            <w:tcW w:w="3460" w:type="dxa"/>
            <w:vAlign w:val="bottom"/>
          </w:tcPr>
          <w:p>
            <w:pPr>
              <w:spacing w:after="0"/>
              <w:rPr>
                <w:sz w:val="16"/>
                <w:szCs w:val="16"/>
                <w:color w:val="auto"/>
              </w:rPr>
            </w:pPr>
          </w:p>
        </w:tc>
        <w:tc>
          <w:tcPr>
            <w:tcW w:w="3200" w:type="dxa"/>
            <w:vAlign w:val="bottom"/>
          </w:tcPr>
          <w:p>
            <w:pPr>
              <w:jc w:val="right"/>
              <w:ind w:right="248"/>
              <w:spacing w:after="0"/>
              <w:rPr>
                <w:sz w:val="20"/>
                <w:szCs w:val="20"/>
                <w:color w:val="auto"/>
              </w:rPr>
            </w:pPr>
            <w:r>
              <w:rPr>
                <w:rFonts w:ascii="Arial" w:cs="Arial" w:eastAsia="Arial" w:hAnsi="Arial"/>
                <w:sz w:val="14"/>
                <w:szCs w:val="14"/>
                <w:color w:val="auto"/>
              </w:rPr>
              <w:t>2/7/2017</w:t>
            </w:r>
            <w:r>
              <w:rPr>
                <w:rFonts w:ascii="Arial" w:cs="Arial" w:eastAsia="Arial" w:hAnsi="Arial"/>
                <w:sz w:val="12"/>
                <w:szCs w:val="12"/>
                <w:color w:val="auto"/>
              </w:rPr>
              <w:t>(2)</w:t>
            </w:r>
          </w:p>
        </w:tc>
        <w:tc>
          <w:tcPr>
            <w:tcW w:w="2540" w:type="dxa"/>
            <w:vAlign w:val="bottom"/>
          </w:tcPr>
          <w:p>
            <w:pPr>
              <w:jc w:val="right"/>
              <w:ind w:right="968"/>
              <w:spacing w:after="0"/>
              <w:rPr>
                <w:sz w:val="20"/>
                <w:szCs w:val="20"/>
                <w:color w:val="auto"/>
              </w:rPr>
            </w:pPr>
            <w:r>
              <w:rPr>
                <w:rFonts w:ascii="Arial" w:cs="Arial" w:eastAsia="Arial" w:hAnsi="Arial"/>
                <w:sz w:val="14"/>
                <w:szCs w:val="14"/>
                <w:color w:val="auto"/>
              </w:rPr>
              <w:t>46,535</w:t>
            </w:r>
          </w:p>
        </w:tc>
        <w:tc>
          <w:tcPr>
            <w:tcW w:w="700" w:type="dxa"/>
            <w:vAlign w:val="bottom"/>
          </w:tcPr>
          <w:p>
            <w:pPr>
              <w:ind w:left="6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w w:val="99"/>
              </w:rPr>
              <w:t>6,500,009</w:t>
            </w:r>
          </w:p>
        </w:tc>
      </w:tr>
      <w:tr>
        <w:trPr>
          <w:trHeight w:val="209"/>
        </w:trPr>
        <w:tc>
          <w:tcPr>
            <w:tcW w:w="3460" w:type="dxa"/>
            <w:vAlign w:val="bottom"/>
            <w:shd w:val="clear" w:color="auto" w:fill="D2D4D9"/>
          </w:tcPr>
          <w:p>
            <w:pPr>
              <w:ind w:left="60"/>
              <w:spacing w:after="0"/>
              <w:rPr>
                <w:sz w:val="20"/>
                <w:szCs w:val="20"/>
                <w:color w:val="auto"/>
              </w:rPr>
            </w:pPr>
            <w:r>
              <w:rPr>
                <w:rFonts w:ascii="Arial" w:cs="Arial" w:eastAsia="Arial" w:hAnsi="Arial"/>
                <w:sz w:val="14"/>
                <w:szCs w:val="14"/>
                <w:color w:val="auto"/>
              </w:rPr>
              <w:t>Daniel Guglielmone</w:t>
            </w:r>
          </w:p>
        </w:tc>
        <w:tc>
          <w:tcPr>
            <w:tcW w:w="3200" w:type="dxa"/>
            <w:vAlign w:val="bottom"/>
            <w:shd w:val="clear" w:color="auto" w:fill="D2D4D9"/>
          </w:tcPr>
          <w:p>
            <w:pPr>
              <w:jc w:val="right"/>
              <w:ind w:right="248"/>
              <w:spacing w:after="0"/>
              <w:rPr>
                <w:sz w:val="20"/>
                <w:szCs w:val="20"/>
                <w:color w:val="auto"/>
              </w:rPr>
            </w:pPr>
            <w:r>
              <w:rPr>
                <w:rFonts w:ascii="Arial" w:cs="Arial" w:eastAsia="Arial" w:hAnsi="Arial"/>
                <w:sz w:val="14"/>
                <w:szCs w:val="14"/>
                <w:color w:val="auto"/>
              </w:rPr>
              <w:t>2/7/2017</w:t>
            </w:r>
            <w:r>
              <w:rPr>
                <w:rFonts w:ascii="Arial" w:cs="Arial" w:eastAsia="Arial" w:hAnsi="Arial"/>
                <w:sz w:val="12"/>
                <w:szCs w:val="12"/>
                <w:color w:val="auto"/>
              </w:rPr>
              <w:t>(2)</w:t>
            </w:r>
          </w:p>
        </w:tc>
        <w:tc>
          <w:tcPr>
            <w:tcW w:w="2540" w:type="dxa"/>
            <w:vAlign w:val="bottom"/>
            <w:shd w:val="clear" w:color="auto" w:fill="D2D4D9"/>
          </w:tcPr>
          <w:p>
            <w:pPr>
              <w:jc w:val="right"/>
              <w:ind w:right="968"/>
              <w:spacing w:after="0"/>
              <w:rPr>
                <w:sz w:val="20"/>
                <w:szCs w:val="20"/>
                <w:color w:val="auto"/>
              </w:rPr>
            </w:pPr>
            <w:r>
              <w:rPr>
                <w:rFonts w:ascii="Arial" w:cs="Arial" w:eastAsia="Arial" w:hAnsi="Arial"/>
                <w:sz w:val="14"/>
                <w:szCs w:val="14"/>
                <w:color w:val="auto"/>
              </w:rPr>
              <w:t>6,443</w:t>
            </w:r>
          </w:p>
        </w:tc>
        <w:tc>
          <w:tcPr>
            <w:tcW w:w="700" w:type="dxa"/>
            <w:vAlign w:val="bottom"/>
            <w:shd w:val="clear" w:color="auto" w:fill="D2D4D9"/>
          </w:tcPr>
          <w:p>
            <w:pPr>
              <w:ind w:left="62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D2D4D9"/>
          </w:tcPr>
          <w:p>
            <w:pPr>
              <w:jc w:val="right"/>
              <w:ind w:right="408"/>
              <w:spacing w:after="0"/>
              <w:rPr>
                <w:sz w:val="20"/>
                <w:szCs w:val="20"/>
                <w:color w:val="auto"/>
              </w:rPr>
            </w:pPr>
            <w:r>
              <w:rPr>
                <w:rFonts w:ascii="Arial" w:cs="Arial" w:eastAsia="Arial" w:hAnsi="Arial"/>
                <w:sz w:val="14"/>
                <w:szCs w:val="14"/>
                <w:color w:val="auto"/>
              </w:rPr>
              <w:t>899,958</w:t>
            </w:r>
          </w:p>
        </w:tc>
      </w:tr>
      <w:tr>
        <w:trPr>
          <w:trHeight w:val="191"/>
        </w:trPr>
        <w:tc>
          <w:tcPr>
            <w:tcW w:w="346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3200" w:type="dxa"/>
            <w:vAlign w:val="bottom"/>
          </w:tcPr>
          <w:p>
            <w:pPr>
              <w:jc w:val="right"/>
              <w:ind w:right="248"/>
              <w:spacing w:after="0"/>
              <w:rPr>
                <w:sz w:val="20"/>
                <w:szCs w:val="20"/>
                <w:color w:val="auto"/>
              </w:rPr>
            </w:pPr>
            <w:r>
              <w:rPr>
                <w:rFonts w:ascii="Arial" w:cs="Arial" w:eastAsia="Arial" w:hAnsi="Arial"/>
                <w:sz w:val="14"/>
                <w:szCs w:val="14"/>
                <w:color w:val="auto"/>
              </w:rPr>
              <w:t>2/7/2017</w:t>
            </w:r>
            <w:r>
              <w:rPr>
                <w:rFonts w:ascii="Arial" w:cs="Arial" w:eastAsia="Arial" w:hAnsi="Arial"/>
                <w:sz w:val="12"/>
                <w:szCs w:val="12"/>
                <w:color w:val="auto"/>
              </w:rPr>
              <w:t>(1)</w:t>
            </w:r>
          </w:p>
        </w:tc>
        <w:tc>
          <w:tcPr>
            <w:tcW w:w="2540" w:type="dxa"/>
            <w:vAlign w:val="bottom"/>
          </w:tcPr>
          <w:p>
            <w:pPr>
              <w:jc w:val="right"/>
              <w:ind w:right="968"/>
              <w:spacing w:after="0"/>
              <w:rPr>
                <w:sz w:val="20"/>
                <w:szCs w:val="20"/>
                <w:color w:val="auto"/>
              </w:rPr>
            </w:pPr>
            <w:r>
              <w:rPr>
                <w:rFonts w:ascii="Arial" w:cs="Arial" w:eastAsia="Arial" w:hAnsi="Arial"/>
                <w:sz w:val="14"/>
                <w:szCs w:val="14"/>
                <w:color w:val="auto"/>
              </w:rPr>
              <w:t>725</w:t>
            </w:r>
          </w:p>
        </w:tc>
        <w:tc>
          <w:tcPr>
            <w:tcW w:w="700" w:type="dxa"/>
            <w:vAlign w:val="bottom"/>
          </w:tcPr>
          <w:p>
            <w:pPr>
              <w:ind w:left="6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101,268</w:t>
            </w:r>
          </w:p>
        </w:tc>
      </w:tr>
      <w:tr>
        <w:trPr>
          <w:trHeight w:val="189"/>
        </w:trPr>
        <w:tc>
          <w:tcPr>
            <w:tcW w:w="3460" w:type="dxa"/>
            <w:vAlign w:val="bottom"/>
          </w:tcPr>
          <w:p>
            <w:pPr>
              <w:spacing w:after="0"/>
              <w:rPr>
                <w:sz w:val="16"/>
                <w:szCs w:val="16"/>
                <w:color w:val="auto"/>
              </w:rPr>
            </w:pPr>
          </w:p>
        </w:tc>
        <w:tc>
          <w:tcPr>
            <w:tcW w:w="3200" w:type="dxa"/>
            <w:vAlign w:val="bottom"/>
          </w:tcPr>
          <w:p>
            <w:pPr>
              <w:jc w:val="right"/>
              <w:ind w:right="248"/>
              <w:spacing w:after="0"/>
              <w:rPr>
                <w:sz w:val="20"/>
                <w:szCs w:val="20"/>
                <w:color w:val="auto"/>
              </w:rPr>
            </w:pPr>
            <w:r>
              <w:rPr>
                <w:rFonts w:ascii="Arial" w:cs="Arial" w:eastAsia="Arial" w:hAnsi="Arial"/>
                <w:sz w:val="14"/>
                <w:szCs w:val="14"/>
                <w:color w:val="auto"/>
              </w:rPr>
              <w:t>2/7/2017</w:t>
            </w:r>
            <w:r>
              <w:rPr>
                <w:rFonts w:ascii="Arial" w:cs="Arial" w:eastAsia="Arial" w:hAnsi="Arial"/>
                <w:sz w:val="12"/>
                <w:szCs w:val="12"/>
                <w:color w:val="auto"/>
              </w:rPr>
              <w:t>(2)</w:t>
            </w:r>
          </w:p>
        </w:tc>
        <w:tc>
          <w:tcPr>
            <w:tcW w:w="2540" w:type="dxa"/>
            <w:vAlign w:val="bottom"/>
          </w:tcPr>
          <w:p>
            <w:pPr>
              <w:jc w:val="right"/>
              <w:ind w:right="968"/>
              <w:spacing w:after="0"/>
              <w:rPr>
                <w:sz w:val="20"/>
                <w:szCs w:val="20"/>
                <w:color w:val="auto"/>
              </w:rPr>
            </w:pPr>
            <w:r>
              <w:rPr>
                <w:rFonts w:ascii="Arial" w:cs="Arial" w:eastAsia="Arial" w:hAnsi="Arial"/>
                <w:sz w:val="14"/>
                <w:szCs w:val="14"/>
                <w:color w:val="auto"/>
              </w:rPr>
              <w:t>6,284</w:t>
            </w:r>
          </w:p>
        </w:tc>
        <w:tc>
          <w:tcPr>
            <w:tcW w:w="700" w:type="dxa"/>
            <w:vAlign w:val="bottom"/>
          </w:tcPr>
          <w:p>
            <w:pPr>
              <w:ind w:left="6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877,749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2"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ind w:left="640" w:hanging="436"/>
        <w:spacing w:after="0" w:line="23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ind w:left="640" w:right="20" w:hanging="436"/>
        <w:spacing w:after="0" w:line="23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are paid on all Shares issued at the same rate and time as paid to all other holders of our Shares as declared by our Board from time to time.</w:t>
      </w:r>
    </w:p>
    <w:p>
      <w:pPr>
        <w:spacing w:after="0" w:line="1"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grant date fair value of Share awards as computed in accordance with FASB ASC Topic 718. The grant date fair value for these Share awards was based on the closing price of the Trust’s Shares on the grant date.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about outstanding equity awards held on December 31, 2017 by our NEOs: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200" w:type="dxa"/>
            <w:vAlign w:val="bottom"/>
            <w:shd w:val="clear" w:color="auto" w:fill="1F2A44"/>
          </w:tcPr>
          <w:p>
            <w:pPr>
              <w:spacing w:after="0"/>
              <w:rPr>
                <w:sz w:val="14"/>
                <w:szCs w:val="14"/>
                <w:color w:val="auto"/>
              </w:rPr>
            </w:pPr>
          </w:p>
        </w:tc>
        <w:tc>
          <w:tcPr>
            <w:tcW w:w="1540" w:type="dxa"/>
            <w:vAlign w:val="bottom"/>
            <w:shd w:val="clear" w:color="auto" w:fill="1F2A44"/>
          </w:tcPr>
          <w:p>
            <w:pPr>
              <w:spacing w:after="0"/>
              <w:rPr>
                <w:sz w:val="14"/>
                <w:szCs w:val="14"/>
                <w:color w:val="auto"/>
              </w:rPr>
            </w:pPr>
          </w:p>
        </w:tc>
        <w:tc>
          <w:tcPr>
            <w:tcW w:w="1720" w:type="dxa"/>
            <w:vAlign w:val="bottom"/>
            <w:shd w:val="clear" w:color="auto" w:fill="1F2A44"/>
          </w:tcPr>
          <w:p>
            <w:pPr>
              <w:jc w:val="right"/>
              <w:spacing w:after="0"/>
              <w:rPr>
                <w:sz w:val="20"/>
                <w:szCs w:val="20"/>
                <w:color w:val="auto"/>
              </w:rPr>
            </w:pPr>
            <w:r>
              <w:rPr>
                <w:rFonts w:ascii="Arial" w:cs="Arial" w:eastAsia="Arial" w:hAnsi="Arial"/>
                <w:sz w:val="14"/>
                <w:szCs w:val="14"/>
                <w:b w:val="1"/>
                <w:bCs w:val="1"/>
                <w:color w:val="FFFFFF"/>
              </w:rPr>
              <w:t>Option Awards</w:t>
            </w:r>
          </w:p>
        </w:tc>
        <w:tc>
          <w:tcPr>
            <w:tcW w:w="860" w:type="dxa"/>
            <w:vAlign w:val="bottom"/>
            <w:shd w:val="clear" w:color="auto" w:fill="1F2A44"/>
          </w:tcPr>
          <w:p>
            <w:pPr>
              <w:spacing w:after="0"/>
              <w:rPr>
                <w:sz w:val="14"/>
                <w:szCs w:val="14"/>
                <w:color w:val="auto"/>
              </w:rPr>
            </w:pPr>
          </w:p>
        </w:tc>
        <w:tc>
          <w:tcPr>
            <w:tcW w:w="1220" w:type="dxa"/>
            <w:vAlign w:val="bottom"/>
            <w:shd w:val="clear" w:color="auto" w:fill="1F2A44"/>
          </w:tcPr>
          <w:p>
            <w:pPr>
              <w:spacing w:after="0"/>
              <w:rPr>
                <w:sz w:val="14"/>
                <w:szCs w:val="14"/>
                <w:color w:val="auto"/>
              </w:rPr>
            </w:pPr>
          </w:p>
        </w:tc>
        <w:tc>
          <w:tcPr>
            <w:tcW w:w="2480" w:type="dxa"/>
            <w:vAlign w:val="bottom"/>
            <w:gridSpan w:val="3"/>
            <w:shd w:val="clear" w:color="auto" w:fill="1F2A44"/>
          </w:tcPr>
          <w:p>
            <w:pPr>
              <w:jc w:val="right"/>
              <w:ind w:right="568"/>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3200" w:type="dxa"/>
            <w:vAlign w:val="bottom"/>
            <w:shd w:val="clear" w:color="auto" w:fill="1F2A44"/>
          </w:tcPr>
          <w:p>
            <w:pPr>
              <w:spacing w:after="0"/>
              <w:rPr>
                <w:sz w:val="14"/>
                <w:szCs w:val="14"/>
                <w:color w:val="auto"/>
              </w:rPr>
            </w:pPr>
          </w:p>
        </w:tc>
        <w:tc>
          <w:tcPr>
            <w:tcW w:w="1540" w:type="dxa"/>
            <w:vAlign w:val="bottom"/>
            <w:shd w:val="clear" w:color="auto" w:fill="1F2A44"/>
          </w:tcPr>
          <w:p>
            <w:pPr>
              <w:jc w:val="center"/>
              <w:ind w:left="68"/>
              <w:spacing w:after="0"/>
              <w:rPr>
                <w:sz w:val="20"/>
                <w:szCs w:val="20"/>
                <w:color w:val="auto"/>
              </w:rPr>
            </w:pPr>
            <w:r>
              <w:rPr>
                <w:rFonts w:ascii="Arial" w:cs="Arial" w:eastAsia="Arial" w:hAnsi="Arial"/>
                <w:sz w:val="14"/>
                <w:szCs w:val="14"/>
                <w:b w:val="1"/>
                <w:bCs w:val="1"/>
                <w:color w:val="FFFFFF"/>
              </w:rPr>
              <w:t>Number of</w:t>
            </w:r>
          </w:p>
        </w:tc>
        <w:tc>
          <w:tcPr>
            <w:tcW w:w="1720" w:type="dxa"/>
            <w:vAlign w:val="bottom"/>
            <w:shd w:val="clear" w:color="auto" w:fill="1F2A44"/>
          </w:tcPr>
          <w:p>
            <w:pPr>
              <w:jc w:val="center"/>
              <w:ind w:right="168"/>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1F2A44"/>
          </w:tcPr>
          <w:p>
            <w:pPr>
              <w:spacing w:after="0"/>
              <w:rPr>
                <w:sz w:val="14"/>
                <w:szCs w:val="14"/>
                <w:color w:val="auto"/>
              </w:rPr>
            </w:pPr>
          </w:p>
        </w:tc>
        <w:tc>
          <w:tcPr>
            <w:tcW w:w="1220" w:type="dxa"/>
            <w:vAlign w:val="bottom"/>
            <w:shd w:val="clear" w:color="auto" w:fill="1F2A44"/>
          </w:tcPr>
          <w:p>
            <w:pPr>
              <w:spacing w:after="0"/>
              <w:rPr>
                <w:sz w:val="14"/>
                <w:szCs w:val="14"/>
                <w:color w:val="auto"/>
              </w:rPr>
            </w:pPr>
          </w:p>
        </w:tc>
        <w:tc>
          <w:tcPr>
            <w:tcW w:w="12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Number of</w:t>
            </w:r>
          </w:p>
        </w:tc>
        <w:tc>
          <w:tcPr>
            <w:tcW w:w="1220" w:type="dxa"/>
            <w:vAlign w:val="bottom"/>
            <w:gridSpan w:val="2"/>
            <w:shd w:val="clear" w:color="auto" w:fill="1F2A44"/>
          </w:tcPr>
          <w:p>
            <w:pPr>
              <w:jc w:val="center"/>
              <w:ind w:left="68"/>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3200" w:type="dxa"/>
            <w:vAlign w:val="bottom"/>
            <w:shd w:val="clear" w:color="auto" w:fill="1F2A44"/>
          </w:tcPr>
          <w:p>
            <w:pPr>
              <w:spacing w:after="0"/>
              <w:rPr>
                <w:sz w:val="14"/>
                <w:szCs w:val="14"/>
                <w:color w:val="auto"/>
              </w:rPr>
            </w:pPr>
          </w:p>
        </w:tc>
        <w:tc>
          <w:tcPr>
            <w:tcW w:w="1540" w:type="dxa"/>
            <w:vAlign w:val="bottom"/>
            <w:shd w:val="clear" w:color="auto" w:fill="1F2A44"/>
          </w:tcPr>
          <w:p>
            <w:pPr>
              <w:jc w:val="center"/>
              <w:ind w:left="88"/>
              <w:spacing w:after="0"/>
              <w:rPr>
                <w:sz w:val="20"/>
                <w:szCs w:val="20"/>
                <w:color w:val="auto"/>
              </w:rPr>
            </w:pPr>
            <w:r>
              <w:rPr>
                <w:rFonts w:ascii="Arial" w:cs="Arial" w:eastAsia="Arial" w:hAnsi="Arial"/>
                <w:sz w:val="14"/>
                <w:szCs w:val="14"/>
                <w:b w:val="1"/>
                <w:bCs w:val="1"/>
                <w:color w:val="FFFFFF"/>
              </w:rPr>
              <w:t>Securities</w:t>
            </w:r>
          </w:p>
        </w:tc>
        <w:tc>
          <w:tcPr>
            <w:tcW w:w="1720" w:type="dxa"/>
            <w:vAlign w:val="bottom"/>
            <w:shd w:val="clear" w:color="auto" w:fill="1F2A44"/>
          </w:tcPr>
          <w:p>
            <w:pPr>
              <w:jc w:val="center"/>
              <w:ind w:right="188"/>
              <w:spacing w:after="0"/>
              <w:rPr>
                <w:sz w:val="20"/>
                <w:szCs w:val="20"/>
                <w:color w:val="auto"/>
              </w:rPr>
            </w:pPr>
            <w:r>
              <w:rPr>
                <w:rFonts w:ascii="Arial" w:cs="Arial" w:eastAsia="Arial" w:hAnsi="Arial"/>
                <w:sz w:val="14"/>
                <w:szCs w:val="14"/>
                <w:b w:val="1"/>
                <w:bCs w:val="1"/>
                <w:color w:val="FFFFFF"/>
              </w:rPr>
              <w:t>Securities</w:t>
            </w:r>
          </w:p>
        </w:tc>
        <w:tc>
          <w:tcPr>
            <w:tcW w:w="860" w:type="dxa"/>
            <w:vAlign w:val="bottom"/>
            <w:shd w:val="clear" w:color="auto" w:fill="1F2A44"/>
          </w:tcPr>
          <w:p>
            <w:pPr>
              <w:spacing w:after="0"/>
              <w:rPr>
                <w:sz w:val="14"/>
                <w:szCs w:val="14"/>
                <w:color w:val="auto"/>
              </w:rPr>
            </w:pPr>
          </w:p>
        </w:tc>
        <w:tc>
          <w:tcPr>
            <w:tcW w:w="1220" w:type="dxa"/>
            <w:vAlign w:val="bottom"/>
            <w:shd w:val="clear" w:color="auto" w:fill="1F2A44"/>
          </w:tcPr>
          <w:p>
            <w:pPr>
              <w:spacing w:after="0"/>
              <w:rPr>
                <w:sz w:val="14"/>
                <w:szCs w:val="14"/>
                <w:color w:val="auto"/>
              </w:rPr>
            </w:pPr>
          </w:p>
        </w:tc>
        <w:tc>
          <w:tcPr>
            <w:tcW w:w="12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Shares or</w:t>
            </w:r>
          </w:p>
        </w:tc>
        <w:tc>
          <w:tcPr>
            <w:tcW w:w="1220" w:type="dxa"/>
            <w:vAlign w:val="bottom"/>
            <w:gridSpan w:val="2"/>
            <w:shd w:val="clear" w:color="auto" w:fill="1F2A44"/>
          </w:tcPr>
          <w:p>
            <w:pPr>
              <w:jc w:val="center"/>
              <w:ind w:left="68"/>
              <w:spacing w:after="0"/>
              <w:rPr>
                <w:sz w:val="20"/>
                <w:szCs w:val="20"/>
                <w:color w:val="auto"/>
              </w:rPr>
            </w:pPr>
            <w:r>
              <w:rPr>
                <w:rFonts w:ascii="Arial" w:cs="Arial" w:eastAsia="Arial" w:hAnsi="Arial"/>
                <w:sz w:val="14"/>
                <w:szCs w:val="14"/>
                <w:b w:val="1"/>
                <w:bCs w:val="1"/>
                <w:color w:val="FFFFFF"/>
              </w:rPr>
              <w:t>of Shares or</w:t>
            </w:r>
          </w:p>
        </w:tc>
      </w:tr>
      <w:tr>
        <w:trPr>
          <w:trHeight w:val="162"/>
        </w:trPr>
        <w:tc>
          <w:tcPr>
            <w:tcW w:w="3200" w:type="dxa"/>
            <w:vAlign w:val="bottom"/>
            <w:shd w:val="clear" w:color="auto" w:fill="1F2A44"/>
          </w:tcPr>
          <w:p>
            <w:pPr>
              <w:spacing w:after="0"/>
              <w:rPr>
                <w:sz w:val="14"/>
                <w:szCs w:val="14"/>
                <w:color w:val="auto"/>
              </w:rPr>
            </w:pPr>
          </w:p>
        </w:tc>
        <w:tc>
          <w:tcPr>
            <w:tcW w:w="1540" w:type="dxa"/>
            <w:vAlign w:val="bottom"/>
            <w:shd w:val="clear" w:color="auto" w:fill="1F2A44"/>
          </w:tcPr>
          <w:p>
            <w:pPr>
              <w:jc w:val="center"/>
              <w:ind w:left="88"/>
              <w:spacing w:after="0"/>
              <w:rPr>
                <w:sz w:val="20"/>
                <w:szCs w:val="20"/>
                <w:color w:val="auto"/>
              </w:rPr>
            </w:pPr>
            <w:r>
              <w:rPr>
                <w:rFonts w:ascii="Arial" w:cs="Arial" w:eastAsia="Arial" w:hAnsi="Arial"/>
                <w:sz w:val="14"/>
                <w:szCs w:val="14"/>
                <w:b w:val="1"/>
                <w:bCs w:val="1"/>
                <w:color w:val="FFFFFF"/>
              </w:rPr>
              <w:t>Underlying</w:t>
            </w:r>
          </w:p>
        </w:tc>
        <w:tc>
          <w:tcPr>
            <w:tcW w:w="1720" w:type="dxa"/>
            <w:vAlign w:val="bottom"/>
            <w:shd w:val="clear" w:color="auto" w:fill="1F2A44"/>
          </w:tcPr>
          <w:p>
            <w:pPr>
              <w:jc w:val="center"/>
              <w:ind w:right="188"/>
              <w:spacing w:after="0"/>
              <w:rPr>
                <w:sz w:val="20"/>
                <w:szCs w:val="20"/>
                <w:color w:val="auto"/>
              </w:rPr>
            </w:pPr>
            <w:r>
              <w:rPr>
                <w:rFonts w:ascii="Arial" w:cs="Arial" w:eastAsia="Arial" w:hAnsi="Arial"/>
                <w:sz w:val="14"/>
                <w:szCs w:val="14"/>
                <w:b w:val="1"/>
                <w:bCs w:val="1"/>
                <w:color w:val="FFFFFF"/>
              </w:rPr>
              <w:t>Underlying</w:t>
            </w:r>
          </w:p>
        </w:tc>
        <w:tc>
          <w:tcPr>
            <w:tcW w:w="860" w:type="dxa"/>
            <w:vAlign w:val="bottom"/>
            <w:shd w:val="clear" w:color="auto" w:fill="1F2A44"/>
          </w:tcPr>
          <w:p>
            <w:pPr>
              <w:spacing w:after="0"/>
              <w:rPr>
                <w:sz w:val="14"/>
                <w:szCs w:val="14"/>
                <w:color w:val="auto"/>
              </w:rPr>
            </w:pPr>
          </w:p>
        </w:tc>
        <w:tc>
          <w:tcPr>
            <w:tcW w:w="1220" w:type="dxa"/>
            <w:vAlign w:val="bottom"/>
            <w:shd w:val="clear" w:color="auto" w:fill="1F2A44"/>
          </w:tcPr>
          <w:p>
            <w:pPr>
              <w:spacing w:after="0"/>
              <w:rPr>
                <w:sz w:val="14"/>
                <w:szCs w:val="14"/>
                <w:color w:val="auto"/>
              </w:rPr>
            </w:pPr>
          </w:p>
        </w:tc>
        <w:tc>
          <w:tcPr>
            <w:tcW w:w="12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Units of</w:t>
            </w:r>
          </w:p>
        </w:tc>
        <w:tc>
          <w:tcPr>
            <w:tcW w:w="1220" w:type="dxa"/>
            <w:vAlign w:val="bottom"/>
            <w:gridSpan w:val="2"/>
            <w:shd w:val="clear" w:color="auto" w:fill="1F2A44"/>
          </w:tcPr>
          <w:p>
            <w:pPr>
              <w:jc w:val="center"/>
              <w:ind w:left="88"/>
              <w:spacing w:after="0"/>
              <w:rPr>
                <w:sz w:val="20"/>
                <w:szCs w:val="20"/>
                <w:color w:val="auto"/>
              </w:rPr>
            </w:pPr>
            <w:r>
              <w:rPr>
                <w:rFonts w:ascii="Arial" w:cs="Arial" w:eastAsia="Arial" w:hAnsi="Arial"/>
                <w:sz w:val="14"/>
                <w:szCs w:val="14"/>
                <w:b w:val="1"/>
                <w:bCs w:val="1"/>
                <w:color w:val="FFFFFF"/>
              </w:rPr>
              <w:t>Units of</w:t>
            </w:r>
          </w:p>
        </w:tc>
      </w:tr>
      <w:tr>
        <w:trPr>
          <w:trHeight w:val="162"/>
        </w:trPr>
        <w:tc>
          <w:tcPr>
            <w:tcW w:w="3200" w:type="dxa"/>
            <w:vAlign w:val="bottom"/>
            <w:shd w:val="clear" w:color="auto" w:fill="1F2A44"/>
          </w:tcPr>
          <w:p>
            <w:pPr>
              <w:spacing w:after="0"/>
              <w:rPr>
                <w:sz w:val="14"/>
                <w:szCs w:val="14"/>
                <w:color w:val="auto"/>
              </w:rPr>
            </w:pPr>
          </w:p>
        </w:tc>
        <w:tc>
          <w:tcPr>
            <w:tcW w:w="1540" w:type="dxa"/>
            <w:vAlign w:val="bottom"/>
            <w:shd w:val="clear" w:color="auto" w:fill="1F2A44"/>
          </w:tcPr>
          <w:p>
            <w:pPr>
              <w:jc w:val="center"/>
              <w:ind w:left="88"/>
              <w:spacing w:after="0"/>
              <w:rPr>
                <w:sz w:val="20"/>
                <w:szCs w:val="20"/>
                <w:color w:val="auto"/>
              </w:rPr>
            </w:pPr>
            <w:r>
              <w:rPr>
                <w:rFonts w:ascii="Arial" w:cs="Arial" w:eastAsia="Arial" w:hAnsi="Arial"/>
                <w:sz w:val="14"/>
                <w:szCs w:val="14"/>
                <w:b w:val="1"/>
                <w:bCs w:val="1"/>
                <w:color w:val="FFFFFF"/>
              </w:rPr>
              <w:t>Unexercised</w:t>
            </w:r>
          </w:p>
        </w:tc>
        <w:tc>
          <w:tcPr>
            <w:tcW w:w="1720" w:type="dxa"/>
            <w:vAlign w:val="bottom"/>
            <w:shd w:val="clear" w:color="auto" w:fill="1F2A44"/>
          </w:tcPr>
          <w:p>
            <w:pPr>
              <w:jc w:val="center"/>
              <w:ind w:right="188"/>
              <w:spacing w:after="0"/>
              <w:rPr>
                <w:sz w:val="20"/>
                <w:szCs w:val="20"/>
                <w:color w:val="auto"/>
              </w:rPr>
            </w:pPr>
            <w:r>
              <w:rPr>
                <w:rFonts w:ascii="Arial" w:cs="Arial" w:eastAsia="Arial" w:hAnsi="Arial"/>
                <w:sz w:val="14"/>
                <w:szCs w:val="14"/>
                <w:b w:val="1"/>
                <w:bCs w:val="1"/>
                <w:color w:val="FFFFFF"/>
              </w:rPr>
              <w:t>Unexercised</w:t>
            </w:r>
          </w:p>
        </w:tc>
        <w:tc>
          <w:tcPr>
            <w:tcW w:w="860" w:type="dxa"/>
            <w:vAlign w:val="bottom"/>
            <w:shd w:val="clear" w:color="auto" w:fill="1F2A44"/>
          </w:tcPr>
          <w:p>
            <w:pPr>
              <w:jc w:val="center"/>
              <w:ind w:right="168"/>
              <w:spacing w:after="0"/>
              <w:rPr>
                <w:sz w:val="20"/>
                <w:szCs w:val="20"/>
                <w:color w:val="auto"/>
              </w:rPr>
            </w:pPr>
            <w:r>
              <w:rPr>
                <w:rFonts w:ascii="Arial" w:cs="Arial" w:eastAsia="Arial" w:hAnsi="Arial"/>
                <w:sz w:val="14"/>
                <w:szCs w:val="14"/>
                <w:b w:val="1"/>
                <w:bCs w:val="1"/>
                <w:color w:val="FFFFFF"/>
              </w:rPr>
              <w:t>Option</w:t>
            </w:r>
          </w:p>
        </w:tc>
        <w:tc>
          <w:tcPr>
            <w:tcW w:w="122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Option</w:t>
            </w:r>
          </w:p>
        </w:tc>
        <w:tc>
          <w:tcPr>
            <w:tcW w:w="12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Stock That</w:t>
            </w:r>
          </w:p>
        </w:tc>
        <w:tc>
          <w:tcPr>
            <w:tcW w:w="1220" w:type="dxa"/>
            <w:vAlign w:val="bottom"/>
            <w:gridSpan w:val="2"/>
            <w:shd w:val="clear" w:color="auto" w:fill="1F2A44"/>
          </w:tcPr>
          <w:p>
            <w:pPr>
              <w:jc w:val="center"/>
              <w:ind w:left="88"/>
              <w:spacing w:after="0"/>
              <w:rPr>
                <w:sz w:val="20"/>
                <w:szCs w:val="20"/>
                <w:color w:val="auto"/>
              </w:rPr>
            </w:pPr>
            <w:r>
              <w:rPr>
                <w:rFonts w:ascii="Arial" w:cs="Arial" w:eastAsia="Arial" w:hAnsi="Arial"/>
                <w:sz w:val="14"/>
                <w:szCs w:val="14"/>
                <w:b w:val="1"/>
                <w:bCs w:val="1"/>
                <w:color w:val="FFFFFF"/>
              </w:rPr>
              <w:t>Stock That</w:t>
            </w:r>
          </w:p>
        </w:tc>
      </w:tr>
      <w:tr>
        <w:trPr>
          <w:trHeight w:val="159"/>
        </w:trPr>
        <w:tc>
          <w:tcPr>
            <w:tcW w:w="3200" w:type="dxa"/>
            <w:vAlign w:val="bottom"/>
            <w:shd w:val="clear" w:color="auto" w:fill="1F2A44"/>
          </w:tcPr>
          <w:p>
            <w:pPr>
              <w:spacing w:after="0"/>
              <w:rPr>
                <w:sz w:val="13"/>
                <w:szCs w:val="13"/>
                <w:color w:val="auto"/>
              </w:rPr>
            </w:pPr>
          </w:p>
        </w:tc>
        <w:tc>
          <w:tcPr>
            <w:tcW w:w="1540" w:type="dxa"/>
            <w:vAlign w:val="bottom"/>
            <w:shd w:val="clear" w:color="auto" w:fill="1F2A44"/>
          </w:tcPr>
          <w:p>
            <w:pPr>
              <w:jc w:val="center"/>
              <w:ind w:left="88"/>
              <w:spacing w:after="0" w:line="159" w:lineRule="exact"/>
              <w:rPr>
                <w:sz w:val="20"/>
                <w:szCs w:val="20"/>
                <w:color w:val="auto"/>
              </w:rPr>
            </w:pPr>
            <w:r>
              <w:rPr>
                <w:rFonts w:ascii="Arial" w:cs="Arial" w:eastAsia="Arial" w:hAnsi="Arial"/>
                <w:sz w:val="14"/>
                <w:szCs w:val="14"/>
                <w:b w:val="1"/>
                <w:bCs w:val="1"/>
                <w:color w:val="FFFFFF"/>
              </w:rPr>
              <w:t>Options</w:t>
            </w:r>
          </w:p>
        </w:tc>
        <w:tc>
          <w:tcPr>
            <w:tcW w:w="1720" w:type="dxa"/>
            <w:vAlign w:val="bottom"/>
            <w:shd w:val="clear" w:color="auto" w:fill="1F2A44"/>
          </w:tcPr>
          <w:p>
            <w:pPr>
              <w:jc w:val="center"/>
              <w:ind w:right="188"/>
              <w:spacing w:after="0" w:line="159" w:lineRule="exact"/>
              <w:rPr>
                <w:sz w:val="20"/>
                <w:szCs w:val="20"/>
                <w:color w:val="auto"/>
              </w:rPr>
            </w:pPr>
            <w:r>
              <w:rPr>
                <w:rFonts w:ascii="Arial" w:cs="Arial" w:eastAsia="Arial" w:hAnsi="Arial"/>
                <w:sz w:val="14"/>
                <w:szCs w:val="14"/>
                <w:b w:val="1"/>
                <w:bCs w:val="1"/>
                <w:color w:val="FFFFFF"/>
              </w:rPr>
              <w:t>Options</w:t>
            </w:r>
          </w:p>
        </w:tc>
        <w:tc>
          <w:tcPr>
            <w:tcW w:w="860" w:type="dxa"/>
            <w:vAlign w:val="bottom"/>
            <w:shd w:val="clear" w:color="auto" w:fill="1F2A44"/>
          </w:tcPr>
          <w:p>
            <w:pPr>
              <w:jc w:val="center"/>
              <w:ind w:right="188"/>
              <w:spacing w:after="0" w:line="159" w:lineRule="exact"/>
              <w:rPr>
                <w:sz w:val="20"/>
                <w:szCs w:val="20"/>
                <w:color w:val="auto"/>
              </w:rPr>
            </w:pPr>
            <w:r>
              <w:rPr>
                <w:rFonts w:ascii="Arial" w:cs="Arial" w:eastAsia="Arial" w:hAnsi="Arial"/>
                <w:sz w:val="14"/>
                <w:szCs w:val="14"/>
                <w:b w:val="1"/>
                <w:bCs w:val="1"/>
                <w:color w:val="FFFFFF"/>
              </w:rPr>
              <w:t>Exercise</w:t>
            </w:r>
          </w:p>
        </w:tc>
        <w:tc>
          <w:tcPr>
            <w:tcW w:w="122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Expiration</w:t>
            </w:r>
          </w:p>
        </w:tc>
        <w:tc>
          <w:tcPr>
            <w:tcW w:w="126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220" w:type="dxa"/>
            <w:vAlign w:val="bottom"/>
            <w:gridSpan w:val="2"/>
            <w:shd w:val="clear" w:color="auto" w:fill="1F2A44"/>
          </w:tcPr>
          <w:p>
            <w:pPr>
              <w:jc w:val="center"/>
              <w:ind w:left="88"/>
              <w:spacing w:after="0" w:line="159" w:lineRule="exact"/>
              <w:rPr>
                <w:sz w:val="20"/>
                <w:szCs w:val="20"/>
                <w:color w:val="auto"/>
              </w:rPr>
            </w:pPr>
            <w:r>
              <w:rPr>
                <w:rFonts w:ascii="Arial" w:cs="Arial" w:eastAsia="Arial" w:hAnsi="Arial"/>
                <w:sz w:val="14"/>
                <w:szCs w:val="14"/>
                <w:b w:val="1"/>
                <w:bCs w:val="1"/>
                <w:color w:val="FFFFFF"/>
              </w:rPr>
              <w:t>Have Not</w:t>
            </w:r>
          </w:p>
        </w:tc>
      </w:tr>
      <w:tr>
        <w:trPr>
          <w:trHeight w:val="206"/>
        </w:trPr>
        <w:tc>
          <w:tcPr>
            <w:tcW w:w="320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1F2A44"/>
          </w:tcPr>
          <w:p>
            <w:pPr>
              <w:jc w:val="center"/>
              <w:ind w:left="68"/>
              <w:spacing w:after="0"/>
              <w:rPr>
                <w:sz w:val="20"/>
                <w:szCs w:val="20"/>
                <w:color w:val="auto"/>
              </w:rPr>
            </w:pPr>
            <w:r>
              <w:rPr>
                <w:rFonts w:ascii="Arial" w:cs="Arial" w:eastAsia="Arial" w:hAnsi="Arial"/>
                <w:sz w:val="14"/>
                <w:szCs w:val="14"/>
                <w:b w:val="1"/>
                <w:bCs w:val="1"/>
                <w:color w:val="FFFFFF"/>
              </w:rPr>
              <w:t>Exercisable</w:t>
            </w:r>
          </w:p>
        </w:tc>
        <w:tc>
          <w:tcPr>
            <w:tcW w:w="1720" w:type="dxa"/>
            <w:vAlign w:val="bottom"/>
            <w:shd w:val="clear" w:color="auto" w:fill="1F2A44"/>
          </w:tcPr>
          <w:p>
            <w:pPr>
              <w:jc w:val="center"/>
              <w:ind w:right="188"/>
              <w:spacing w:after="0"/>
              <w:rPr>
                <w:sz w:val="20"/>
                <w:szCs w:val="20"/>
                <w:color w:val="auto"/>
              </w:rPr>
            </w:pPr>
            <w:r>
              <w:rPr>
                <w:rFonts w:ascii="Arial" w:cs="Arial" w:eastAsia="Arial" w:hAnsi="Arial"/>
                <w:sz w:val="14"/>
                <w:szCs w:val="14"/>
                <w:b w:val="1"/>
                <w:bCs w:val="1"/>
                <w:color w:val="FFFFFF"/>
              </w:rPr>
              <w:t>Unexercisable</w:t>
            </w:r>
          </w:p>
        </w:tc>
        <w:tc>
          <w:tcPr>
            <w:tcW w:w="860" w:type="dxa"/>
            <w:vAlign w:val="bottom"/>
            <w:shd w:val="clear" w:color="auto" w:fill="1F2A44"/>
          </w:tcPr>
          <w:p>
            <w:pPr>
              <w:jc w:val="center"/>
              <w:ind w:right="188"/>
              <w:spacing w:after="0"/>
              <w:rPr>
                <w:sz w:val="20"/>
                <w:szCs w:val="20"/>
                <w:color w:val="auto"/>
              </w:rPr>
            </w:pPr>
            <w:r>
              <w:rPr>
                <w:rFonts w:ascii="Arial" w:cs="Arial" w:eastAsia="Arial" w:hAnsi="Arial"/>
                <w:sz w:val="14"/>
                <w:szCs w:val="14"/>
                <w:b w:val="1"/>
                <w:bCs w:val="1"/>
                <w:color w:val="FFFFFF"/>
              </w:rPr>
              <w:t>Price</w:t>
            </w:r>
          </w:p>
        </w:tc>
        <w:tc>
          <w:tcPr>
            <w:tcW w:w="122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2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Vested</w:t>
            </w:r>
          </w:p>
        </w:tc>
        <w:tc>
          <w:tcPr>
            <w:tcW w:w="1220" w:type="dxa"/>
            <w:vAlign w:val="bottom"/>
            <w:gridSpan w:val="2"/>
            <w:shd w:val="clear" w:color="auto" w:fill="1F2A44"/>
          </w:tcPr>
          <w:p>
            <w:pPr>
              <w:jc w:val="center"/>
              <w:ind w:left="88"/>
              <w:spacing w:after="0" w:line="205" w:lineRule="exact"/>
              <w:rPr>
                <w:sz w:val="20"/>
                <w:szCs w:val="20"/>
                <w:color w:val="auto"/>
              </w:rPr>
            </w:pPr>
            <w:r>
              <w:rPr>
                <w:rFonts w:ascii="Arial" w:cs="Arial" w:eastAsia="Arial" w:hAnsi="Arial"/>
                <w:sz w:val="14"/>
                <w:szCs w:val="14"/>
                <w:b w:val="1"/>
                <w:bCs w:val="1"/>
                <w:color w:val="FFFFFF"/>
                <w:w w:val="95"/>
              </w:rPr>
              <w:t>Vested</w:t>
            </w:r>
            <w:r>
              <w:rPr>
                <w:rFonts w:ascii="Arial" w:cs="Arial" w:eastAsia="Arial" w:hAnsi="Arial"/>
                <w:sz w:val="23"/>
                <w:szCs w:val="23"/>
                <w:b w:val="1"/>
                <w:bCs w:val="1"/>
                <w:color w:val="FFFFFF"/>
                <w:w w:val="95"/>
                <w:vertAlign w:val="superscript"/>
              </w:rPr>
              <w:t>(6)</w:t>
            </w:r>
          </w:p>
        </w:tc>
      </w:tr>
      <w:tr>
        <w:trPr>
          <w:trHeight w:val="191"/>
        </w:trPr>
        <w:tc>
          <w:tcPr>
            <w:tcW w:w="320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104,788</w:t>
            </w:r>
          </w:p>
        </w:tc>
        <w:tc>
          <w:tcPr>
            <w:tcW w:w="1720" w:type="dxa"/>
            <w:vAlign w:val="bottom"/>
          </w:tcPr>
          <w:p>
            <w:pPr>
              <w:jc w:val="right"/>
              <w:ind w:right="808"/>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$43.48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2/17/2019</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3,061</w:t>
            </w:r>
            <w:r>
              <w:rPr>
                <w:rFonts w:ascii="Arial" w:cs="Arial" w:eastAsia="Arial" w:hAnsi="Arial"/>
                <w:sz w:val="12"/>
                <w:szCs w:val="12"/>
                <w:color w:val="auto"/>
              </w:rPr>
              <w:t>(1)</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406,531</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46,535</w:t>
            </w:r>
            <w:r>
              <w:rPr>
                <w:rFonts w:ascii="Arial" w:cs="Arial" w:eastAsia="Arial" w:hAnsi="Arial"/>
                <w:sz w:val="12"/>
                <w:szCs w:val="12"/>
                <w:color w:val="auto"/>
              </w:rPr>
              <w:t>(1)</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6,180,313</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2,023</w:t>
            </w:r>
            <w:r>
              <w:rPr>
                <w:rFonts w:ascii="Arial" w:cs="Arial" w:eastAsia="Arial" w:hAnsi="Arial"/>
                <w:sz w:val="12"/>
                <w:szCs w:val="12"/>
                <w:color w:val="auto"/>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268,675</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30,633</w:t>
            </w:r>
            <w:r>
              <w:rPr>
                <w:rFonts w:ascii="Arial" w:cs="Arial" w:eastAsia="Arial" w:hAnsi="Arial"/>
                <w:sz w:val="12"/>
                <w:szCs w:val="12"/>
                <w:color w:val="auto"/>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4,068,369</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1,083</w:t>
            </w:r>
            <w:r>
              <w:rPr>
                <w:rFonts w:ascii="Arial" w:cs="Arial" w:eastAsia="Arial" w:hAnsi="Arial"/>
                <w:sz w:val="12"/>
                <w:szCs w:val="12"/>
                <w:color w:val="auto"/>
              </w:rPr>
              <w:t>(3)</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143,833</w:t>
            </w:r>
          </w:p>
        </w:tc>
      </w:tr>
      <w:tr>
        <w:trPr>
          <w:trHeight w:val="195"/>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7,027</w:t>
            </w:r>
            <w:r>
              <w:rPr>
                <w:rFonts w:ascii="Arial" w:cs="Arial" w:eastAsia="Arial" w:hAnsi="Arial"/>
                <w:sz w:val="12"/>
                <w:szCs w:val="12"/>
                <w:color w:val="auto"/>
              </w:rPr>
              <w:t>(3)</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933,256</w:t>
            </w:r>
          </w:p>
        </w:tc>
      </w:tr>
      <w:tr>
        <w:trPr>
          <w:trHeight w:val="197"/>
        </w:trPr>
        <w:tc>
          <w:tcPr>
            <w:tcW w:w="3200" w:type="dxa"/>
            <w:vAlign w:val="bottom"/>
            <w:shd w:val="clear" w:color="auto" w:fill="D2D4D9"/>
          </w:tcPr>
          <w:p>
            <w:pPr>
              <w:ind w:left="60"/>
              <w:spacing w:after="0"/>
              <w:rPr>
                <w:sz w:val="20"/>
                <w:szCs w:val="20"/>
                <w:color w:val="auto"/>
              </w:rPr>
            </w:pPr>
            <w:r>
              <w:rPr>
                <w:rFonts w:ascii="Arial" w:cs="Arial" w:eastAsia="Arial" w:hAnsi="Arial"/>
                <w:sz w:val="14"/>
                <w:szCs w:val="14"/>
                <w:color w:val="auto"/>
              </w:rPr>
              <w:t>Daniel Guglielmone</w:t>
            </w:r>
          </w:p>
        </w:tc>
        <w:tc>
          <w:tcPr>
            <w:tcW w:w="1540" w:type="dxa"/>
            <w:vAlign w:val="bottom"/>
            <w:shd w:val="clear" w:color="auto" w:fill="D2D4D9"/>
          </w:tcPr>
          <w:p>
            <w:pPr>
              <w:jc w:val="right"/>
              <w:ind w:right="208"/>
              <w:spacing w:after="0"/>
              <w:rPr>
                <w:sz w:val="20"/>
                <w:szCs w:val="20"/>
                <w:color w:val="auto"/>
              </w:rPr>
            </w:pPr>
            <w:r>
              <w:rPr>
                <w:rFonts w:ascii="Arial" w:cs="Arial" w:eastAsia="Arial" w:hAnsi="Arial"/>
                <w:sz w:val="14"/>
                <w:szCs w:val="14"/>
                <w:color w:val="auto"/>
              </w:rPr>
              <w:t>0</w:t>
            </w:r>
          </w:p>
        </w:tc>
        <w:tc>
          <w:tcPr>
            <w:tcW w:w="1720" w:type="dxa"/>
            <w:vAlign w:val="bottom"/>
            <w:shd w:val="clear" w:color="auto" w:fill="D2D4D9"/>
          </w:tcPr>
          <w:p>
            <w:pPr>
              <w:jc w:val="right"/>
              <w:ind w:right="808"/>
              <w:spacing w:after="0"/>
              <w:rPr>
                <w:sz w:val="20"/>
                <w:szCs w:val="20"/>
                <w:color w:val="auto"/>
              </w:rPr>
            </w:pPr>
            <w:r>
              <w:rPr>
                <w:rFonts w:ascii="Arial" w:cs="Arial" w:eastAsia="Arial" w:hAnsi="Arial"/>
                <w:sz w:val="14"/>
                <w:szCs w:val="14"/>
                <w:color w:val="auto"/>
              </w:rPr>
              <w:t>0</w:t>
            </w:r>
          </w:p>
        </w:tc>
        <w:tc>
          <w:tcPr>
            <w:tcW w:w="860" w:type="dxa"/>
            <w:vAlign w:val="bottom"/>
            <w:shd w:val="clear" w:color="auto" w:fill="D2D4D9"/>
          </w:tcPr>
          <w:p>
            <w:pPr>
              <w:spacing w:after="0"/>
              <w:rPr>
                <w:sz w:val="17"/>
                <w:szCs w:val="17"/>
                <w:color w:val="auto"/>
              </w:rPr>
            </w:pPr>
          </w:p>
        </w:tc>
        <w:tc>
          <w:tcPr>
            <w:tcW w:w="1220" w:type="dxa"/>
            <w:vAlign w:val="bottom"/>
            <w:shd w:val="clear" w:color="auto" w:fill="D2D4D9"/>
          </w:tcPr>
          <w:p>
            <w:pPr>
              <w:spacing w:after="0"/>
              <w:rPr>
                <w:sz w:val="17"/>
                <w:szCs w:val="17"/>
                <w:color w:val="auto"/>
              </w:rPr>
            </w:pPr>
          </w:p>
        </w:tc>
        <w:tc>
          <w:tcPr>
            <w:tcW w:w="1260" w:type="dxa"/>
            <w:vAlign w:val="bottom"/>
            <w:shd w:val="clear" w:color="auto" w:fill="D2D4D9"/>
          </w:tcPr>
          <w:p>
            <w:pPr>
              <w:jc w:val="right"/>
              <w:ind w:right="188"/>
              <w:spacing w:after="0"/>
              <w:rPr>
                <w:sz w:val="20"/>
                <w:szCs w:val="20"/>
                <w:color w:val="auto"/>
              </w:rPr>
            </w:pPr>
            <w:r>
              <w:rPr>
                <w:rFonts w:ascii="Arial" w:cs="Arial" w:eastAsia="Arial" w:hAnsi="Arial"/>
                <w:sz w:val="14"/>
                <w:szCs w:val="14"/>
                <w:color w:val="auto"/>
              </w:rPr>
              <w:t>6,443</w:t>
            </w:r>
            <w:r>
              <w:rPr>
                <w:rFonts w:ascii="Arial" w:cs="Arial" w:eastAsia="Arial" w:hAnsi="Arial"/>
                <w:sz w:val="12"/>
                <w:szCs w:val="12"/>
                <w:color w:val="auto"/>
              </w:rPr>
              <w:t>(1)</w:t>
            </w:r>
          </w:p>
        </w:tc>
        <w:tc>
          <w:tcPr>
            <w:tcW w:w="54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4"/>
                <w:szCs w:val="14"/>
                <w:color w:val="auto"/>
              </w:rPr>
              <w:t>855,695</w:t>
            </w:r>
          </w:p>
        </w:tc>
      </w:tr>
      <w:tr>
        <w:trPr>
          <w:trHeight w:val="189"/>
        </w:trPr>
        <w:tc>
          <w:tcPr>
            <w:tcW w:w="3200" w:type="dxa"/>
            <w:vAlign w:val="bottom"/>
            <w:shd w:val="clear" w:color="auto" w:fill="D2D4D9"/>
          </w:tcPr>
          <w:p>
            <w:pPr>
              <w:spacing w:after="0"/>
              <w:rPr>
                <w:sz w:val="16"/>
                <w:szCs w:val="16"/>
                <w:color w:val="auto"/>
              </w:rPr>
            </w:pPr>
          </w:p>
        </w:tc>
        <w:tc>
          <w:tcPr>
            <w:tcW w:w="1540" w:type="dxa"/>
            <w:vAlign w:val="bottom"/>
            <w:shd w:val="clear" w:color="auto" w:fill="D2D4D9"/>
          </w:tcPr>
          <w:p>
            <w:pPr>
              <w:spacing w:after="0"/>
              <w:rPr>
                <w:sz w:val="16"/>
                <w:szCs w:val="16"/>
                <w:color w:val="auto"/>
              </w:rPr>
            </w:pPr>
          </w:p>
        </w:tc>
        <w:tc>
          <w:tcPr>
            <w:tcW w:w="1720" w:type="dxa"/>
            <w:vAlign w:val="bottom"/>
            <w:shd w:val="clear" w:color="auto" w:fill="D2D4D9"/>
          </w:tcPr>
          <w:p>
            <w:pPr>
              <w:spacing w:after="0"/>
              <w:rPr>
                <w:sz w:val="16"/>
                <w:szCs w:val="16"/>
                <w:color w:val="auto"/>
              </w:rPr>
            </w:pPr>
          </w:p>
        </w:tc>
        <w:tc>
          <w:tcPr>
            <w:tcW w:w="860" w:type="dxa"/>
            <w:vAlign w:val="bottom"/>
            <w:shd w:val="clear" w:color="auto" w:fill="D2D4D9"/>
          </w:tcPr>
          <w:p>
            <w:pPr>
              <w:spacing w:after="0"/>
              <w:rPr>
                <w:sz w:val="16"/>
                <w:szCs w:val="16"/>
                <w:color w:val="auto"/>
              </w:rPr>
            </w:pPr>
          </w:p>
        </w:tc>
        <w:tc>
          <w:tcPr>
            <w:tcW w:w="1220" w:type="dxa"/>
            <w:vAlign w:val="bottom"/>
            <w:shd w:val="clear" w:color="auto" w:fill="D2D4D9"/>
          </w:tcPr>
          <w:p>
            <w:pPr>
              <w:spacing w:after="0"/>
              <w:rPr>
                <w:sz w:val="16"/>
                <w:szCs w:val="16"/>
                <w:color w:val="auto"/>
              </w:rPr>
            </w:pPr>
          </w:p>
        </w:tc>
        <w:tc>
          <w:tcPr>
            <w:tcW w:w="1260" w:type="dxa"/>
            <w:vAlign w:val="bottom"/>
            <w:shd w:val="clear" w:color="auto" w:fill="D2D4D9"/>
          </w:tcPr>
          <w:p>
            <w:pPr>
              <w:jc w:val="right"/>
              <w:ind w:right="188"/>
              <w:spacing w:after="0"/>
              <w:rPr>
                <w:sz w:val="20"/>
                <w:szCs w:val="20"/>
                <w:color w:val="auto"/>
              </w:rPr>
            </w:pPr>
            <w:r>
              <w:rPr>
                <w:rFonts w:ascii="Arial" w:cs="Arial" w:eastAsia="Arial" w:hAnsi="Arial"/>
                <w:sz w:val="14"/>
                <w:szCs w:val="14"/>
                <w:color w:val="auto"/>
              </w:rPr>
              <w:t>2,089</w:t>
            </w:r>
            <w:r>
              <w:rPr>
                <w:rFonts w:ascii="Arial" w:cs="Arial" w:eastAsia="Arial" w:hAnsi="Arial"/>
                <w:sz w:val="12"/>
                <w:szCs w:val="12"/>
                <w:color w:val="auto"/>
              </w:rPr>
              <w:t>(4)</w:t>
            </w:r>
          </w:p>
        </w:tc>
        <w:tc>
          <w:tcPr>
            <w:tcW w:w="54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4"/>
                <w:szCs w:val="14"/>
                <w:color w:val="auto"/>
              </w:rPr>
              <w:t>277,440</w:t>
            </w:r>
          </w:p>
        </w:tc>
      </w:tr>
      <w:tr>
        <w:trPr>
          <w:trHeight w:val="201"/>
        </w:trPr>
        <w:tc>
          <w:tcPr>
            <w:tcW w:w="3200" w:type="dxa"/>
            <w:vAlign w:val="bottom"/>
            <w:shd w:val="clear" w:color="auto" w:fill="D2D4D9"/>
          </w:tcPr>
          <w:p>
            <w:pPr>
              <w:spacing w:after="0"/>
              <w:rPr>
                <w:sz w:val="17"/>
                <w:szCs w:val="17"/>
                <w:color w:val="auto"/>
              </w:rPr>
            </w:pPr>
          </w:p>
        </w:tc>
        <w:tc>
          <w:tcPr>
            <w:tcW w:w="1540" w:type="dxa"/>
            <w:vAlign w:val="bottom"/>
            <w:shd w:val="clear" w:color="auto" w:fill="D2D4D9"/>
          </w:tcPr>
          <w:p>
            <w:pPr>
              <w:spacing w:after="0"/>
              <w:rPr>
                <w:sz w:val="17"/>
                <w:szCs w:val="17"/>
                <w:color w:val="auto"/>
              </w:rPr>
            </w:pPr>
          </w:p>
        </w:tc>
        <w:tc>
          <w:tcPr>
            <w:tcW w:w="1720" w:type="dxa"/>
            <w:vAlign w:val="bottom"/>
            <w:shd w:val="clear" w:color="auto" w:fill="D2D4D9"/>
          </w:tcPr>
          <w:p>
            <w:pPr>
              <w:spacing w:after="0"/>
              <w:rPr>
                <w:sz w:val="17"/>
                <w:szCs w:val="17"/>
                <w:color w:val="auto"/>
              </w:rPr>
            </w:pPr>
          </w:p>
        </w:tc>
        <w:tc>
          <w:tcPr>
            <w:tcW w:w="860" w:type="dxa"/>
            <w:vAlign w:val="bottom"/>
            <w:shd w:val="clear" w:color="auto" w:fill="D2D4D9"/>
          </w:tcPr>
          <w:p>
            <w:pPr>
              <w:spacing w:after="0"/>
              <w:rPr>
                <w:sz w:val="17"/>
                <w:szCs w:val="17"/>
                <w:color w:val="auto"/>
              </w:rPr>
            </w:pPr>
          </w:p>
        </w:tc>
        <w:tc>
          <w:tcPr>
            <w:tcW w:w="1220" w:type="dxa"/>
            <w:vAlign w:val="bottom"/>
            <w:shd w:val="clear" w:color="auto" w:fill="D2D4D9"/>
          </w:tcPr>
          <w:p>
            <w:pPr>
              <w:spacing w:after="0"/>
              <w:rPr>
                <w:sz w:val="17"/>
                <w:szCs w:val="17"/>
                <w:color w:val="auto"/>
              </w:rPr>
            </w:pPr>
          </w:p>
        </w:tc>
        <w:tc>
          <w:tcPr>
            <w:tcW w:w="1260" w:type="dxa"/>
            <w:vAlign w:val="bottom"/>
            <w:shd w:val="clear" w:color="auto" w:fill="D2D4D9"/>
          </w:tcPr>
          <w:p>
            <w:pPr>
              <w:jc w:val="right"/>
              <w:ind w:right="188"/>
              <w:spacing w:after="0"/>
              <w:rPr>
                <w:sz w:val="20"/>
                <w:szCs w:val="20"/>
                <w:color w:val="auto"/>
              </w:rPr>
            </w:pPr>
            <w:r>
              <w:rPr>
                <w:rFonts w:ascii="Arial" w:cs="Arial" w:eastAsia="Arial" w:hAnsi="Arial"/>
                <w:sz w:val="14"/>
                <w:szCs w:val="14"/>
                <w:color w:val="auto"/>
              </w:rPr>
              <w:t>5,371</w:t>
            </w:r>
            <w:r>
              <w:rPr>
                <w:rFonts w:ascii="Arial" w:cs="Arial" w:eastAsia="Arial" w:hAnsi="Arial"/>
                <w:sz w:val="12"/>
                <w:szCs w:val="12"/>
                <w:color w:val="auto"/>
              </w:rPr>
              <w:t>(5)</w:t>
            </w:r>
          </w:p>
        </w:tc>
        <w:tc>
          <w:tcPr>
            <w:tcW w:w="54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4"/>
                <w:szCs w:val="14"/>
                <w:color w:val="auto"/>
              </w:rPr>
              <w:t>713,323</w:t>
            </w:r>
          </w:p>
        </w:tc>
      </w:tr>
      <w:tr>
        <w:trPr>
          <w:trHeight w:val="191"/>
        </w:trPr>
        <w:tc>
          <w:tcPr>
            <w:tcW w:w="320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720" w:type="dxa"/>
            <w:vAlign w:val="bottom"/>
          </w:tcPr>
          <w:p>
            <w:pPr>
              <w:jc w:val="right"/>
              <w:ind w:right="808"/>
              <w:spacing w:after="0"/>
              <w:rPr>
                <w:sz w:val="20"/>
                <w:szCs w:val="20"/>
                <w:color w:val="auto"/>
              </w:rPr>
            </w:pPr>
            <w:r>
              <w:rPr>
                <w:rFonts w:ascii="Arial" w:cs="Arial" w:eastAsia="Arial" w:hAnsi="Arial"/>
                <w:sz w:val="14"/>
                <w:szCs w:val="14"/>
                <w:color w:val="auto"/>
              </w:rPr>
              <w:t>0</w:t>
            </w: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725</w:t>
            </w:r>
            <w:r>
              <w:rPr>
                <w:rFonts w:ascii="Arial" w:cs="Arial" w:eastAsia="Arial" w:hAnsi="Arial"/>
                <w:sz w:val="12"/>
                <w:szCs w:val="12"/>
                <w:color w:val="auto"/>
              </w:rPr>
              <w:t>(1)</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96,287</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6,284</w:t>
            </w:r>
            <w:r>
              <w:rPr>
                <w:rFonts w:ascii="Arial" w:cs="Arial" w:eastAsia="Arial" w:hAnsi="Arial"/>
                <w:sz w:val="12"/>
                <w:szCs w:val="12"/>
                <w:color w:val="auto"/>
              </w:rPr>
              <w:t>(1)</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834,578</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3,495</w:t>
            </w:r>
            <w:r>
              <w:rPr>
                <w:rFonts w:ascii="Arial" w:cs="Arial" w:eastAsia="Arial" w:hAnsi="Arial"/>
                <w:sz w:val="12"/>
                <w:szCs w:val="12"/>
                <w:color w:val="auto"/>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464,171</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271</w:t>
            </w:r>
            <w:r>
              <w:rPr>
                <w:rFonts w:ascii="Arial" w:cs="Arial" w:eastAsia="Arial" w:hAnsi="Arial"/>
                <w:sz w:val="12"/>
                <w:szCs w:val="12"/>
                <w:color w:val="auto"/>
              </w:rPr>
              <w:t>(3)</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35,992</w:t>
            </w:r>
          </w:p>
        </w:tc>
      </w:tr>
      <w:tr>
        <w:trPr>
          <w:trHeight w:val="189"/>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1,054</w:t>
            </w:r>
            <w:r>
              <w:rPr>
                <w:rFonts w:ascii="Arial" w:cs="Arial" w:eastAsia="Arial" w:hAnsi="Arial"/>
                <w:sz w:val="12"/>
                <w:szCs w:val="12"/>
                <w:color w:val="auto"/>
              </w:rPr>
              <w:t>(3)</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139,982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-2341245</wp:posOffset>
            </wp:positionV>
            <wp:extent cx="46907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93345</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2"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One-third of these Shares vested on February 12, 2018 and the remaining Shares will vest on February 12, 2019 and 2020.</w:t>
      </w:r>
    </w:p>
    <w:p>
      <w:pPr>
        <w:ind w:left="640" w:hanging="436"/>
        <w:spacing w:after="0" w:line="23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One-half of these Shares vested on February 12, 2018 and the remaining Shares will vest on February 12, 2019.</w:t>
      </w: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shares vested on February 12, 2018.</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One-third of these Shares vested on August 15, 2017 and the remaining Shares will vest on August 15, 2018 and 2019.</w:t>
      </w:r>
    </w:p>
    <w:p>
      <w:pPr>
        <w:ind w:left="640" w:right="20" w:hanging="436"/>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One-seventh of these Shares vested on August 15, 2017 and the remaining Shares will vest equally on August 15 of each of 2018 through 2023.</w:t>
      </w:r>
    </w:p>
    <w:p>
      <w:pPr>
        <w:spacing w:after="0" w:line="1"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value of outstanding unvested Shares is based on $132.81, the closing price of our Shares on the NYSE on December 29, 2017.</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following table includes certain information with respect to options exercised in 2017 by each of our NEOs and Shares that vested during 2017.</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560" w:type="dxa"/>
            <w:vAlign w:val="bottom"/>
            <w:shd w:val="clear" w:color="auto" w:fill="1F2A44"/>
          </w:tcPr>
          <w:p>
            <w:pPr>
              <w:spacing w:after="0"/>
              <w:rPr>
                <w:sz w:val="14"/>
                <w:szCs w:val="14"/>
                <w:color w:val="auto"/>
              </w:rPr>
            </w:pPr>
          </w:p>
        </w:tc>
        <w:tc>
          <w:tcPr>
            <w:tcW w:w="2700" w:type="dxa"/>
            <w:vAlign w:val="bottom"/>
            <w:shd w:val="clear" w:color="auto" w:fill="1F2A44"/>
          </w:tcPr>
          <w:p>
            <w:pPr>
              <w:jc w:val="right"/>
              <w:spacing w:after="0"/>
              <w:rPr>
                <w:sz w:val="20"/>
                <w:szCs w:val="20"/>
                <w:color w:val="auto"/>
              </w:rPr>
            </w:pPr>
            <w:r>
              <w:rPr>
                <w:rFonts w:ascii="Arial" w:cs="Arial" w:eastAsia="Arial" w:hAnsi="Arial"/>
                <w:sz w:val="14"/>
                <w:szCs w:val="14"/>
                <w:b w:val="1"/>
                <w:bCs w:val="1"/>
                <w:color w:val="FFFFFF"/>
              </w:rPr>
              <w:t>Option Awards</w:t>
            </w:r>
          </w:p>
        </w:tc>
        <w:tc>
          <w:tcPr>
            <w:tcW w:w="1340" w:type="dxa"/>
            <w:vAlign w:val="bottom"/>
            <w:gridSpan w:val="2"/>
            <w:vMerge w:val="restart"/>
            <w:shd w:val="clear" w:color="auto" w:fill="1F2A44"/>
          </w:tcPr>
          <w:p>
            <w:pPr>
              <w:jc w:val="center"/>
              <w:ind w:right="208"/>
              <w:spacing w:after="0"/>
              <w:rPr>
                <w:sz w:val="20"/>
                <w:szCs w:val="20"/>
                <w:color w:val="auto"/>
              </w:rPr>
            </w:pPr>
            <w:r>
              <w:rPr>
                <w:rFonts w:ascii="Arial" w:cs="Arial" w:eastAsia="Arial" w:hAnsi="Arial"/>
                <w:sz w:val="14"/>
                <w:szCs w:val="14"/>
                <w:b w:val="1"/>
                <w:bCs w:val="1"/>
                <w:color w:val="FFFFFF"/>
              </w:rPr>
              <w:t>Value</w:t>
            </w:r>
          </w:p>
        </w:tc>
        <w:tc>
          <w:tcPr>
            <w:tcW w:w="2400" w:type="dxa"/>
            <w:vAlign w:val="bottom"/>
            <w:shd w:val="clear" w:color="auto" w:fill="1F2A44"/>
          </w:tcPr>
          <w:p>
            <w:pPr>
              <w:jc w:val="right"/>
              <w:spacing w:after="0"/>
              <w:rPr>
                <w:sz w:val="20"/>
                <w:szCs w:val="20"/>
                <w:color w:val="auto"/>
              </w:rPr>
            </w:pPr>
            <w:r>
              <w:rPr>
                <w:rFonts w:ascii="Arial" w:cs="Arial" w:eastAsia="Arial" w:hAnsi="Arial"/>
                <w:sz w:val="14"/>
                <w:szCs w:val="14"/>
                <w:b w:val="1"/>
                <w:bCs w:val="1"/>
                <w:color w:val="FFFFFF"/>
              </w:rPr>
              <w:t>Stock Awards</w:t>
            </w:r>
          </w:p>
        </w:tc>
        <w:tc>
          <w:tcPr>
            <w:tcW w:w="1020" w:type="dxa"/>
            <w:vAlign w:val="bottom"/>
            <w:gridSpan w:val="2"/>
            <w:vMerge w:val="restart"/>
            <w:shd w:val="clear" w:color="auto" w:fill="1F2A44"/>
          </w:tcPr>
          <w:p>
            <w:pPr>
              <w:jc w:val="center"/>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62"/>
        </w:trPr>
        <w:tc>
          <w:tcPr>
            <w:tcW w:w="3560" w:type="dxa"/>
            <w:vAlign w:val="bottom"/>
            <w:shd w:val="clear" w:color="auto" w:fill="1F2A44"/>
          </w:tcPr>
          <w:p>
            <w:pPr>
              <w:spacing w:after="0"/>
              <w:rPr>
                <w:sz w:val="14"/>
                <w:szCs w:val="14"/>
                <w:color w:val="auto"/>
              </w:rPr>
            </w:pPr>
          </w:p>
        </w:tc>
        <w:tc>
          <w:tcPr>
            <w:tcW w:w="2700" w:type="dxa"/>
            <w:vAlign w:val="bottom"/>
            <w:shd w:val="clear" w:color="auto" w:fill="1F2A44"/>
          </w:tcPr>
          <w:p>
            <w:pPr>
              <w:spacing w:after="0"/>
              <w:rPr>
                <w:sz w:val="14"/>
                <w:szCs w:val="14"/>
                <w:color w:val="auto"/>
              </w:rPr>
            </w:pPr>
          </w:p>
        </w:tc>
        <w:tc>
          <w:tcPr>
            <w:tcW w:w="1340" w:type="dxa"/>
            <w:vAlign w:val="bottom"/>
            <w:gridSpan w:val="2"/>
            <w:vMerge w:val="continue"/>
            <w:shd w:val="clear" w:color="auto" w:fill="1F2A44"/>
          </w:tcPr>
          <w:p>
            <w:pPr>
              <w:spacing w:after="0"/>
              <w:rPr>
                <w:sz w:val="14"/>
                <w:szCs w:val="14"/>
                <w:color w:val="auto"/>
              </w:rPr>
            </w:pPr>
          </w:p>
        </w:tc>
        <w:tc>
          <w:tcPr>
            <w:tcW w:w="2400" w:type="dxa"/>
            <w:vAlign w:val="bottom"/>
            <w:shd w:val="clear" w:color="auto" w:fill="1F2A44"/>
          </w:tcPr>
          <w:p>
            <w:pPr>
              <w:spacing w:after="0"/>
              <w:rPr>
                <w:sz w:val="14"/>
                <w:szCs w:val="14"/>
                <w:color w:val="auto"/>
              </w:rPr>
            </w:pPr>
          </w:p>
        </w:tc>
        <w:tc>
          <w:tcPr>
            <w:tcW w:w="1020" w:type="dxa"/>
            <w:vAlign w:val="bottom"/>
            <w:gridSpan w:val="2"/>
            <w:vMerge w:val="continue"/>
            <w:shd w:val="clear" w:color="auto" w:fill="1F2A44"/>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60" w:type="dxa"/>
            <w:vAlign w:val="bottom"/>
            <w:shd w:val="clear" w:color="auto" w:fill="1F2A44"/>
          </w:tcPr>
          <w:p>
            <w:pPr>
              <w:spacing w:after="0"/>
              <w:rPr>
                <w:sz w:val="13"/>
                <w:szCs w:val="13"/>
                <w:color w:val="auto"/>
              </w:rPr>
            </w:pPr>
          </w:p>
        </w:tc>
        <w:tc>
          <w:tcPr>
            <w:tcW w:w="2700" w:type="dxa"/>
            <w:vAlign w:val="bottom"/>
            <w:shd w:val="clear" w:color="auto" w:fill="1F2A44"/>
          </w:tcPr>
          <w:p>
            <w:pPr>
              <w:jc w:val="right"/>
              <w:ind w:right="668"/>
              <w:spacing w:after="0" w:line="159" w:lineRule="exact"/>
              <w:rPr>
                <w:sz w:val="20"/>
                <w:szCs w:val="20"/>
                <w:color w:val="auto"/>
              </w:rPr>
            </w:pPr>
            <w:r>
              <w:rPr>
                <w:rFonts w:ascii="Arial" w:cs="Arial" w:eastAsia="Arial" w:hAnsi="Arial"/>
                <w:sz w:val="14"/>
                <w:szCs w:val="14"/>
                <w:b w:val="1"/>
                <w:bCs w:val="1"/>
                <w:color w:val="FFFFFF"/>
              </w:rPr>
              <w:t>Number of Shares</w:t>
            </w:r>
          </w:p>
        </w:tc>
        <w:tc>
          <w:tcPr>
            <w:tcW w:w="1340" w:type="dxa"/>
            <w:vAlign w:val="bottom"/>
            <w:gridSpan w:val="2"/>
            <w:shd w:val="clear" w:color="auto" w:fill="1F2A44"/>
          </w:tcPr>
          <w:p>
            <w:pPr>
              <w:jc w:val="center"/>
              <w:ind w:right="208"/>
              <w:spacing w:after="0" w:line="159" w:lineRule="exact"/>
              <w:rPr>
                <w:sz w:val="20"/>
                <w:szCs w:val="20"/>
                <w:color w:val="auto"/>
              </w:rPr>
            </w:pPr>
            <w:r>
              <w:rPr>
                <w:rFonts w:ascii="Arial" w:cs="Arial" w:eastAsia="Arial" w:hAnsi="Arial"/>
                <w:sz w:val="14"/>
                <w:szCs w:val="14"/>
                <w:b w:val="1"/>
                <w:bCs w:val="1"/>
                <w:color w:val="FFFFFF"/>
              </w:rPr>
              <w:t>Realized</w:t>
            </w:r>
          </w:p>
        </w:tc>
        <w:tc>
          <w:tcPr>
            <w:tcW w:w="2400" w:type="dxa"/>
            <w:vAlign w:val="bottom"/>
            <w:shd w:val="clear" w:color="auto" w:fill="1F2A44"/>
          </w:tcPr>
          <w:p>
            <w:pPr>
              <w:jc w:val="right"/>
              <w:ind w:right="668"/>
              <w:spacing w:after="0" w:line="159" w:lineRule="exact"/>
              <w:rPr>
                <w:sz w:val="20"/>
                <w:szCs w:val="20"/>
                <w:color w:val="auto"/>
              </w:rPr>
            </w:pPr>
            <w:r>
              <w:rPr>
                <w:rFonts w:ascii="Arial" w:cs="Arial" w:eastAsia="Arial" w:hAnsi="Arial"/>
                <w:sz w:val="14"/>
                <w:szCs w:val="14"/>
                <w:b w:val="1"/>
                <w:bCs w:val="1"/>
                <w:color w:val="FFFFFF"/>
              </w:rPr>
              <w:t>Number of Shares</w:t>
            </w:r>
          </w:p>
        </w:tc>
        <w:tc>
          <w:tcPr>
            <w:tcW w:w="1020" w:type="dxa"/>
            <w:vAlign w:val="bottom"/>
            <w:gridSpan w:val="2"/>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Realized</w:t>
            </w:r>
          </w:p>
        </w:tc>
        <w:tc>
          <w:tcPr>
            <w:tcW w:w="0" w:type="dxa"/>
            <w:vAlign w:val="bottom"/>
          </w:tcPr>
          <w:p>
            <w:pPr>
              <w:spacing w:after="0"/>
              <w:rPr>
                <w:sz w:val="1"/>
                <w:szCs w:val="1"/>
                <w:color w:val="auto"/>
              </w:rPr>
            </w:pPr>
          </w:p>
        </w:tc>
      </w:tr>
      <w:tr>
        <w:trPr>
          <w:trHeight w:val="206"/>
        </w:trPr>
        <w:tc>
          <w:tcPr>
            <w:tcW w:w="356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2700" w:type="dxa"/>
            <w:vAlign w:val="bottom"/>
            <w:shd w:val="clear" w:color="auto" w:fill="1F2A44"/>
          </w:tcPr>
          <w:p>
            <w:pPr>
              <w:jc w:val="right"/>
              <w:ind w:right="568"/>
              <w:spacing w:after="0"/>
              <w:rPr>
                <w:sz w:val="20"/>
                <w:szCs w:val="20"/>
                <w:color w:val="auto"/>
              </w:rPr>
            </w:pPr>
            <w:r>
              <w:rPr>
                <w:rFonts w:ascii="Arial" w:cs="Arial" w:eastAsia="Arial" w:hAnsi="Arial"/>
                <w:sz w:val="14"/>
                <w:szCs w:val="14"/>
                <w:b w:val="1"/>
                <w:bCs w:val="1"/>
                <w:color w:val="FFFFFF"/>
              </w:rPr>
              <w:t>Acquired on Exercise</w:t>
            </w:r>
          </w:p>
        </w:tc>
        <w:tc>
          <w:tcPr>
            <w:tcW w:w="1340" w:type="dxa"/>
            <w:vAlign w:val="bottom"/>
            <w:gridSpan w:val="2"/>
            <w:shd w:val="clear" w:color="auto" w:fill="1F2A44"/>
          </w:tcPr>
          <w:p>
            <w:pPr>
              <w:jc w:val="center"/>
              <w:ind w:right="228"/>
              <w:spacing w:after="0" w:line="205" w:lineRule="exact"/>
              <w:rPr>
                <w:sz w:val="20"/>
                <w:szCs w:val="20"/>
                <w:color w:val="auto"/>
              </w:rPr>
            </w:pPr>
            <w:r>
              <w:rPr>
                <w:rFonts w:ascii="Arial" w:cs="Arial" w:eastAsia="Arial" w:hAnsi="Arial"/>
                <w:sz w:val="14"/>
                <w:szCs w:val="14"/>
                <w:b w:val="1"/>
                <w:bCs w:val="1"/>
                <w:color w:val="FFFFFF"/>
                <w:w w:val="98"/>
              </w:rPr>
              <w:t>on Exercise</w:t>
            </w:r>
            <w:r>
              <w:rPr>
                <w:rFonts w:ascii="Arial" w:cs="Arial" w:eastAsia="Arial" w:hAnsi="Arial"/>
                <w:sz w:val="23"/>
                <w:szCs w:val="23"/>
                <w:b w:val="1"/>
                <w:bCs w:val="1"/>
                <w:color w:val="FFFFFF"/>
                <w:w w:val="98"/>
                <w:vertAlign w:val="superscript"/>
              </w:rPr>
              <w:t>(1)</w:t>
            </w:r>
          </w:p>
        </w:tc>
        <w:tc>
          <w:tcPr>
            <w:tcW w:w="2400" w:type="dxa"/>
            <w:vAlign w:val="bottom"/>
            <w:shd w:val="clear" w:color="auto" w:fill="1F2A44"/>
          </w:tcPr>
          <w:p>
            <w:pPr>
              <w:jc w:val="right"/>
              <w:ind w:right="588"/>
              <w:spacing w:after="0"/>
              <w:rPr>
                <w:sz w:val="20"/>
                <w:szCs w:val="20"/>
                <w:color w:val="auto"/>
              </w:rPr>
            </w:pPr>
            <w:r>
              <w:rPr>
                <w:rFonts w:ascii="Arial" w:cs="Arial" w:eastAsia="Arial" w:hAnsi="Arial"/>
                <w:sz w:val="14"/>
                <w:szCs w:val="14"/>
                <w:b w:val="1"/>
                <w:bCs w:val="1"/>
                <w:color w:val="FFFFFF"/>
              </w:rPr>
              <w:t>Acquired on Vesting</w:t>
            </w:r>
          </w:p>
        </w:tc>
        <w:tc>
          <w:tcPr>
            <w:tcW w:w="1020" w:type="dxa"/>
            <w:vAlign w:val="bottom"/>
            <w:gridSpan w:val="2"/>
            <w:shd w:val="clear" w:color="auto" w:fill="1F2A44"/>
          </w:tcPr>
          <w:p>
            <w:pPr>
              <w:jc w:val="center"/>
              <w:spacing w:after="0" w:line="205" w:lineRule="exact"/>
              <w:rPr>
                <w:sz w:val="20"/>
                <w:szCs w:val="20"/>
                <w:color w:val="auto"/>
              </w:rPr>
            </w:pPr>
            <w:r>
              <w:rPr>
                <w:rFonts w:ascii="Arial" w:cs="Arial" w:eastAsia="Arial" w:hAnsi="Arial"/>
                <w:sz w:val="14"/>
                <w:szCs w:val="14"/>
                <w:b w:val="1"/>
                <w:bCs w:val="1"/>
                <w:color w:val="FFFFFF"/>
                <w:w w:val="95"/>
              </w:rPr>
              <w:t>on Vesting</w:t>
            </w:r>
            <w:r>
              <w:rPr>
                <w:rFonts w:ascii="Arial" w:cs="Arial" w:eastAsia="Arial" w:hAnsi="Arial"/>
                <w:sz w:val="23"/>
                <w:szCs w:val="23"/>
                <w:b w:val="1"/>
                <w:bCs w:val="1"/>
                <w:color w:val="FFFFFF"/>
                <w:w w:val="95"/>
                <w:vertAlign w:val="superscript"/>
              </w:rPr>
              <w:t>(2)</w:t>
            </w:r>
          </w:p>
        </w:tc>
        <w:tc>
          <w:tcPr>
            <w:tcW w:w="0" w:type="dxa"/>
            <w:vAlign w:val="bottom"/>
          </w:tcPr>
          <w:p>
            <w:pPr>
              <w:spacing w:after="0"/>
              <w:rPr>
                <w:sz w:val="1"/>
                <w:szCs w:val="1"/>
                <w:color w:val="auto"/>
              </w:rPr>
            </w:pPr>
          </w:p>
        </w:tc>
      </w:tr>
      <w:tr>
        <w:trPr>
          <w:trHeight w:val="197"/>
        </w:trPr>
        <w:tc>
          <w:tcPr>
            <w:tcW w:w="356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2700" w:type="dxa"/>
            <w:vAlign w:val="bottom"/>
          </w:tcPr>
          <w:p>
            <w:pPr>
              <w:jc w:val="right"/>
              <w:ind w:right="868"/>
              <w:spacing w:after="0"/>
              <w:rPr>
                <w:sz w:val="20"/>
                <w:szCs w:val="20"/>
                <w:color w:val="auto"/>
              </w:rPr>
            </w:pPr>
            <w:r>
              <w:rPr>
                <w:rFonts w:ascii="Arial" w:cs="Arial" w:eastAsia="Arial" w:hAnsi="Arial"/>
                <w:sz w:val="14"/>
                <w:szCs w:val="14"/>
                <w:color w:val="auto"/>
              </w:rPr>
              <w:t>124,507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w w:val="99"/>
              </w:rPr>
              <w:t>9,021,283</w:t>
            </w:r>
          </w:p>
        </w:tc>
        <w:tc>
          <w:tcPr>
            <w:tcW w:w="2400" w:type="dxa"/>
            <w:vAlign w:val="bottom"/>
          </w:tcPr>
          <w:p>
            <w:pPr>
              <w:jc w:val="right"/>
              <w:ind w:right="928"/>
              <w:spacing w:after="0"/>
              <w:rPr>
                <w:sz w:val="20"/>
                <w:szCs w:val="20"/>
                <w:color w:val="auto"/>
              </w:rPr>
            </w:pPr>
            <w:r>
              <w:rPr>
                <w:rFonts w:ascii="Arial" w:cs="Arial" w:eastAsia="Arial" w:hAnsi="Arial"/>
                <w:sz w:val="14"/>
                <w:szCs w:val="14"/>
                <w:color w:val="auto"/>
              </w:rPr>
              <w:t>43,446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6,211,040</w:t>
            </w:r>
          </w:p>
        </w:tc>
        <w:tc>
          <w:tcPr>
            <w:tcW w:w="0" w:type="dxa"/>
            <w:vAlign w:val="bottom"/>
          </w:tcPr>
          <w:p>
            <w:pPr>
              <w:spacing w:after="0"/>
              <w:rPr>
                <w:sz w:val="1"/>
                <w:szCs w:val="1"/>
                <w:color w:val="auto"/>
              </w:rPr>
            </w:pPr>
          </w:p>
        </w:tc>
      </w:tr>
      <w:tr>
        <w:trPr>
          <w:trHeight w:val="209"/>
        </w:trPr>
        <w:tc>
          <w:tcPr>
            <w:tcW w:w="3560" w:type="dxa"/>
            <w:vAlign w:val="bottom"/>
            <w:shd w:val="clear" w:color="auto" w:fill="D2D4D9"/>
          </w:tcPr>
          <w:p>
            <w:pPr>
              <w:ind w:left="60"/>
              <w:spacing w:after="0"/>
              <w:rPr>
                <w:sz w:val="20"/>
                <w:szCs w:val="20"/>
                <w:color w:val="auto"/>
              </w:rPr>
            </w:pPr>
            <w:r>
              <w:rPr>
                <w:rFonts w:ascii="Arial" w:cs="Arial" w:eastAsia="Arial" w:hAnsi="Arial"/>
                <w:sz w:val="14"/>
                <w:szCs w:val="14"/>
                <w:color w:val="auto"/>
              </w:rPr>
              <w:t>Daniel Guglielmone</w:t>
            </w:r>
          </w:p>
        </w:tc>
        <w:tc>
          <w:tcPr>
            <w:tcW w:w="2700" w:type="dxa"/>
            <w:vAlign w:val="bottom"/>
            <w:shd w:val="clear" w:color="auto" w:fill="D2D4D9"/>
          </w:tcPr>
          <w:p>
            <w:pPr>
              <w:jc w:val="right"/>
              <w:ind w:right="868"/>
              <w:spacing w:after="0"/>
              <w:rPr>
                <w:sz w:val="20"/>
                <w:szCs w:val="20"/>
                <w:color w:val="auto"/>
              </w:rPr>
            </w:pPr>
            <w:r>
              <w:rPr>
                <w:rFonts w:ascii="Arial" w:cs="Arial" w:eastAsia="Arial" w:hAnsi="Arial"/>
                <w:sz w:val="14"/>
                <w:szCs w:val="14"/>
                <w:color w:val="auto"/>
              </w:rPr>
              <w:t>0</w:t>
            </w:r>
          </w:p>
        </w:tc>
        <w:tc>
          <w:tcPr>
            <w:tcW w:w="34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2D4D9"/>
          </w:tcPr>
          <w:p>
            <w:pPr>
              <w:jc w:val="right"/>
              <w:ind w:right="288"/>
              <w:spacing w:after="0"/>
              <w:rPr>
                <w:sz w:val="20"/>
                <w:szCs w:val="20"/>
                <w:color w:val="auto"/>
              </w:rPr>
            </w:pPr>
            <w:r>
              <w:rPr>
                <w:rFonts w:ascii="Arial" w:cs="Arial" w:eastAsia="Arial" w:hAnsi="Arial"/>
                <w:sz w:val="14"/>
                <w:szCs w:val="14"/>
                <w:color w:val="auto"/>
              </w:rPr>
              <w:t>—</w:t>
            </w:r>
          </w:p>
        </w:tc>
        <w:tc>
          <w:tcPr>
            <w:tcW w:w="2400" w:type="dxa"/>
            <w:vAlign w:val="bottom"/>
            <w:shd w:val="clear" w:color="auto" w:fill="D2D4D9"/>
          </w:tcPr>
          <w:p>
            <w:pPr>
              <w:jc w:val="right"/>
              <w:ind w:right="928"/>
              <w:spacing w:after="0"/>
              <w:rPr>
                <w:sz w:val="20"/>
                <w:szCs w:val="20"/>
                <w:color w:val="auto"/>
              </w:rPr>
            </w:pPr>
            <w:r>
              <w:rPr>
                <w:rFonts w:ascii="Arial" w:cs="Arial" w:eastAsia="Arial" w:hAnsi="Arial"/>
                <w:sz w:val="14"/>
                <w:szCs w:val="14"/>
                <w:color w:val="auto"/>
              </w:rPr>
              <w:t>1,939</w:t>
            </w:r>
          </w:p>
        </w:tc>
        <w:tc>
          <w:tcPr>
            <w:tcW w:w="34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4"/>
                <w:szCs w:val="14"/>
                <w:color w:val="auto"/>
              </w:rPr>
              <w:t>250,655</w:t>
            </w:r>
          </w:p>
        </w:tc>
        <w:tc>
          <w:tcPr>
            <w:tcW w:w="0" w:type="dxa"/>
            <w:vAlign w:val="bottom"/>
          </w:tcPr>
          <w:p>
            <w:pPr>
              <w:spacing w:after="0"/>
              <w:rPr>
                <w:sz w:val="1"/>
                <w:szCs w:val="1"/>
                <w:color w:val="auto"/>
              </w:rPr>
            </w:pPr>
          </w:p>
        </w:tc>
      </w:tr>
      <w:tr>
        <w:trPr>
          <w:trHeight w:val="191"/>
        </w:trPr>
        <w:tc>
          <w:tcPr>
            <w:tcW w:w="356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2700" w:type="dxa"/>
            <w:vAlign w:val="bottom"/>
          </w:tcPr>
          <w:p>
            <w:pPr>
              <w:jc w:val="right"/>
              <w:ind w:right="868"/>
              <w:spacing w:after="0"/>
              <w:rPr>
                <w:sz w:val="20"/>
                <w:szCs w:val="20"/>
                <w:color w:val="auto"/>
              </w:rPr>
            </w:pPr>
            <w:r>
              <w:rPr>
                <w:rFonts w:ascii="Arial" w:cs="Arial" w:eastAsia="Arial" w:hAnsi="Arial"/>
                <w:sz w:val="14"/>
                <w:szCs w:val="14"/>
                <w:color w:val="auto"/>
              </w:rPr>
              <w:t>26,627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w w:val="99"/>
              </w:rPr>
              <w:t>1,545,694</w:t>
            </w:r>
          </w:p>
        </w:tc>
        <w:tc>
          <w:tcPr>
            <w:tcW w:w="2400" w:type="dxa"/>
            <w:vAlign w:val="bottom"/>
          </w:tcPr>
          <w:p>
            <w:pPr>
              <w:jc w:val="right"/>
              <w:ind w:right="928"/>
              <w:spacing w:after="0"/>
              <w:rPr>
                <w:sz w:val="20"/>
                <w:szCs w:val="20"/>
                <w:color w:val="auto"/>
              </w:rPr>
            </w:pPr>
            <w:r>
              <w:rPr>
                <w:rFonts w:ascii="Arial" w:cs="Arial" w:eastAsia="Arial" w:hAnsi="Arial"/>
                <w:sz w:val="14"/>
                <w:szCs w:val="14"/>
                <w:color w:val="auto"/>
              </w:rPr>
              <w:t>7,323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1,046,896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-711835</wp:posOffset>
            </wp:positionV>
            <wp:extent cx="43478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4784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93345</wp:posOffset>
            </wp:positionV>
            <wp:extent cx="694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2"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realized is based on the difference between the price at which the Shares were sold and the exercise price of the option.</w:t>
      </w: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realized is based on the closing price of a Share on the date of the Share vesting.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We maintain a non-qualified deferred compensation plan that is open to participation by 34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The amounts deferred by Ms. Becker and Mr. Wood into the plan in 2017, the earnings on plan investments in 2017 and aggregate withdrawals and distributions made in 2017 are described below. Mr. Guglielmone does not participate in our deferred compensation plan.</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20" w:type="dxa"/>
            <w:vAlign w:val="bottom"/>
            <w:shd w:val="clear" w:color="auto" w:fill="1F2A44"/>
          </w:tcPr>
          <w:p>
            <w:pPr>
              <w:spacing w:after="0"/>
              <w:rPr>
                <w:sz w:val="14"/>
                <w:szCs w:val="14"/>
                <w:color w:val="auto"/>
              </w:rPr>
            </w:pPr>
          </w:p>
        </w:tc>
        <w:tc>
          <w:tcPr>
            <w:tcW w:w="2420" w:type="dxa"/>
            <w:vAlign w:val="bottom"/>
            <w:gridSpan w:val="2"/>
            <w:shd w:val="clear" w:color="auto" w:fill="1F2A44"/>
          </w:tcPr>
          <w:p>
            <w:pPr>
              <w:jc w:val="center"/>
              <w:ind w:left="589"/>
              <w:spacing w:after="0"/>
              <w:rPr>
                <w:sz w:val="20"/>
                <w:szCs w:val="20"/>
                <w:color w:val="auto"/>
              </w:rPr>
            </w:pPr>
            <w:r>
              <w:rPr>
                <w:rFonts w:ascii="Arial" w:cs="Arial" w:eastAsia="Arial" w:hAnsi="Arial"/>
                <w:sz w:val="14"/>
                <w:szCs w:val="14"/>
                <w:b w:val="1"/>
                <w:bCs w:val="1"/>
                <w:color w:val="FFFFFF"/>
              </w:rPr>
              <w:t>Executive</w:t>
            </w:r>
          </w:p>
        </w:tc>
        <w:tc>
          <w:tcPr>
            <w:tcW w:w="1220" w:type="dxa"/>
            <w:vAlign w:val="bottom"/>
            <w:shd w:val="clear" w:color="auto" w:fill="1F2A44"/>
          </w:tcPr>
          <w:p>
            <w:pPr>
              <w:jc w:val="right"/>
              <w:spacing w:after="0"/>
              <w:rPr>
                <w:sz w:val="20"/>
                <w:szCs w:val="20"/>
                <w:color w:val="auto"/>
              </w:rPr>
            </w:pPr>
            <w:r>
              <w:rPr>
                <w:rFonts w:ascii="Arial" w:cs="Arial" w:eastAsia="Arial" w:hAnsi="Arial"/>
                <w:sz w:val="14"/>
                <w:szCs w:val="14"/>
                <w:b w:val="1"/>
                <w:bCs w:val="1"/>
                <w:color w:val="FFFFFF"/>
              </w:rPr>
              <w:t>Registrant</w:t>
            </w:r>
          </w:p>
        </w:tc>
        <w:tc>
          <w:tcPr>
            <w:tcW w:w="440" w:type="dxa"/>
            <w:vAlign w:val="bottom"/>
            <w:shd w:val="clear" w:color="auto" w:fill="1F2A44"/>
          </w:tcPr>
          <w:p>
            <w:pPr>
              <w:spacing w:after="0"/>
              <w:rPr>
                <w:sz w:val="14"/>
                <w:szCs w:val="14"/>
                <w:color w:val="auto"/>
              </w:rPr>
            </w:pPr>
          </w:p>
        </w:tc>
        <w:tc>
          <w:tcPr>
            <w:tcW w:w="162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Aggregate</w:t>
            </w:r>
          </w:p>
        </w:tc>
        <w:tc>
          <w:tcPr>
            <w:tcW w:w="1500" w:type="dxa"/>
            <w:vAlign w:val="bottom"/>
            <w:gridSpan w:val="2"/>
            <w:shd w:val="clear" w:color="auto" w:fill="1F2A44"/>
          </w:tcPr>
          <w:p>
            <w:pPr>
              <w:jc w:val="center"/>
              <w:spacing w:after="0"/>
              <w:rPr>
                <w:sz w:val="20"/>
                <w:szCs w:val="20"/>
                <w:color w:val="auto"/>
              </w:rPr>
            </w:pPr>
            <w:r>
              <w:rPr>
                <w:rFonts w:ascii="Arial" w:cs="Arial" w:eastAsia="Arial" w:hAnsi="Arial"/>
                <w:sz w:val="14"/>
                <w:szCs w:val="14"/>
                <w:b w:val="1"/>
                <w:bCs w:val="1"/>
                <w:color w:val="FFFFFF"/>
              </w:rPr>
              <w:t>Aggregate</w:t>
            </w:r>
          </w:p>
        </w:tc>
        <w:tc>
          <w:tcPr>
            <w:tcW w:w="1800" w:type="dxa"/>
            <w:vAlign w:val="bottom"/>
            <w:shd w:val="clear" w:color="auto" w:fill="1F2A44"/>
          </w:tcPr>
          <w:p>
            <w:pPr>
              <w:jc w:val="center"/>
              <w:ind w:left="128"/>
              <w:spacing w:after="0"/>
              <w:rPr>
                <w:sz w:val="20"/>
                <w:szCs w:val="20"/>
                <w:color w:val="auto"/>
              </w:rPr>
            </w:pPr>
            <w:r>
              <w:rPr>
                <w:rFonts w:ascii="Arial" w:cs="Arial" w:eastAsia="Arial" w:hAnsi="Arial"/>
                <w:sz w:val="14"/>
                <w:szCs w:val="14"/>
                <w:b w:val="1"/>
                <w:bCs w:val="1"/>
                <w:color w:val="FFFFFF"/>
              </w:rPr>
              <w:t>Aggregate</w:t>
            </w:r>
          </w:p>
        </w:tc>
      </w:tr>
      <w:tr>
        <w:trPr>
          <w:trHeight w:val="159"/>
        </w:trPr>
        <w:tc>
          <w:tcPr>
            <w:tcW w:w="2020" w:type="dxa"/>
            <w:vAlign w:val="bottom"/>
            <w:shd w:val="clear" w:color="auto" w:fill="1F2A44"/>
          </w:tcPr>
          <w:p>
            <w:pPr>
              <w:spacing w:after="0"/>
              <w:rPr>
                <w:sz w:val="13"/>
                <w:szCs w:val="13"/>
                <w:color w:val="auto"/>
              </w:rPr>
            </w:pPr>
          </w:p>
        </w:tc>
        <w:tc>
          <w:tcPr>
            <w:tcW w:w="2420" w:type="dxa"/>
            <w:vAlign w:val="bottom"/>
            <w:gridSpan w:val="2"/>
            <w:shd w:val="clear" w:color="auto" w:fill="1F2A44"/>
          </w:tcPr>
          <w:p>
            <w:pPr>
              <w:jc w:val="center"/>
              <w:ind w:left="589"/>
              <w:spacing w:after="0" w:line="159" w:lineRule="exact"/>
              <w:rPr>
                <w:sz w:val="20"/>
                <w:szCs w:val="20"/>
                <w:color w:val="auto"/>
              </w:rPr>
            </w:pPr>
            <w:r>
              <w:rPr>
                <w:rFonts w:ascii="Arial" w:cs="Arial" w:eastAsia="Arial" w:hAnsi="Arial"/>
                <w:sz w:val="14"/>
                <w:szCs w:val="14"/>
                <w:b w:val="1"/>
                <w:bCs w:val="1"/>
                <w:color w:val="FFFFFF"/>
              </w:rPr>
              <w:t>Contributions in</w:t>
            </w:r>
          </w:p>
        </w:tc>
        <w:tc>
          <w:tcPr>
            <w:tcW w:w="1660" w:type="dxa"/>
            <w:vAlign w:val="bottom"/>
            <w:gridSpan w:val="2"/>
            <w:shd w:val="clear" w:color="auto" w:fill="1F2A44"/>
          </w:tcPr>
          <w:p>
            <w:pPr>
              <w:jc w:val="right"/>
              <w:ind w:right="208"/>
              <w:spacing w:after="0" w:line="159" w:lineRule="exact"/>
              <w:rPr>
                <w:sz w:val="20"/>
                <w:szCs w:val="20"/>
                <w:color w:val="auto"/>
              </w:rPr>
            </w:pPr>
            <w:r>
              <w:rPr>
                <w:rFonts w:ascii="Arial" w:cs="Arial" w:eastAsia="Arial" w:hAnsi="Arial"/>
                <w:sz w:val="14"/>
                <w:szCs w:val="14"/>
                <w:b w:val="1"/>
                <w:bCs w:val="1"/>
                <w:color w:val="FFFFFF"/>
              </w:rPr>
              <w:t>Contributions in</w:t>
            </w:r>
          </w:p>
        </w:tc>
        <w:tc>
          <w:tcPr>
            <w:tcW w:w="162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Earnings in</w:t>
            </w:r>
          </w:p>
        </w:tc>
        <w:tc>
          <w:tcPr>
            <w:tcW w:w="1500" w:type="dxa"/>
            <w:vAlign w:val="bottom"/>
            <w:gridSpan w:val="2"/>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Withdrawals /</w:t>
            </w:r>
          </w:p>
        </w:tc>
        <w:tc>
          <w:tcPr>
            <w:tcW w:w="1800" w:type="dxa"/>
            <w:vAlign w:val="bottom"/>
            <w:shd w:val="clear" w:color="auto" w:fill="1F2A44"/>
          </w:tcPr>
          <w:p>
            <w:pPr>
              <w:jc w:val="center"/>
              <w:ind w:left="128"/>
              <w:spacing w:after="0" w:line="159" w:lineRule="exact"/>
              <w:rPr>
                <w:sz w:val="20"/>
                <w:szCs w:val="20"/>
                <w:color w:val="auto"/>
              </w:rPr>
            </w:pPr>
            <w:r>
              <w:rPr>
                <w:rFonts w:ascii="Arial" w:cs="Arial" w:eastAsia="Arial" w:hAnsi="Arial"/>
                <w:sz w:val="14"/>
                <w:szCs w:val="14"/>
                <w:b w:val="1"/>
                <w:bCs w:val="1"/>
                <w:color w:val="FFFFFF"/>
              </w:rPr>
              <w:t>Balance at</w:t>
            </w:r>
          </w:p>
        </w:tc>
      </w:tr>
      <w:tr>
        <w:trPr>
          <w:trHeight w:val="206"/>
        </w:trPr>
        <w:tc>
          <w:tcPr>
            <w:tcW w:w="202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2420" w:type="dxa"/>
            <w:vAlign w:val="bottom"/>
            <w:gridSpan w:val="2"/>
            <w:shd w:val="clear" w:color="auto" w:fill="1F2A44"/>
          </w:tcPr>
          <w:p>
            <w:pPr>
              <w:jc w:val="center"/>
              <w:ind w:left="589"/>
              <w:spacing w:after="0" w:line="205" w:lineRule="exact"/>
              <w:rPr>
                <w:sz w:val="20"/>
                <w:szCs w:val="20"/>
                <w:color w:val="auto"/>
              </w:rPr>
            </w:pPr>
            <w:r>
              <w:rPr>
                <w:rFonts w:ascii="Arial" w:cs="Arial" w:eastAsia="Arial" w:hAnsi="Arial"/>
                <w:sz w:val="14"/>
                <w:szCs w:val="14"/>
                <w:b w:val="1"/>
                <w:bCs w:val="1"/>
                <w:color w:val="FFFFFF"/>
                <w:w w:val="98"/>
              </w:rPr>
              <w:t>Last Fiscal Year</w:t>
            </w:r>
            <w:r>
              <w:rPr>
                <w:rFonts w:ascii="Arial" w:cs="Arial" w:eastAsia="Arial" w:hAnsi="Arial"/>
                <w:sz w:val="23"/>
                <w:szCs w:val="23"/>
                <w:b w:val="1"/>
                <w:bCs w:val="1"/>
                <w:color w:val="FFFFFF"/>
                <w:w w:val="98"/>
                <w:vertAlign w:val="superscript"/>
              </w:rPr>
              <w:t>(1)</w:t>
            </w:r>
          </w:p>
        </w:tc>
        <w:tc>
          <w:tcPr>
            <w:tcW w:w="1660" w:type="dxa"/>
            <w:vAlign w:val="bottom"/>
            <w:gridSpan w:val="2"/>
            <w:shd w:val="clear" w:color="auto" w:fill="1F2A44"/>
          </w:tcPr>
          <w:p>
            <w:pPr>
              <w:jc w:val="right"/>
              <w:ind w:right="208"/>
              <w:spacing w:after="0"/>
              <w:rPr>
                <w:sz w:val="20"/>
                <w:szCs w:val="20"/>
                <w:color w:val="auto"/>
              </w:rPr>
            </w:pPr>
            <w:r>
              <w:rPr>
                <w:rFonts w:ascii="Arial" w:cs="Arial" w:eastAsia="Arial" w:hAnsi="Arial"/>
                <w:sz w:val="14"/>
                <w:szCs w:val="14"/>
                <w:b w:val="1"/>
                <w:bCs w:val="1"/>
                <w:color w:val="FFFFFF"/>
              </w:rPr>
              <w:t>Last Fiscal Year</w:t>
            </w:r>
          </w:p>
        </w:tc>
        <w:tc>
          <w:tcPr>
            <w:tcW w:w="162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Last Fiscal Year</w:t>
            </w:r>
          </w:p>
        </w:tc>
        <w:tc>
          <w:tcPr>
            <w:tcW w:w="1500" w:type="dxa"/>
            <w:vAlign w:val="bottom"/>
            <w:gridSpan w:val="2"/>
            <w:shd w:val="clear" w:color="auto" w:fill="1F2A44"/>
          </w:tcPr>
          <w:p>
            <w:pPr>
              <w:jc w:val="center"/>
              <w:spacing w:after="0"/>
              <w:rPr>
                <w:sz w:val="20"/>
                <w:szCs w:val="20"/>
                <w:color w:val="auto"/>
              </w:rPr>
            </w:pPr>
            <w:r>
              <w:rPr>
                <w:rFonts w:ascii="Arial" w:cs="Arial" w:eastAsia="Arial" w:hAnsi="Arial"/>
                <w:sz w:val="14"/>
                <w:szCs w:val="14"/>
                <w:b w:val="1"/>
                <w:bCs w:val="1"/>
                <w:color w:val="FFFFFF"/>
              </w:rPr>
              <w:t>Distributions</w:t>
            </w:r>
          </w:p>
        </w:tc>
        <w:tc>
          <w:tcPr>
            <w:tcW w:w="1800" w:type="dxa"/>
            <w:vAlign w:val="bottom"/>
            <w:shd w:val="clear" w:color="auto" w:fill="1F2A44"/>
          </w:tcPr>
          <w:p>
            <w:pPr>
              <w:jc w:val="center"/>
              <w:ind w:left="128"/>
              <w:spacing w:after="0"/>
              <w:rPr>
                <w:sz w:val="20"/>
                <w:szCs w:val="20"/>
                <w:color w:val="auto"/>
              </w:rPr>
            </w:pPr>
            <w:r>
              <w:rPr>
                <w:rFonts w:ascii="Arial" w:cs="Arial" w:eastAsia="Arial" w:hAnsi="Arial"/>
                <w:sz w:val="14"/>
                <w:szCs w:val="14"/>
                <w:b w:val="1"/>
                <w:bCs w:val="1"/>
                <w:color w:val="FFFFFF"/>
              </w:rPr>
              <w:t>Last Fiscal Year-End</w:t>
            </w:r>
          </w:p>
        </w:tc>
      </w:tr>
      <w:tr>
        <w:trPr>
          <w:trHeight w:val="191"/>
        </w:trPr>
        <w:tc>
          <w:tcPr>
            <w:tcW w:w="202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w w:val="98"/>
              </w:rPr>
              <w:t>250,000</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w w:val="99"/>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$954,058</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ind w:left="2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68"/>
              <w:spacing w:after="0"/>
              <w:rPr>
                <w:sz w:val="20"/>
                <w:szCs w:val="20"/>
                <w:color w:val="auto"/>
              </w:rPr>
            </w:pPr>
            <w:r>
              <w:rPr>
                <w:rFonts w:ascii="Arial" w:cs="Arial" w:eastAsia="Arial" w:hAnsi="Arial"/>
                <w:sz w:val="14"/>
                <w:szCs w:val="14"/>
                <w:color w:val="auto"/>
              </w:rPr>
              <w:t>$5,961,156</w:t>
            </w:r>
          </w:p>
        </w:tc>
      </w:tr>
      <w:tr>
        <w:trPr>
          <w:trHeight w:val="203"/>
        </w:trPr>
        <w:tc>
          <w:tcPr>
            <w:tcW w:w="202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45,000</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w w:val="99"/>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$251,820</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ind w:left="2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68"/>
              <w:spacing w:after="0"/>
              <w:rPr>
                <w:sz w:val="20"/>
                <w:szCs w:val="20"/>
                <w:color w:val="auto"/>
              </w:rPr>
            </w:pPr>
            <w:r>
              <w:rPr>
                <w:rFonts w:ascii="Arial" w:cs="Arial" w:eastAsia="Arial" w:hAnsi="Arial"/>
                <w:sz w:val="14"/>
                <w:szCs w:val="14"/>
                <w:color w:val="auto"/>
              </w:rPr>
              <w:t>$1,530,856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7" w:lineRule="exact"/>
        <w:rPr>
          <w:sz w:val="20"/>
          <w:szCs w:val="20"/>
          <w:color w:val="auto"/>
        </w:rPr>
      </w:pPr>
    </w:p>
    <w:p>
      <w:pPr>
        <w:ind w:left="640" w:right="20" w:hanging="436"/>
        <w:spacing w:after="0" w:line="246"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for 2017.</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POTENTIAL PAYMENTS ON TERMINATION OF EMPLOYMENT AND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or change in control of the Trust. Regardless of the reason for an NEO’s termination of employment, he or she will be entitled to receive upon termination all accrued but unused vacation pay and a distribution of any amounts in our non -qualified deferred compensation plan as described in the “2017 Non-Qualified Deferred Compensation” section above. No NEO is entitled to receive a new award under the Annual Bonus Plan or the LTIAP for the year in which the termination occurs. The agreements with each of our NEOs contain</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provisions restricting the executive from engaging in competing behavior and soliciting and/or hiring our employees for a period of time after termination. The payments that will be made to a NEO on termination vary depending on the reason for termination and may be conditioned on the signing of a release in favor of the Trust.</w:t>
      </w:r>
    </w:p>
    <w:p>
      <w:pPr>
        <w:spacing w:after="0" w:line="176"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2017:</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4720" w:type="dxa"/>
            <w:vAlign w:val="bottom"/>
            <w:shd w:val="clear" w:color="auto" w:fill="1F2A44"/>
          </w:tcPr>
          <w:p>
            <w:pPr>
              <w:spacing w:after="0"/>
              <w:rPr>
                <w:sz w:val="18"/>
                <w:szCs w:val="18"/>
                <w:color w:val="auto"/>
              </w:rPr>
            </w:pPr>
          </w:p>
        </w:tc>
        <w:tc>
          <w:tcPr>
            <w:tcW w:w="200" w:type="dxa"/>
            <w:vAlign w:val="bottom"/>
            <w:shd w:val="clear" w:color="auto" w:fill="1F2A44"/>
          </w:tcPr>
          <w:p>
            <w:pPr>
              <w:spacing w:after="0"/>
              <w:rPr>
                <w:sz w:val="18"/>
                <w:szCs w:val="18"/>
                <w:color w:val="auto"/>
              </w:rPr>
            </w:pPr>
          </w:p>
        </w:tc>
        <w:tc>
          <w:tcPr>
            <w:tcW w:w="840" w:type="dxa"/>
            <w:vAlign w:val="bottom"/>
            <w:shd w:val="clear" w:color="auto" w:fill="1F2A44"/>
          </w:tcPr>
          <w:p>
            <w:pPr>
              <w:jc w:val="right"/>
              <w:ind w:right="280"/>
              <w:spacing w:after="0"/>
              <w:rPr>
                <w:sz w:val="20"/>
                <w:szCs w:val="20"/>
                <w:color w:val="auto"/>
              </w:rPr>
            </w:pPr>
            <w:r>
              <w:rPr>
                <w:rFonts w:ascii="Arial" w:cs="Arial" w:eastAsia="Arial" w:hAnsi="Arial"/>
                <w:sz w:val="14"/>
                <w:szCs w:val="14"/>
                <w:b w:val="1"/>
                <w:bCs w:val="1"/>
                <w:color w:val="FFFFFF"/>
              </w:rPr>
              <w:t>Cash</w:t>
            </w:r>
          </w:p>
        </w:tc>
        <w:tc>
          <w:tcPr>
            <w:tcW w:w="200" w:type="dxa"/>
            <w:vAlign w:val="bottom"/>
            <w:shd w:val="clear" w:color="auto" w:fill="1F2A44"/>
          </w:tcPr>
          <w:p>
            <w:pPr>
              <w:spacing w:after="0"/>
              <w:rPr>
                <w:sz w:val="18"/>
                <w:szCs w:val="18"/>
                <w:color w:val="auto"/>
              </w:rPr>
            </w:pPr>
          </w:p>
        </w:tc>
        <w:tc>
          <w:tcPr>
            <w:tcW w:w="840" w:type="dxa"/>
            <w:vAlign w:val="bottom"/>
            <w:shd w:val="clear" w:color="auto" w:fill="1F2A44"/>
          </w:tcPr>
          <w:p>
            <w:pPr>
              <w:jc w:val="right"/>
              <w:ind w:right="180"/>
              <w:spacing w:after="0"/>
              <w:rPr>
                <w:sz w:val="20"/>
                <w:szCs w:val="20"/>
                <w:color w:val="auto"/>
              </w:rPr>
            </w:pPr>
            <w:r>
              <w:rPr>
                <w:rFonts w:ascii="Arial" w:cs="Arial" w:eastAsia="Arial" w:hAnsi="Arial"/>
                <w:sz w:val="14"/>
                <w:szCs w:val="14"/>
                <w:b w:val="1"/>
                <w:bCs w:val="1"/>
                <w:color w:val="FFFFFF"/>
              </w:rPr>
              <w:t>Medical</w:t>
            </w:r>
          </w:p>
        </w:tc>
        <w:tc>
          <w:tcPr>
            <w:tcW w:w="1120" w:type="dxa"/>
            <w:vAlign w:val="bottom"/>
            <w:gridSpan w:val="2"/>
            <w:shd w:val="clear" w:color="auto" w:fill="1F2A44"/>
          </w:tcPr>
          <w:p>
            <w:pPr>
              <w:jc w:val="right"/>
              <w:ind w:right="80"/>
              <w:spacing w:after="0"/>
              <w:rPr>
                <w:sz w:val="20"/>
                <w:szCs w:val="20"/>
                <w:color w:val="auto"/>
              </w:rPr>
            </w:pPr>
            <w:r>
              <w:rPr>
                <w:rFonts w:ascii="Arial" w:cs="Arial" w:eastAsia="Arial" w:hAnsi="Arial"/>
                <w:sz w:val="14"/>
                <w:szCs w:val="14"/>
                <w:b w:val="1"/>
                <w:bCs w:val="1"/>
                <w:color w:val="FFFFFF"/>
              </w:rPr>
              <w:t>Accelerated</w:t>
            </w:r>
          </w:p>
        </w:tc>
        <w:tc>
          <w:tcPr>
            <w:tcW w:w="220" w:type="dxa"/>
            <w:vAlign w:val="bottom"/>
            <w:shd w:val="clear" w:color="auto" w:fill="1F2A44"/>
          </w:tcPr>
          <w:p>
            <w:pPr>
              <w:spacing w:after="0"/>
              <w:rPr>
                <w:sz w:val="18"/>
                <w:szCs w:val="18"/>
                <w:color w:val="auto"/>
              </w:rPr>
            </w:pPr>
          </w:p>
        </w:tc>
        <w:tc>
          <w:tcPr>
            <w:tcW w:w="740" w:type="dxa"/>
            <w:vAlign w:val="bottom"/>
            <w:shd w:val="clear" w:color="auto" w:fill="1F2A44"/>
          </w:tcPr>
          <w:p>
            <w:pPr>
              <w:jc w:val="right"/>
              <w:ind w:right="220"/>
              <w:spacing w:after="0"/>
              <w:rPr>
                <w:sz w:val="20"/>
                <w:szCs w:val="20"/>
                <w:color w:val="auto"/>
              </w:rPr>
            </w:pPr>
            <w:r>
              <w:rPr>
                <w:rFonts w:ascii="Arial" w:cs="Arial" w:eastAsia="Arial" w:hAnsi="Arial"/>
                <w:sz w:val="14"/>
                <w:szCs w:val="14"/>
                <w:b w:val="1"/>
                <w:bCs w:val="1"/>
                <w:color w:val="FFFFFF"/>
              </w:rPr>
              <w:t>Other</w:t>
            </w:r>
          </w:p>
        </w:tc>
        <w:tc>
          <w:tcPr>
            <w:tcW w:w="940" w:type="dxa"/>
            <w:vAlign w:val="bottom"/>
            <w:gridSpan w:val="2"/>
            <w:shd w:val="clear" w:color="auto" w:fill="1F2A44"/>
          </w:tcPr>
          <w:p>
            <w:pPr>
              <w:jc w:val="right"/>
              <w:ind w:right="19"/>
              <w:spacing w:after="0"/>
              <w:rPr>
                <w:sz w:val="20"/>
                <w:szCs w:val="20"/>
                <w:color w:val="auto"/>
              </w:rPr>
            </w:pPr>
            <w:r>
              <w:rPr>
                <w:rFonts w:ascii="Arial" w:cs="Arial" w:eastAsia="Arial" w:hAnsi="Arial"/>
                <w:sz w:val="14"/>
                <w:szCs w:val="14"/>
                <w:b w:val="1"/>
                <w:bCs w:val="1"/>
                <w:color w:val="FFFFFF"/>
              </w:rPr>
              <w:t>Excise Tax</w:t>
            </w:r>
          </w:p>
        </w:tc>
        <w:tc>
          <w:tcPr>
            <w:tcW w:w="220" w:type="dxa"/>
            <w:vAlign w:val="bottom"/>
            <w:shd w:val="clear" w:color="auto" w:fill="1F2A44"/>
          </w:tcPr>
          <w:p>
            <w:pPr>
              <w:spacing w:after="0"/>
              <w:rPr>
                <w:sz w:val="18"/>
                <w:szCs w:val="18"/>
                <w:color w:val="auto"/>
              </w:rPr>
            </w:pPr>
          </w:p>
        </w:tc>
        <w:tc>
          <w:tcPr>
            <w:tcW w:w="980" w:type="dxa"/>
            <w:vAlign w:val="bottom"/>
            <w:shd w:val="clear" w:color="auto" w:fill="1F2A44"/>
          </w:tcPr>
          <w:p>
            <w:pPr>
              <w:spacing w:after="0"/>
              <w:rPr>
                <w:sz w:val="18"/>
                <w:szCs w:val="18"/>
                <w:color w:val="auto"/>
              </w:rPr>
            </w:pPr>
          </w:p>
        </w:tc>
      </w:tr>
      <w:tr>
        <w:trPr>
          <w:trHeight w:val="206"/>
        </w:trPr>
        <w:tc>
          <w:tcPr>
            <w:tcW w:w="4720" w:type="dxa"/>
            <w:vAlign w:val="bottom"/>
            <w:shd w:val="clear" w:color="auto" w:fill="1F2A44"/>
          </w:tcPr>
          <w:p>
            <w:pPr>
              <w:spacing w:after="0"/>
              <w:rPr>
                <w:sz w:val="17"/>
                <w:szCs w:val="17"/>
                <w:color w:val="auto"/>
              </w:rPr>
            </w:pPr>
          </w:p>
        </w:tc>
        <w:tc>
          <w:tcPr>
            <w:tcW w:w="1040" w:type="dxa"/>
            <w:vAlign w:val="bottom"/>
            <w:gridSpan w:val="2"/>
            <w:shd w:val="clear" w:color="auto" w:fill="1F2A44"/>
          </w:tcPr>
          <w:p>
            <w:pPr>
              <w:jc w:val="right"/>
              <w:ind w:right="80"/>
              <w:spacing w:after="0" w:line="205" w:lineRule="exact"/>
              <w:rPr>
                <w:sz w:val="20"/>
                <w:szCs w:val="20"/>
                <w:color w:val="auto"/>
              </w:rPr>
            </w:pPr>
            <w:r>
              <w:rPr>
                <w:rFonts w:ascii="Arial" w:cs="Arial" w:eastAsia="Arial" w:hAnsi="Arial"/>
                <w:sz w:val="14"/>
                <w:szCs w:val="14"/>
                <w:b w:val="1"/>
                <w:bCs w:val="1"/>
                <w:color w:val="FFFFFF"/>
              </w:rPr>
              <w:t>Payment</w:t>
            </w:r>
            <w:r>
              <w:rPr>
                <w:rFonts w:ascii="Arial" w:cs="Arial" w:eastAsia="Arial" w:hAnsi="Arial"/>
                <w:sz w:val="23"/>
                <w:szCs w:val="23"/>
                <w:b w:val="1"/>
                <w:bCs w:val="1"/>
                <w:color w:val="FFFFFF"/>
                <w:vertAlign w:val="superscript"/>
              </w:rPr>
              <w:t>(1)</w:t>
            </w:r>
          </w:p>
        </w:tc>
        <w:tc>
          <w:tcPr>
            <w:tcW w:w="1040" w:type="dxa"/>
            <w:vAlign w:val="bottom"/>
            <w:gridSpan w:val="2"/>
            <w:shd w:val="clear" w:color="auto" w:fill="1F2A44"/>
          </w:tcPr>
          <w:p>
            <w:pPr>
              <w:jc w:val="right"/>
              <w:ind w:right="100"/>
              <w:spacing w:after="0" w:line="205"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3"/>
                <w:szCs w:val="23"/>
                <w:b w:val="1"/>
                <w:bCs w:val="1"/>
                <w:color w:val="FFFFFF"/>
                <w:vertAlign w:val="superscript"/>
              </w:rPr>
              <w:t>(2)</w:t>
            </w:r>
          </w:p>
        </w:tc>
        <w:tc>
          <w:tcPr>
            <w:tcW w:w="200" w:type="dxa"/>
            <w:vAlign w:val="bottom"/>
            <w:shd w:val="clear" w:color="auto" w:fill="1F2A44"/>
          </w:tcPr>
          <w:p>
            <w:pPr>
              <w:spacing w:after="0"/>
              <w:rPr>
                <w:sz w:val="17"/>
                <w:szCs w:val="17"/>
                <w:color w:val="auto"/>
              </w:rPr>
            </w:pPr>
          </w:p>
        </w:tc>
        <w:tc>
          <w:tcPr>
            <w:tcW w:w="920" w:type="dxa"/>
            <w:vAlign w:val="bottom"/>
            <w:shd w:val="clear" w:color="auto" w:fill="1F2A44"/>
          </w:tcPr>
          <w:p>
            <w:pPr>
              <w:jc w:val="right"/>
              <w:ind w:right="180"/>
              <w:spacing w:after="0" w:line="205" w:lineRule="exact"/>
              <w:rPr>
                <w:sz w:val="20"/>
                <w:szCs w:val="20"/>
                <w:color w:val="auto"/>
              </w:rPr>
            </w:pPr>
            <w:r>
              <w:rPr>
                <w:rFonts w:ascii="Arial" w:cs="Arial" w:eastAsia="Arial" w:hAnsi="Arial"/>
                <w:sz w:val="14"/>
                <w:szCs w:val="14"/>
                <w:b w:val="1"/>
                <w:bCs w:val="1"/>
                <w:color w:val="FFFFFF"/>
              </w:rPr>
              <w:t>Equity</w:t>
            </w:r>
            <w:r>
              <w:rPr>
                <w:rFonts w:ascii="Arial" w:cs="Arial" w:eastAsia="Arial" w:hAnsi="Arial"/>
                <w:sz w:val="23"/>
                <w:szCs w:val="23"/>
                <w:b w:val="1"/>
                <w:bCs w:val="1"/>
                <w:color w:val="FFFFFF"/>
                <w:vertAlign w:val="superscript"/>
              </w:rPr>
              <w:t>(3)</w:t>
            </w:r>
          </w:p>
        </w:tc>
        <w:tc>
          <w:tcPr>
            <w:tcW w:w="960" w:type="dxa"/>
            <w:vAlign w:val="bottom"/>
            <w:gridSpan w:val="2"/>
            <w:shd w:val="clear" w:color="auto" w:fill="1F2A44"/>
          </w:tcPr>
          <w:p>
            <w:pPr>
              <w:ind w:left="120"/>
              <w:spacing w:after="0" w:line="205"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3"/>
                <w:szCs w:val="23"/>
                <w:b w:val="1"/>
                <w:bCs w:val="1"/>
                <w:color w:val="FFFFFF"/>
                <w:vertAlign w:val="superscript"/>
              </w:rPr>
              <w:t>(4)</w:t>
            </w:r>
          </w:p>
        </w:tc>
        <w:tc>
          <w:tcPr>
            <w:tcW w:w="940" w:type="dxa"/>
            <w:vAlign w:val="bottom"/>
            <w:gridSpan w:val="2"/>
            <w:shd w:val="clear" w:color="auto" w:fill="1F2A44"/>
          </w:tcPr>
          <w:p>
            <w:pPr>
              <w:jc w:val="right"/>
              <w:ind w:right="59"/>
              <w:spacing w:after="0"/>
              <w:rPr>
                <w:sz w:val="20"/>
                <w:szCs w:val="20"/>
                <w:color w:val="auto"/>
              </w:rPr>
            </w:pPr>
            <w:r>
              <w:rPr>
                <w:rFonts w:ascii="Arial" w:cs="Arial" w:eastAsia="Arial" w:hAnsi="Arial"/>
                <w:sz w:val="14"/>
                <w:szCs w:val="14"/>
                <w:b w:val="1"/>
                <w:bCs w:val="1"/>
                <w:color w:val="FFFFFF"/>
              </w:rPr>
              <w:t>Gross-Up</w:t>
            </w:r>
          </w:p>
        </w:tc>
        <w:tc>
          <w:tcPr>
            <w:tcW w:w="220" w:type="dxa"/>
            <w:vAlign w:val="bottom"/>
            <w:shd w:val="clear" w:color="auto" w:fill="1F2A44"/>
          </w:tcPr>
          <w:p>
            <w:pPr>
              <w:spacing w:after="0"/>
              <w:rPr>
                <w:sz w:val="17"/>
                <w:szCs w:val="17"/>
                <w:color w:val="auto"/>
              </w:rPr>
            </w:pPr>
          </w:p>
        </w:tc>
        <w:tc>
          <w:tcPr>
            <w:tcW w:w="980" w:type="dxa"/>
            <w:vAlign w:val="bottom"/>
            <w:shd w:val="clear" w:color="auto" w:fill="1F2A44"/>
          </w:tcPr>
          <w:p>
            <w:pPr>
              <w:jc w:val="right"/>
              <w:ind w:right="360"/>
              <w:spacing w:after="0"/>
              <w:rPr>
                <w:sz w:val="20"/>
                <w:szCs w:val="20"/>
                <w:color w:val="auto"/>
              </w:rPr>
            </w:pPr>
            <w:r>
              <w:rPr>
                <w:rFonts w:ascii="Arial" w:cs="Arial" w:eastAsia="Arial" w:hAnsi="Arial"/>
                <w:sz w:val="14"/>
                <w:szCs w:val="14"/>
                <w:b w:val="1"/>
                <w:bCs w:val="1"/>
                <w:color w:val="FFFFFF"/>
              </w:rPr>
              <w:t>Total</w:t>
            </w:r>
          </w:p>
        </w:tc>
      </w:tr>
      <w:tr>
        <w:trPr>
          <w:trHeight w:val="278"/>
        </w:trPr>
        <w:tc>
          <w:tcPr>
            <w:tcW w:w="4720" w:type="dxa"/>
            <w:vAlign w:val="bottom"/>
          </w:tcPr>
          <w:p>
            <w:pPr>
              <w:ind w:left="80"/>
              <w:spacing w:after="0"/>
              <w:rPr>
                <w:sz w:val="20"/>
                <w:szCs w:val="20"/>
                <w:color w:val="auto"/>
              </w:rPr>
            </w:pPr>
            <w:r>
              <w:rPr>
                <w:rFonts w:ascii="Arial" w:cs="Arial" w:eastAsia="Arial" w:hAnsi="Arial"/>
                <w:sz w:val="16"/>
                <w:szCs w:val="16"/>
                <w:color w:val="auto"/>
              </w:rPr>
              <w:t>Donald C. Wood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Death</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2,095,000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12,000,977</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w w:val="99"/>
              </w:rPr>
              <w:t>14,095,977</w:t>
            </w: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Disability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1,358,701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2,662,160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12,000,977</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w w:val="99"/>
              </w:rPr>
              <w:t>16,021,838</w:t>
            </w: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TWOC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3,791,426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2,719,120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12,000,977</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60,250</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w w:val="99"/>
              </w:rPr>
              <w:t>18,571,774</w:t>
            </w: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Termination for Cause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475,000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20,080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495,080</w:t>
            </w:r>
          </w:p>
        </w:tc>
      </w:tr>
      <w:tr>
        <w:trPr>
          <w:trHeight w:val="317"/>
        </w:trPr>
        <w:tc>
          <w:tcPr>
            <w:tcW w:w="4720" w:type="dxa"/>
            <w:vAlign w:val="bottom"/>
          </w:tcPr>
          <w:p>
            <w:pPr>
              <w:ind w:left="440"/>
              <w:spacing w:after="0"/>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7,582,853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2,809,481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12,000,977</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167,165</w:t>
            </w:r>
          </w:p>
        </w:tc>
        <w:tc>
          <w:tcPr>
            <w:tcW w:w="3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w w:val="99"/>
              </w:rPr>
              <w:t>22,560,475</w:t>
            </w:r>
          </w:p>
        </w:tc>
      </w:tr>
      <w:tr>
        <w:trPr>
          <w:trHeight w:val="278"/>
        </w:trPr>
        <w:tc>
          <w:tcPr>
            <w:tcW w:w="4720" w:type="dxa"/>
            <w:vAlign w:val="bottom"/>
            <w:shd w:val="clear" w:color="auto" w:fill="D2D4D9"/>
          </w:tcPr>
          <w:p>
            <w:pPr>
              <w:ind w:left="80"/>
              <w:spacing w:after="0"/>
              <w:rPr>
                <w:sz w:val="20"/>
                <w:szCs w:val="20"/>
                <w:color w:val="auto"/>
              </w:rPr>
            </w:pPr>
            <w:r>
              <w:rPr>
                <w:rFonts w:ascii="Arial" w:cs="Arial" w:eastAsia="Arial" w:hAnsi="Arial"/>
                <w:sz w:val="16"/>
                <w:szCs w:val="16"/>
                <w:color w:val="auto"/>
              </w:rPr>
              <w:t>Daniel Guglielmone</w:t>
            </w:r>
          </w:p>
        </w:tc>
        <w:tc>
          <w:tcPr>
            <w:tcW w:w="200" w:type="dxa"/>
            <w:vAlign w:val="bottom"/>
            <w:shd w:val="clear" w:color="auto" w:fill="D2D4D9"/>
          </w:tcPr>
          <w:p>
            <w:pPr>
              <w:spacing w:after="0"/>
              <w:rPr>
                <w:sz w:val="24"/>
                <w:szCs w:val="24"/>
                <w:color w:val="auto"/>
              </w:rPr>
            </w:pPr>
          </w:p>
        </w:tc>
        <w:tc>
          <w:tcPr>
            <w:tcW w:w="840" w:type="dxa"/>
            <w:vAlign w:val="bottom"/>
            <w:shd w:val="clear" w:color="auto" w:fill="D2D4D9"/>
          </w:tcPr>
          <w:p>
            <w:pPr>
              <w:spacing w:after="0"/>
              <w:rPr>
                <w:sz w:val="24"/>
                <w:szCs w:val="24"/>
                <w:color w:val="auto"/>
              </w:rPr>
            </w:pPr>
          </w:p>
        </w:tc>
        <w:tc>
          <w:tcPr>
            <w:tcW w:w="200" w:type="dxa"/>
            <w:vAlign w:val="bottom"/>
            <w:shd w:val="clear" w:color="auto" w:fill="D2D4D9"/>
          </w:tcPr>
          <w:p>
            <w:pPr>
              <w:spacing w:after="0"/>
              <w:rPr>
                <w:sz w:val="24"/>
                <w:szCs w:val="24"/>
                <w:color w:val="auto"/>
              </w:rPr>
            </w:pPr>
          </w:p>
        </w:tc>
        <w:tc>
          <w:tcPr>
            <w:tcW w:w="840" w:type="dxa"/>
            <w:vAlign w:val="bottom"/>
            <w:shd w:val="clear" w:color="auto" w:fill="D2D4D9"/>
          </w:tcPr>
          <w:p>
            <w:pPr>
              <w:spacing w:after="0"/>
              <w:rPr>
                <w:sz w:val="24"/>
                <w:szCs w:val="24"/>
                <w:color w:val="auto"/>
              </w:rPr>
            </w:pPr>
          </w:p>
        </w:tc>
        <w:tc>
          <w:tcPr>
            <w:tcW w:w="200" w:type="dxa"/>
            <w:vAlign w:val="bottom"/>
            <w:shd w:val="clear" w:color="auto" w:fill="D2D4D9"/>
          </w:tcPr>
          <w:p>
            <w:pPr>
              <w:spacing w:after="0"/>
              <w:rPr>
                <w:sz w:val="24"/>
                <w:szCs w:val="24"/>
                <w:color w:val="auto"/>
              </w:rPr>
            </w:pPr>
          </w:p>
        </w:tc>
        <w:tc>
          <w:tcPr>
            <w:tcW w:w="920" w:type="dxa"/>
            <w:vAlign w:val="bottom"/>
            <w:shd w:val="clear" w:color="auto" w:fill="D2D4D9"/>
          </w:tcPr>
          <w:p>
            <w:pPr>
              <w:spacing w:after="0"/>
              <w:rPr>
                <w:sz w:val="24"/>
                <w:szCs w:val="24"/>
                <w:color w:val="auto"/>
              </w:rPr>
            </w:pPr>
          </w:p>
        </w:tc>
        <w:tc>
          <w:tcPr>
            <w:tcW w:w="220" w:type="dxa"/>
            <w:vAlign w:val="bottom"/>
            <w:shd w:val="clear" w:color="auto" w:fill="D2D4D9"/>
          </w:tcPr>
          <w:p>
            <w:pPr>
              <w:spacing w:after="0"/>
              <w:rPr>
                <w:sz w:val="24"/>
                <w:szCs w:val="24"/>
                <w:color w:val="auto"/>
              </w:rPr>
            </w:pPr>
          </w:p>
        </w:tc>
        <w:tc>
          <w:tcPr>
            <w:tcW w:w="740" w:type="dxa"/>
            <w:vAlign w:val="bottom"/>
            <w:shd w:val="clear" w:color="auto" w:fill="D2D4D9"/>
          </w:tcPr>
          <w:p>
            <w:pPr>
              <w:spacing w:after="0"/>
              <w:rPr>
                <w:sz w:val="24"/>
                <w:szCs w:val="24"/>
                <w:color w:val="auto"/>
              </w:rPr>
            </w:pPr>
          </w:p>
        </w:tc>
        <w:tc>
          <w:tcPr>
            <w:tcW w:w="380" w:type="dxa"/>
            <w:vAlign w:val="bottom"/>
            <w:shd w:val="clear" w:color="auto" w:fill="D2D4D9"/>
          </w:tcPr>
          <w:p>
            <w:pPr>
              <w:spacing w:after="0"/>
              <w:rPr>
                <w:sz w:val="24"/>
                <w:szCs w:val="24"/>
                <w:color w:val="auto"/>
              </w:rPr>
            </w:pPr>
          </w:p>
        </w:tc>
        <w:tc>
          <w:tcPr>
            <w:tcW w:w="560" w:type="dxa"/>
            <w:vAlign w:val="bottom"/>
            <w:shd w:val="clear" w:color="auto" w:fill="D2D4D9"/>
          </w:tcPr>
          <w:p>
            <w:pPr>
              <w:spacing w:after="0"/>
              <w:rPr>
                <w:sz w:val="24"/>
                <w:szCs w:val="24"/>
                <w:color w:val="auto"/>
              </w:rPr>
            </w:pPr>
          </w:p>
        </w:tc>
        <w:tc>
          <w:tcPr>
            <w:tcW w:w="220" w:type="dxa"/>
            <w:vAlign w:val="bottom"/>
            <w:shd w:val="clear" w:color="auto" w:fill="D2D4D9"/>
          </w:tcPr>
          <w:p>
            <w:pPr>
              <w:spacing w:after="0"/>
              <w:rPr>
                <w:sz w:val="24"/>
                <w:szCs w:val="24"/>
                <w:color w:val="auto"/>
              </w:rPr>
            </w:pPr>
          </w:p>
        </w:tc>
        <w:tc>
          <w:tcPr>
            <w:tcW w:w="980" w:type="dxa"/>
            <w:vAlign w:val="bottom"/>
            <w:shd w:val="clear" w:color="auto" w:fill="D2D4D9"/>
          </w:tcPr>
          <w:p>
            <w:pPr>
              <w:spacing w:after="0"/>
              <w:rPr>
                <w:sz w:val="24"/>
                <w:szCs w:val="24"/>
                <w:color w:val="auto"/>
              </w:rPr>
            </w:pPr>
          </w:p>
        </w:tc>
      </w:tr>
      <w:tr>
        <w:trPr>
          <w:trHeight w:val="297"/>
        </w:trPr>
        <w:tc>
          <w:tcPr>
            <w:tcW w:w="4720" w:type="dxa"/>
            <w:vAlign w:val="bottom"/>
            <w:shd w:val="clear" w:color="auto" w:fill="D2D4D9"/>
          </w:tcPr>
          <w:p>
            <w:pPr>
              <w:ind w:left="440"/>
              <w:spacing w:after="0"/>
              <w:rPr>
                <w:sz w:val="20"/>
                <w:szCs w:val="20"/>
                <w:color w:val="auto"/>
              </w:rPr>
            </w:pPr>
            <w:r>
              <w:rPr>
                <w:rFonts w:ascii="Arial" w:cs="Arial" w:eastAsia="Arial" w:hAnsi="Arial"/>
                <w:sz w:val="16"/>
                <w:szCs w:val="16"/>
                <w:color w:val="auto"/>
              </w:rPr>
              <w:t>Death</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2D4D9"/>
          </w:tcPr>
          <w:p>
            <w:pPr>
              <w:jc w:val="right"/>
              <w:ind w:right="20"/>
              <w:spacing w:after="0"/>
              <w:rPr>
                <w:sz w:val="20"/>
                <w:szCs w:val="20"/>
                <w:color w:val="auto"/>
              </w:rPr>
            </w:pPr>
            <w:r>
              <w:rPr>
                <w:rFonts w:ascii="Arial" w:cs="Arial" w:eastAsia="Arial" w:hAnsi="Arial"/>
                <w:sz w:val="16"/>
                <w:szCs w:val="16"/>
                <w:color w:val="auto"/>
              </w:rPr>
              <w:t>1,846,457</w:t>
            </w:r>
          </w:p>
        </w:tc>
        <w:tc>
          <w:tcPr>
            <w:tcW w:w="220" w:type="dxa"/>
            <w:vAlign w:val="bottom"/>
            <w:shd w:val="clear" w:color="auto" w:fill="D2D4D9"/>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2D4D9"/>
          </w:tcPr>
          <w:p>
            <w:pPr>
              <w:spacing w:after="0"/>
              <w:rPr>
                <w:sz w:val="24"/>
                <w:szCs w:val="24"/>
                <w:color w:val="auto"/>
              </w:rPr>
            </w:pPr>
          </w:p>
        </w:tc>
        <w:tc>
          <w:tcPr>
            <w:tcW w:w="56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2D4D9"/>
          </w:tcPr>
          <w:p>
            <w:pPr>
              <w:jc w:val="right"/>
              <w:ind w:right="80"/>
              <w:spacing w:after="0"/>
              <w:rPr>
                <w:sz w:val="20"/>
                <w:szCs w:val="20"/>
                <w:color w:val="auto"/>
              </w:rPr>
            </w:pPr>
            <w:r>
              <w:rPr>
                <w:rFonts w:ascii="Arial" w:cs="Arial" w:eastAsia="Arial" w:hAnsi="Arial"/>
                <w:sz w:val="16"/>
                <w:szCs w:val="16"/>
                <w:color w:val="auto"/>
              </w:rPr>
              <w:t>1,846,457</w:t>
            </w:r>
          </w:p>
        </w:tc>
      </w:tr>
      <w:tr>
        <w:trPr>
          <w:trHeight w:val="297"/>
        </w:trPr>
        <w:tc>
          <w:tcPr>
            <w:tcW w:w="4720" w:type="dxa"/>
            <w:vAlign w:val="bottom"/>
            <w:shd w:val="clear" w:color="auto" w:fill="D2D4D9"/>
          </w:tcPr>
          <w:p>
            <w:pPr>
              <w:ind w:left="440"/>
              <w:spacing w:after="0"/>
              <w:rPr>
                <w:sz w:val="20"/>
                <w:szCs w:val="20"/>
                <w:color w:val="auto"/>
              </w:rPr>
            </w:pPr>
            <w:r>
              <w:rPr>
                <w:rFonts w:ascii="Arial" w:cs="Arial" w:eastAsia="Arial" w:hAnsi="Arial"/>
                <w:sz w:val="16"/>
                <w:szCs w:val="16"/>
                <w:color w:val="auto"/>
              </w:rPr>
              <w:t>Disability</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403,128</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32,843</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2D4D9"/>
          </w:tcPr>
          <w:p>
            <w:pPr>
              <w:jc w:val="right"/>
              <w:ind w:right="20"/>
              <w:spacing w:after="0"/>
              <w:rPr>
                <w:sz w:val="20"/>
                <w:szCs w:val="20"/>
                <w:color w:val="auto"/>
              </w:rPr>
            </w:pPr>
            <w:r>
              <w:rPr>
                <w:rFonts w:ascii="Arial" w:cs="Arial" w:eastAsia="Arial" w:hAnsi="Arial"/>
                <w:sz w:val="16"/>
                <w:szCs w:val="16"/>
                <w:color w:val="auto"/>
              </w:rPr>
              <w:t>1,846,457</w:t>
            </w:r>
          </w:p>
        </w:tc>
        <w:tc>
          <w:tcPr>
            <w:tcW w:w="220" w:type="dxa"/>
            <w:vAlign w:val="bottom"/>
            <w:shd w:val="clear" w:color="auto" w:fill="D2D4D9"/>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2D4D9"/>
          </w:tcPr>
          <w:p>
            <w:pPr>
              <w:spacing w:after="0"/>
              <w:rPr>
                <w:sz w:val="24"/>
                <w:szCs w:val="24"/>
                <w:color w:val="auto"/>
              </w:rPr>
            </w:pPr>
          </w:p>
        </w:tc>
        <w:tc>
          <w:tcPr>
            <w:tcW w:w="56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2D4D9"/>
          </w:tcPr>
          <w:p>
            <w:pPr>
              <w:jc w:val="right"/>
              <w:ind w:right="80"/>
              <w:spacing w:after="0"/>
              <w:rPr>
                <w:sz w:val="20"/>
                <w:szCs w:val="20"/>
                <w:color w:val="auto"/>
              </w:rPr>
            </w:pPr>
            <w:r>
              <w:rPr>
                <w:rFonts w:ascii="Arial" w:cs="Arial" w:eastAsia="Arial" w:hAnsi="Arial"/>
                <w:sz w:val="16"/>
                <w:szCs w:val="16"/>
                <w:color w:val="auto"/>
              </w:rPr>
              <w:t>2,282,428</w:t>
            </w:r>
          </w:p>
        </w:tc>
      </w:tr>
      <w:tr>
        <w:trPr>
          <w:trHeight w:val="297"/>
        </w:trPr>
        <w:tc>
          <w:tcPr>
            <w:tcW w:w="4720" w:type="dxa"/>
            <w:vAlign w:val="bottom"/>
            <w:shd w:val="clear" w:color="auto" w:fill="D2D4D9"/>
          </w:tcPr>
          <w:p>
            <w:pPr>
              <w:ind w:left="440"/>
              <w:spacing w:after="0"/>
              <w:rPr>
                <w:sz w:val="20"/>
                <w:szCs w:val="20"/>
                <w:color w:val="auto"/>
              </w:rPr>
            </w:pPr>
            <w:r>
              <w:rPr>
                <w:rFonts w:ascii="Arial" w:cs="Arial" w:eastAsia="Arial" w:hAnsi="Arial"/>
                <w:sz w:val="16"/>
                <w:szCs w:val="16"/>
                <w:color w:val="auto"/>
              </w:rPr>
              <w:t>TWOC</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869,404</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32,843</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2D4D9"/>
          </w:tcPr>
          <w:p>
            <w:pPr>
              <w:jc w:val="right"/>
              <w:ind w:right="20"/>
              <w:spacing w:after="0"/>
              <w:rPr>
                <w:sz w:val="20"/>
                <w:szCs w:val="20"/>
                <w:color w:val="auto"/>
              </w:rPr>
            </w:pPr>
            <w:r>
              <w:rPr>
                <w:rFonts w:ascii="Arial" w:cs="Arial" w:eastAsia="Arial" w:hAnsi="Arial"/>
                <w:sz w:val="16"/>
                <w:szCs w:val="16"/>
                <w:color w:val="auto"/>
              </w:rPr>
              <w:t>1,846,457</w:t>
            </w:r>
          </w:p>
        </w:tc>
        <w:tc>
          <w:tcPr>
            <w:tcW w:w="220" w:type="dxa"/>
            <w:vAlign w:val="bottom"/>
            <w:shd w:val="clear" w:color="auto" w:fill="D2D4D9"/>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60,250</w:t>
            </w:r>
          </w:p>
        </w:tc>
        <w:tc>
          <w:tcPr>
            <w:tcW w:w="380" w:type="dxa"/>
            <w:vAlign w:val="bottom"/>
            <w:shd w:val="clear" w:color="auto" w:fill="D2D4D9"/>
          </w:tcPr>
          <w:p>
            <w:pPr>
              <w:spacing w:after="0"/>
              <w:rPr>
                <w:sz w:val="24"/>
                <w:szCs w:val="24"/>
                <w:color w:val="auto"/>
              </w:rPr>
            </w:pPr>
          </w:p>
        </w:tc>
        <w:tc>
          <w:tcPr>
            <w:tcW w:w="56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2D4D9"/>
          </w:tcPr>
          <w:p>
            <w:pPr>
              <w:jc w:val="right"/>
              <w:ind w:right="80"/>
              <w:spacing w:after="0"/>
              <w:rPr>
                <w:sz w:val="20"/>
                <w:szCs w:val="20"/>
                <w:color w:val="auto"/>
              </w:rPr>
            </w:pPr>
            <w:r>
              <w:rPr>
                <w:rFonts w:ascii="Arial" w:cs="Arial" w:eastAsia="Arial" w:hAnsi="Arial"/>
                <w:sz w:val="16"/>
                <w:szCs w:val="16"/>
                <w:color w:val="auto"/>
              </w:rPr>
              <w:t>2,808,955</w:t>
            </w:r>
          </w:p>
        </w:tc>
      </w:tr>
      <w:tr>
        <w:trPr>
          <w:trHeight w:val="297"/>
        </w:trPr>
        <w:tc>
          <w:tcPr>
            <w:tcW w:w="4720" w:type="dxa"/>
            <w:vAlign w:val="bottom"/>
            <w:shd w:val="clear" w:color="auto" w:fill="D2D4D9"/>
          </w:tcPr>
          <w:p>
            <w:pPr>
              <w:ind w:left="440"/>
              <w:spacing w:after="0"/>
              <w:rPr>
                <w:sz w:val="20"/>
                <w:szCs w:val="20"/>
                <w:color w:val="auto"/>
              </w:rPr>
            </w:pPr>
            <w:r>
              <w:rPr>
                <w:rFonts w:ascii="Arial" w:cs="Arial" w:eastAsia="Arial" w:hAnsi="Arial"/>
                <w:sz w:val="16"/>
                <w:szCs w:val="16"/>
                <w:color w:val="auto"/>
              </w:rPr>
              <w:t>Termination for Cause</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2D4D9"/>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D2D4D9"/>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2D4D9"/>
          </w:tcPr>
          <w:p>
            <w:pPr>
              <w:spacing w:after="0"/>
              <w:rPr>
                <w:sz w:val="24"/>
                <w:szCs w:val="24"/>
                <w:color w:val="auto"/>
              </w:rPr>
            </w:pPr>
          </w:p>
        </w:tc>
        <w:tc>
          <w:tcPr>
            <w:tcW w:w="56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2D4D9"/>
          </w:tcPr>
          <w:p>
            <w:pPr>
              <w:jc w:val="right"/>
              <w:ind w:right="80"/>
              <w:spacing w:after="0"/>
              <w:rPr>
                <w:sz w:val="20"/>
                <w:szCs w:val="20"/>
                <w:color w:val="auto"/>
              </w:rPr>
            </w:pPr>
            <w:r>
              <w:rPr>
                <w:rFonts w:ascii="Arial" w:cs="Arial" w:eastAsia="Arial" w:hAnsi="Arial"/>
                <w:sz w:val="16"/>
                <w:szCs w:val="16"/>
                <w:color w:val="auto"/>
              </w:rPr>
              <w:t>—</w:t>
            </w:r>
          </w:p>
        </w:tc>
      </w:tr>
      <w:tr>
        <w:trPr>
          <w:trHeight w:val="317"/>
        </w:trPr>
        <w:tc>
          <w:tcPr>
            <w:tcW w:w="4720" w:type="dxa"/>
            <w:vAlign w:val="bottom"/>
            <w:shd w:val="clear" w:color="auto" w:fill="D2D4D9"/>
          </w:tcPr>
          <w:p>
            <w:pPr>
              <w:ind w:left="440"/>
              <w:spacing w:after="0"/>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w w:val="98"/>
              </w:rPr>
              <w:t>1,738,809</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65,686</w:t>
            </w:r>
          </w:p>
        </w:tc>
        <w:tc>
          <w:tcPr>
            <w:tcW w:w="2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D2D4D9"/>
          </w:tcPr>
          <w:p>
            <w:pPr>
              <w:jc w:val="right"/>
              <w:ind w:right="20"/>
              <w:spacing w:after="0"/>
              <w:rPr>
                <w:sz w:val="20"/>
                <w:szCs w:val="20"/>
                <w:color w:val="auto"/>
              </w:rPr>
            </w:pPr>
            <w:r>
              <w:rPr>
                <w:rFonts w:ascii="Arial" w:cs="Arial" w:eastAsia="Arial" w:hAnsi="Arial"/>
                <w:sz w:val="16"/>
                <w:szCs w:val="16"/>
                <w:color w:val="auto"/>
              </w:rPr>
              <w:t>1,846,457</w:t>
            </w:r>
          </w:p>
        </w:tc>
        <w:tc>
          <w:tcPr>
            <w:tcW w:w="220" w:type="dxa"/>
            <w:vAlign w:val="bottom"/>
            <w:shd w:val="clear" w:color="auto" w:fill="D2D4D9"/>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2D4D9"/>
          </w:tcPr>
          <w:p>
            <w:pPr>
              <w:jc w:val="right"/>
              <w:ind w:right="40"/>
              <w:spacing w:after="0"/>
              <w:rPr>
                <w:sz w:val="20"/>
                <w:szCs w:val="20"/>
                <w:color w:val="auto"/>
              </w:rPr>
            </w:pPr>
            <w:r>
              <w:rPr>
                <w:rFonts w:ascii="Arial" w:cs="Arial" w:eastAsia="Arial" w:hAnsi="Arial"/>
                <w:sz w:val="16"/>
                <w:szCs w:val="16"/>
                <w:color w:val="auto"/>
              </w:rPr>
              <w:t>90,375</w:t>
            </w:r>
          </w:p>
        </w:tc>
        <w:tc>
          <w:tcPr>
            <w:tcW w:w="380" w:type="dxa"/>
            <w:vAlign w:val="bottom"/>
            <w:shd w:val="clear" w:color="auto" w:fill="D2D4D9"/>
          </w:tcPr>
          <w:p>
            <w:pPr>
              <w:spacing w:after="0"/>
              <w:rPr>
                <w:sz w:val="24"/>
                <w:szCs w:val="24"/>
                <w:color w:val="auto"/>
              </w:rPr>
            </w:pPr>
          </w:p>
        </w:tc>
        <w:tc>
          <w:tcPr>
            <w:tcW w:w="56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2D4D9"/>
          </w:tcPr>
          <w:p>
            <w:pPr>
              <w:jc w:val="right"/>
              <w:ind w:right="80"/>
              <w:spacing w:after="0"/>
              <w:rPr>
                <w:sz w:val="20"/>
                <w:szCs w:val="20"/>
                <w:color w:val="auto"/>
              </w:rPr>
            </w:pPr>
            <w:r>
              <w:rPr>
                <w:rFonts w:ascii="Arial" w:cs="Arial" w:eastAsia="Arial" w:hAnsi="Arial"/>
                <w:sz w:val="16"/>
                <w:szCs w:val="16"/>
                <w:color w:val="auto"/>
              </w:rPr>
              <w:t>3,741,327</w:t>
            </w:r>
          </w:p>
        </w:tc>
      </w:tr>
      <w:tr>
        <w:trPr>
          <w:trHeight w:val="278"/>
        </w:trPr>
        <w:tc>
          <w:tcPr>
            <w:tcW w:w="4720" w:type="dxa"/>
            <w:vAlign w:val="bottom"/>
          </w:tcPr>
          <w:p>
            <w:pPr>
              <w:ind w:left="80"/>
              <w:spacing w:after="0"/>
              <w:rPr>
                <w:sz w:val="20"/>
                <w:szCs w:val="20"/>
                <w:color w:val="auto"/>
              </w:rPr>
            </w:pPr>
            <w:r>
              <w:rPr>
                <w:rFonts w:ascii="Arial" w:cs="Arial" w:eastAsia="Arial" w:hAnsi="Arial"/>
                <w:sz w:val="16"/>
                <w:szCs w:val="16"/>
                <w:color w:val="auto"/>
              </w:rPr>
              <w:t>Dawn M. Becker</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Death</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1,571,009</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1,571,009</w:t>
            </w: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Disability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380,790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14,226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1,571,009</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1,966,026</w:t>
            </w: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TWOC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857,801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10,670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1,571,009</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60,250</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2,499,730</w:t>
            </w:r>
          </w:p>
        </w:tc>
      </w:tr>
      <w:tr>
        <w:trPr>
          <w:trHeight w:val="297"/>
        </w:trPr>
        <w:tc>
          <w:tcPr>
            <w:tcW w:w="4720" w:type="dxa"/>
            <w:vAlign w:val="bottom"/>
          </w:tcPr>
          <w:p>
            <w:pPr>
              <w:ind w:left="440"/>
              <w:spacing w:after="0"/>
              <w:rPr>
                <w:sz w:val="20"/>
                <w:szCs w:val="20"/>
                <w:color w:val="auto"/>
              </w:rPr>
            </w:pPr>
            <w:r>
              <w:rPr>
                <w:rFonts w:ascii="Arial" w:cs="Arial" w:eastAsia="Arial" w:hAnsi="Arial"/>
                <w:sz w:val="16"/>
                <w:szCs w:val="16"/>
                <w:color w:val="auto"/>
              </w:rPr>
              <w:t>Termination for Cause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225,000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7,113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232,113</w:t>
            </w:r>
          </w:p>
        </w:tc>
      </w:tr>
      <w:tr>
        <w:trPr>
          <w:trHeight w:val="449"/>
        </w:trPr>
        <w:tc>
          <w:tcPr>
            <w:tcW w:w="4720" w:type="dxa"/>
            <w:vAlign w:val="bottom"/>
          </w:tcPr>
          <w:p>
            <w:pPr>
              <w:ind w:left="440"/>
              <w:spacing w:after="0"/>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1,715,602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28,453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1,571,009</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90,375</w:t>
            </w:r>
          </w:p>
        </w:tc>
        <w:tc>
          <w:tcPr>
            <w:tcW w:w="3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3,405,439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4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2" w:lineRule="exact"/>
        <w:rPr>
          <w:sz w:val="20"/>
          <w:szCs w:val="20"/>
          <w:color w:val="auto"/>
        </w:rPr>
      </w:pPr>
    </w:p>
    <w:p>
      <w:pPr>
        <w:jc w:val="both"/>
        <w:ind w:left="640" w:right="20" w:hanging="436"/>
        <w:spacing w:after="0" w:line="23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disability, payments are for 1 year in an amount equal to the difference between then current salary and the amount of any payments received under any disability policy we maintained plus a tax gross-up on non-tax exempt payments. The estimated tax gross-ups included in these amounts are $636,701 for Mr. Wood, $156,128 for Mr. Guglielmone and $158,790 for Ms. Becker. For termination without cause (“TWOC”), payment are 1.5 times the highest annual base salary and annual bonus paid during the prior 3-year period for Mr. Wood and 1.0 times that amount for Mr. Guglielmone and Ms. Becker. For termination for cause, the payments equal 1 month of base salary for each year of employment greater than 5 years, capped at a total of 6 months. For change in control (“CIC”), the payments equal 3.0 times the highest annual base salary and annual bonus paid during the prior 3-year period for Mr. Wood and 2.0 times that amount for Mr. Guglielmone and Ms. Becker.</w:t>
      </w:r>
    </w:p>
    <w:p>
      <w:pPr>
        <w:spacing w:after="0" w:line="6" w:lineRule="exact"/>
        <w:rPr>
          <w:rFonts w:ascii="Arial" w:cs="Arial" w:eastAsia="Arial" w:hAnsi="Arial"/>
          <w:sz w:val="18"/>
          <w:szCs w:val="18"/>
          <w:color w:val="auto"/>
        </w:rPr>
      </w:pPr>
    </w:p>
    <w:p>
      <w:pPr>
        <w:jc w:val="both"/>
        <w:ind w:left="640" w:right="2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represent our estimate of the COBRA equivalent to provide the same benefits as being provided to each NEO at December 31, 2017 for a period of: (a) 1 year in the event of death or disability for each of our NEOs; (b) 6 months for Mr. Wood and Ms. Becker on a termination with cause; (c) 9 months for Mr. Wood and Ms. Becker and 12 months for Mr. Guglielmone on a TWOC; and (d) 3 years for Mr. Wood and 2 years for Mr. Guglielmone and Ms. Becker on a CIC. These estimates were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we use the COBRA equivalent as a reasonable estimate of the potential costs for these benefits. For Mr. Wood, this column also includes the following estimated costs (calculated in accordance with Generally Accepted Accounting Principles) pursuant to the Health Continuation Coverage Agreement with Mr. Wood: $2,095,000 in the event of death; $2,622,000 in the event of disability; and $2,689,000 in the event of termination without cause and change in control.</w:t>
      </w:r>
    </w:p>
    <w:p>
      <w:pPr>
        <w:spacing w:after="0" w:line="158" w:lineRule="exact"/>
        <w:rPr>
          <w:rFonts w:ascii="Arial" w:cs="Arial" w:eastAsia="Arial" w:hAnsi="Arial"/>
          <w:sz w:val="18"/>
          <w:szCs w:val="18"/>
          <w:color w:val="auto"/>
        </w:rPr>
      </w:pPr>
    </w:p>
    <w:p>
      <w:pPr>
        <w:jc w:val="both"/>
        <w:ind w:left="640" w:right="2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unvested Shares and options held by our NEOs will vest in the event of death, disability, TWOC or CIC. Amounts in this column were calculated by multiplying the number of unvested Shares and options that vest on the occurrence of the specified event as of December 31, 2017 by the value for each Share and option determined in accordance with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20"/>
        <w:spacing w:after="0" w:line="234" w:lineRule="auto"/>
        <w:rPr>
          <w:sz w:val="20"/>
          <w:szCs w:val="20"/>
          <w:color w:val="auto"/>
        </w:rPr>
      </w:pPr>
      <w:r>
        <w:rPr>
          <w:rFonts w:ascii="Arial" w:cs="Arial" w:eastAsia="Arial" w:hAnsi="Arial"/>
          <w:sz w:val="18"/>
          <w:szCs w:val="18"/>
          <w:color w:val="auto"/>
        </w:rPr>
        <w:t>FASB ASC Topic 718. Each NEO or NEO beneficiary has 2 years after the NEO’s death or disability and 1 year after a TWOC or CIC to exercise any outstanding options, subject to the terms of the applicable option agreement.</w:t>
      </w:r>
    </w:p>
    <w:p>
      <w:pPr>
        <w:spacing w:after="0" w:line="2" w:lineRule="exact"/>
        <w:rPr>
          <w:sz w:val="20"/>
          <w:szCs w:val="20"/>
          <w:color w:val="auto"/>
        </w:rPr>
      </w:pPr>
    </w:p>
    <w:p>
      <w:pPr>
        <w:jc w:val="both"/>
        <w:ind w:left="640" w:right="20" w:hanging="436"/>
        <w:spacing w:after="0" w:line="23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are estimated costs for the following: (a) a full-time administrative assistant and outplacement assistance for a period of 6 months in the event of a TWOC for each of our NEOs and for a period of 12 months for Mr. Wood and 9 months for Mr. Guglielmone and Ms. Becker in the event of a CIC; and (b) use of a company vehicle for three years for Mr. Wood in the event of a CIC should he choose to use that benefit.</w:t>
      </w:r>
    </w:p>
    <w:p>
      <w:pPr>
        <w:spacing w:after="0" w:line="3" w:lineRule="exact"/>
        <w:rPr>
          <w:rFonts w:ascii="Arial" w:cs="Arial" w:eastAsia="Arial" w:hAnsi="Arial"/>
          <w:sz w:val="18"/>
          <w:szCs w:val="18"/>
          <w:color w:val="auto"/>
        </w:rPr>
      </w:pPr>
    </w:p>
    <w:p>
      <w:pPr>
        <w:jc w:val="both"/>
        <w:ind w:left="640" w:right="20" w:hanging="436"/>
        <w:spacing w:after="0" w:line="23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2010 Plan, a CIC is deemed to have occurred when a person acquires a 20% interest in us, or our current Trustees, or those subsequently approved by our current Trustees, constitute less than 2/3 of our Board. Upon a CIC, each NEO is entitled to receive payments and benefits so long as he or she (a) is terminated from employment by the Trust other than for cause or leaves for good reason within 2 years after the change of control or (b) as to Mr. Wood and Ms. Becker only, he or she voluntarily leaves employment within the 30 day window following the 1-year anniversary of the CIC.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Compensation Committee consists of Mr. Faeder, Ms. Holland, Ms. Steinel and Mr. Vassalluzzo. There are no Compensation Committee interlocks and no member of the Compensation Committee serves, or has in the past served, as an employee or officer of the Trust.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compensation of our median paid employee to the compensation paid to our CEO. To determine our median paid employee, we used our employee population as of December 31, 2017, excluding our CEO, which included 318 full-time and part-time employees ranging from executive vice presidents to landscapers and maintenance technicians. We identified our median paid employee using annual base pay plus annual bonus at target levels plus overtime actually paid, the combination of which we believe most closely approximates the total annual direct compensation of our employees. For purposes of the calculation, base pay was annualized for the 46 employees who started with us in 2017. No other adjustments were made. The actual total annual compensation of our Chief Executive Officer and median paid employee was calculated in accordance with the requirements of the Summary Compensation Table included in this proxy statement. Based on this methodology, we have determined that the total annual compensation paid to our Chief Executive Officer in 2017 was $9,077,782 and the total annual compensation paid to our median paid employee in 2017 was $101,598 resulting in a ratio of 89:1</w:t>
      </w:r>
      <w:r>
        <w:rPr>
          <w:rFonts w:ascii="Arial" w:cs="Arial" w:eastAsia="Arial" w:hAnsi="Arial"/>
          <w:sz w:val="18"/>
          <w:szCs w:val="18"/>
          <w:b w:val="1"/>
          <w:bCs w:val="1"/>
          <w:color w:val="auto"/>
        </w:rPr>
        <w:t>.</w:t>
      </w:r>
    </w:p>
    <w:p>
      <w:pPr>
        <w:spacing w:after="0" w:line="16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and as a result,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following table provides information as of December 31, 2017 regarding our equity compensation plans, all of which were approved by our shareholders.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500" w:type="dxa"/>
            <w:vAlign w:val="bottom"/>
            <w:shd w:val="clear" w:color="auto" w:fill="1F2A44"/>
          </w:tcPr>
          <w:p>
            <w:pPr>
              <w:spacing w:after="0"/>
              <w:rPr>
                <w:sz w:val="18"/>
                <w:szCs w:val="18"/>
                <w:color w:val="auto"/>
              </w:rPr>
            </w:pPr>
          </w:p>
        </w:tc>
        <w:tc>
          <w:tcPr>
            <w:tcW w:w="2720" w:type="dxa"/>
            <w:vAlign w:val="bottom"/>
            <w:shd w:val="clear" w:color="auto" w:fill="1F2A44"/>
          </w:tcPr>
          <w:p>
            <w:pPr>
              <w:spacing w:after="0"/>
              <w:rPr>
                <w:sz w:val="18"/>
                <w:szCs w:val="18"/>
                <w:color w:val="auto"/>
              </w:rPr>
            </w:pPr>
          </w:p>
        </w:tc>
        <w:tc>
          <w:tcPr>
            <w:tcW w:w="2700" w:type="dxa"/>
            <w:vAlign w:val="bottom"/>
            <w:shd w:val="clear" w:color="auto" w:fill="1F2A44"/>
          </w:tcPr>
          <w:p>
            <w:pPr>
              <w:spacing w:after="0"/>
              <w:rPr>
                <w:sz w:val="18"/>
                <w:szCs w:val="18"/>
                <w:color w:val="auto"/>
              </w:rPr>
            </w:pPr>
          </w:p>
        </w:tc>
        <w:tc>
          <w:tcPr>
            <w:tcW w:w="2100" w:type="dxa"/>
            <w:vAlign w:val="bottom"/>
            <w:shd w:val="clear" w:color="auto" w:fill="1F2A44"/>
          </w:tcPr>
          <w:p>
            <w:pPr>
              <w:jc w:val="center"/>
              <w:ind w:left="145"/>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3500" w:type="dxa"/>
            <w:vAlign w:val="bottom"/>
            <w:shd w:val="clear" w:color="auto" w:fill="1F2A44"/>
          </w:tcPr>
          <w:p>
            <w:pPr>
              <w:spacing w:after="0"/>
              <w:rPr>
                <w:sz w:val="14"/>
                <w:szCs w:val="14"/>
                <w:color w:val="auto"/>
              </w:rPr>
            </w:pPr>
          </w:p>
        </w:tc>
        <w:tc>
          <w:tcPr>
            <w:tcW w:w="2720" w:type="dxa"/>
            <w:vAlign w:val="bottom"/>
            <w:shd w:val="clear" w:color="auto" w:fill="1F2A44"/>
          </w:tcPr>
          <w:p>
            <w:pPr>
              <w:jc w:val="center"/>
              <w:ind w:left="206"/>
              <w:spacing w:after="0"/>
              <w:rPr>
                <w:sz w:val="20"/>
                <w:szCs w:val="20"/>
                <w:color w:val="auto"/>
              </w:rPr>
            </w:pPr>
            <w:r>
              <w:rPr>
                <w:rFonts w:ascii="Arial" w:cs="Arial" w:eastAsia="Arial" w:hAnsi="Arial"/>
                <w:sz w:val="14"/>
                <w:szCs w:val="14"/>
                <w:b w:val="1"/>
                <w:bCs w:val="1"/>
                <w:color w:val="FFFFFF"/>
              </w:rPr>
              <w:t>Number of securities to</w:t>
            </w:r>
          </w:p>
        </w:tc>
        <w:tc>
          <w:tcPr>
            <w:tcW w:w="2700" w:type="dxa"/>
            <w:vAlign w:val="bottom"/>
            <w:shd w:val="clear" w:color="auto" w:fill="1F2A44"/>
          </w:tcPr>
          <w:p>
            <w:pPr>
              <w:spacing w:after="0"/>
              <w:rPr>
                <w:sz w:val="14"/>
                <w:szCs w:val="14"/>
                <w:color w:val="auto"/>
              </w:rPr>
            </w:pPr>
          </w:p>
        </w:tc>
        <w:tc>
          <w:tcPr>
            <w:tcW w:w="2100" w:type="dxa"/>
            <w:vAlign w:val="bottom"/>
            <w:shd w:val="clear" w:color="auto" w:fill="1F2A44"/>
          </w:tcPr>
          <w:p>
            <w:pPr>
              <w:jc w:val="center"/>
              <w:ind w:left="185"/>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3500" w:type="dxa"/>
            <w:vAlign w:val="bottom"/>
            <w:shd w:val="clear" w:color="auto" w:fill="1F2A44"/>
          </w:tcPr>
          <w:p>
            <w:pPr>
              <w:spacing w:after="0"/>
              <w:rPr>
                <w:sz w:val="14"/>
                <w:szCs w:val="14"/>
                <w:color w:val="auto"/>
              </w:rPr>
            </w:pPr>
          </w:p>
        </w:tc>
        <w:tc>
          <w:tcPr>
            <w:tcW w:w="2720" w:type="dxa"/>
            <w:vAlign w:val="bottom"/>
            <w:shd w:val="clear" w:color="auto" w:fill="1F2A44"/>
          </w:tcPr>
          <w:p>
            <w:pPr>
              <w:jc w:val="center"/>
              <w:ind w:left="206"/>
              <w:spacing w:after="0"/>
              <w:rPr>
                <w:sz w:val="20"/>
                <w:szCs w:val="20"/>
                <w:color w:val="auto"/>
              </w:rPr>
            </w:pPr>
            <w:r>
              <w:rPr>
                <w:rFonts w:ascii="Arial" w:cs="Arial" w:eastAsia="Arial" w:hAnsi="Arial"/>
                <w:sz w:val="14"/>
                <w:szCs w:val="14"/>
                <w:b w:val="1"/>
                <w:bCs w:val="1"/>
                <w:color w:val="FFFFFF"/>
              </w:rPr>
              <w:t>be issued upon exercise</w:t>
            </w:r>
          </w:p>
        </w:tc>
        <w:tc>
          <w:tcPr>
            <w:tcW w:w="2700" w:type="dxa"/>
            <w:vAlign w:val="bottom"/>
            <w:shd w:val="clear" w:color="auto" w:fill="1F2A44"/>
          </w:tcPr>
          <w:p>
            <w:pPr>
              <w:spacing w:after="0"/>
              <w:rPr>
                <w:sz w:val="14"/>
                <w:szCs w:val="14"/>
                <w:color w:val="auto"/>
              </w:rPr>
            </w:pPr>
          </w:p>
        </w:tc>
        <w:tc>
          <w:tcPr>
            <w:tcW w:w="2100" w:type="dxa"/>
            <w:vAlign w:val="bottom"/>
            <w:shd w:val="clear" w:color="auto" w:fill="1F2A44"/>
          </w:tcPr>
          <w:p>
            <w:pPr>
              <w:spacing w:after="0"/>
              <w:rPr>
                <w:sz w:val="14"/>
                <w:szCs w:val="14"/>
                <w:color w:val="auto"/>
              </w:rPr>
            </w:pPr>
          </w:p>
        </w:tc>
      </w:tr>
      <w:tr>
        <w:trPr>
          <w:trHeight w:val="159"/>
        </w:trPr>
        <w:tc>
          <w:tcPr>
            <w:tcW w:w="3500" w:type="dxa"/>
            <w:vAlign w:val="bottom"/>
            <w:shd w:val="clear" w:color="auto" w:fill="1F2A44"/>
          </w:tcPr>
          <w:p>
            <w:pPr>
              <w:spacing w:after="0"/>
              <w:rPr>
                <w:sz w:val="13"/>
                <w:szCs w:val="13"/>
                <w:color w:val="auto"/>
              </w:rPr>
            </w:pPr>
          </w:p>
        </w:tc>
        <w:tc>
          <w:tcPr>
            <w:tcW w:w="2720" w:type="dxa"/>
            <w:vAlign w:val="bottom"/>
            <w:shd w:val="clear" w:color="auto" w:fill="1F2A44"/>
          </w:tcPr>
          <w:p>
            <w:pPr>
              <w:jc w:val="center"/>
              <w:ind w:left="206"/>
              <w:spacing w:after="0" w:line="159" w:lineRule="exact"/>
              <w:rPr>
                <w:sz w:val="20"/>
                <w:szCs w:val="20"/>
                <w:color w:val="auto"/>
              </w:rPr>
            </w:pPr>
            <w:r>
              <w:rPr>
                <w:rFonts w:ascii="Arial" w:cs="Arial" w:eastAsia="Arial" w:hAnsi="Arial"/>
                <w:sz w:val="14"/>
                <w:szCs w:val="14"/>
                <w:b w:val="1"/>
                <w:bCs w:val="1"/>
                <w:color w:val="FFFFFF"/>
              </w:rPr>
              <w:t>of outstanding options,</w:t>
            </w:r>
          </w:p>
        </w:tc>
        <w:tc>
          <w:tcPr>
            <w:tcW w:w="270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Weighted average exercise</w:t>
            </w:r>
          </w:p>
        </w:tc>
        <w:tc>
          <w:tcPr>
            <w:tcW w:w="2100" w:type="dxa"/>
            <w:vAlign w:val="bottom"/>
            <w:shd w:val="clear" w:color="auto" w:fill="1F2A44"/>
          </w:tcPr>
          <w:p>
            <w:pPr>
              <w:jc w:val="center"/>
              <w:ind w:left="145"/>
              <w:spacing w:after="0" w:line="159" w:lineRule="exact"/>
              <w:rPr>
                <w:sz w:val="20"/>
                <w:szCs w:val="20"/>
                <w:color w:val="auto"/>
              </w:rPr>
            </w:pPr>
            <w:r>
              <w:rPr>
                <w:rFonts w:ascii="Arial" w:cs="Arial" w:eastAsia="Arial" w:hAnsi="Arial"/>
                <w:sz w:val="14"/>
                <w:szCs w:val="14"/>
                <w:b w:val="1"/>
                <w:bCs w:val="1"/>
                <w:color w:val="FFFFFF"/>
              </w:rPr>
              <w:t>future issuance</w:t>
            </w:r>
          </w:p>
        </w:tc>
      </w:tr>
      <w:tr>
        <w:trPr>
          <w:trHeight w:val="162"/>
        </w:trPr>
        <w:tc>
          <w:tcPr>
            <w:tcW w:w="3500" w:type="dxa"/>
            <w:vAlign w:val="bottom"/>
            <w:shd w:val="clear" w:color="auto" w:fill="1F2A44"/>
          </w:tcPr>
          <w:p>
            <w:pPr>
              <w:spacing w:after="0"/>
              <w:rPr>
                <w:sz w:val="14"/>
                <w:szCs w:val="14"/>
                <w:color w:val="auto"/>
              </w:rPr>
            </w:pPr>
          </w:p>
        </w:tc>
        <w:tc>
          <w:tcPr>
            <w:tcW w:w="2720" w:type="dxa"/>
            <w:vAlign w:val="bottom"/>
            <w:shd w:val="clear" w:color="auto" w:fill="1F2A44"/>
          </w:tcPr>
          <w:p>
            <w:pPr>
              <w:jc w:val="center"/>
              <w:ind w:left="206"/>
              <w:spacing w:after="0" w:line="162" w:lineRule="exact"/>
              <w:rPr>
                <w:sz w:val="20"/>
                <w:szCs w:val="20"/>
                <w:color w:val="auto"/>
              </w:rPr>
            </w:pPr>
            <w:r>
              <w:rPr>
                <w:rFonts w:ascii="Arial" w:cs="Arial" w:eastAsia="Arial" w:hAnsi="Arial"/>
                <w:sz w:val="11"/>
                <w:szCs w:val="11"/>
                <w:b w:val="1"/>
                <w:bCs w:val="1"/>
                <w:color w:val="FFFFFF"/>
              </w:rPr>
              <w:t>warrants and rights</w:t>
            </w:r>
            <w:r>
              <w:rPr>
                <w:rFonts w:ascii="Arial" w:cs="Arial" w:eastAsia="Arial" w:hAnsi="Arial"/>
                <w:sz w:val="18"/>
                <w:szCs w:val="18"/>
                <w:b w:val="1"/>
                <w:bCs w:val="1"/>
                <w:color w:val="FFFFFF"/>
                <w:vertAlign w:val="superscript"/>
              </w:rPr>
              <w:t>(1)</w:t>
            </w:r>
          </w:p>
        </w:tc>
        <w:tc>
          <w:tcPr>
            <w:tcW w:w="270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price of outstanding options,</w:t>
            </w:r>
          </w:p>
        </w:tc>
        <w:tc>
          <w:tcPr>
            <w:tcW w:w="2100" w:type="dxa"/>
            <w:vAlign w:val="bottom"/>
            <w:shd w:val="clear" w:color="auto" w:fill="1F2A44"/>
          </w:tcPr>
          <w:p>
            <w:pPr>
              <w:jc w:val="center"/>
              <w:ind w:left="145"/>
              <w:spacing w:after="0"/>
              <w:rPr>
                <w:sz w:val="20"/>
                <w:szCs w:val="20"/>
                <w:color w:val="auto"/>
              </w:rPr>
            </w:pPr>
            <w:r>
              <w:rPr>
                <w:rFonts w:ascii="Arial" w:cs="Arial" w:eastAsia="Arial" w:hAnsi="Arial"/>
                <w:sz w:val="14"/>
                <w:szCs w:val="14"/>
                <w:b w:val="1"/>
                <w:bCs w:val="1"/>
                <w:color w:val="FFFFFF"/>
              </w:rPr>
              <w:t>(excluding securities</w:t>
            </w:r>
          </w:p>
        </w:tc>
      </w:tr>
      <w:tr>
        <w:trPr>
          <w:trHeight w:val="206"/>
        </w:trPr>
        <w:tc>
          <w:tcPr>
            <w:tcW w:w="350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Plan Category</w:t>
            </w:r>
          </w:p>
        </w:tc>
        <w:tc>
          <w:tcPr>
            <w:tcW w:w="2720" w:type="dxa"/>
            <w:vAlign w:val="bottom"/>
            <w:shd w:val="clear" w:color="auto" w:fill="1F2A44"/>
          </w:tcPr>
          <w:p>
            <w:pPr>
              <w:jc w:val="center"/>
              <w:ind w:left="186"/>
              <w:spacing w:after="0"/>
              <w:rPr>
                <w:sz w:val="20"/>
                <w:szCs w:val="20"/>
                <w:color w:val="auto"/>
              </w:rPr>
            </w:pPr>
            <w:r>
              <w:rPr>
                <w:rFonts w:ascii="Arial" w:cs="Arial" w:eastAsia="Arial" w:hAnsi="Arial"/>
                <w:sz w:val="14"/>
                <w:szCs w:val="14"/>
                <w:b w:val="1"/>
                <w:bCs w:val="1"/>
                <w:color w:val="FFFFFF"/>
              </w:rPr>
              <w:t>(Column A)</w:t>
            </w:r>
          </w:p>
        </w:tc>
        <w:tc>
          <w:tcPr>
            <w:tcW w:w="270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100" w:type="dxa"/>
            <w:vAlign w:val="bottom"/>
            <w:shd w:val="clear" w:color="auto" w:fill="1F2A44"/>
          </w:tcPr>
          <w:p>
            <w:pPr>
              <w:jc w:val="center"/>
              <w:ind w:left="145"/>
              <w:spacing w:after="0" w:line="205" w:lineRule="exact"/>
              <w:rPr>
                <w:sz w:val="20"/>
                <w:szCs w:val="20"/>
                <w:color w:val="auto"/>
              </w:rPr>
            </w:pPr>
            <w:r>
              <w:rPr>
                <w:rFonts w:ascii="Arial" w:cs="Arial" w:eastAsia="Arial" w:hAnsi="Arial"/>
                <w:sz w:val="14"/>
                <w:szCs w:val="14"/>
                <w:b w:val="1"/>
                <w:bCs w:val="1"/>
                <w:color w:val="FFFFFF"/>
              </w:rPr>
              <w:t>reflected in Column A</w:t>
            </w:r>
            <w:r>
              <w:rPr>
                <w:rFonts w:ascii="Arial" w:cs="Arial" w:eastAsia="Arial" w:hAnsi="Arial"/>
                <w:sz w:val="23"/>
                <w:szCs w:val="23"/>
                <w:b w:val="1"/>
                <w:bCs w:val="1"/>
                <w:color w:val="FFFFFF"/>
                <w:vertAlign w:val="superscript"/>
              </w:rPr>
              <w:t>(2)</w:t>
            </w:r>
          </w:p>
        </w:tc>
      </w:tr>
      <w:tr>
        <w:trPr>
          <w:trHeight w:val="258"/>
        </w:trPr>
        <w:tc>
          <w:tcPr>
            <w:tcW w:w="3500" w:type="dxa"/>
            <w:vAlign w:val="bottom"/>
          </w:tcPr>
          <w:p>
            <w:pPr>
              <w:ind w:left="80"/>
              <w:spacing w:after="0"/>
              <w:rPr>
                <w:sz w:val="20"/>
                <w:szCs w:val="20"/>
                <w:color w:val="auto"/>
              </w:rPr>
            </w:pPr>
            <w:r>
              <w:rPr>
                <w:rFonts w:ascii="Arial" w:cs="Arial" w:eastAsia="Arial" w:hAnsi="Arial"/>
                <w:sz w:val="16"/>
                <w:szCs w:val="16"/>
                <w:color w:val="auto"/>
              </w:rPr>
              <w:t>Equity compensation plans approved by</w:t>
            </w:r>
          </w:p>
        </w:tc>
        <w:tc>
          <w:tcPr>
            <w:tcW w:w="27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195"/>
        </w:trPr>
        <w:tc>
          <w:tcPr>
            <w:tcW w:w="3500" w:type="dxa"/>
            <w:vAlign w:val="bottom"/>
          </w:tcPr>
          <w:p>
            <w:pPr>
              <w:ind w:left="240"/>
              <w:spacing w:after="0"/>
              <w:rPr>
                <w:sz w:val="20"/>
                <w:szCs w:val="20"/>
                <w:color w:val="auto"/>
              </w:rPr>
            </w:pPr>
            <w:r>
              <w:rPr>
                <w:rFonts w:ascii="Arial" w:cs="Arial" w:eastAsia="Arial" w:hAnsi="Arial"/>
                <w:sz w:val="16"/>
                <w:szCs w:val="16"/>
                <w:color w:val="auto"/>
              </w:rPr>
              <w:t>security holders</w:t>
            </w:r>
          </w:p>
        </w:tc>
        <w:tc>
          <w:tcPr>
            <w:tcW w:w="2720" w:type="dxa"/>
            <w:vAlign w:val="bottom"/>
          </w:tcPr>
          <w:p>
            <w:pPr>
              <w:jc w:val="right"/>
              <w:ind w:right="826"/>
              <w:spacing w:after="0"/>
              <w:rPr>
                <w:sz w:val="20"/>
                <w:szCs w:val="20"/>
                <w:color w:val="auto"/>
              </w:rPr>
            </w:pPr>
            <w:r>
              <w:rPr>
                <w:rFonts w:ascii="Arial" w:cs="Arial" w:eastAsia="Arial" w:hAnsi="Arial"/>
                <w:sz w:val="16"/>
                <w:szCs w:val="16"/>
                <w:color w:val="auto"/>
              </w:rPr>
              <w:t>106,485</w:t>
            </w:r>
          </w:p>
        </w:tc>
        <w:tc>
          <w:tcPr>
            <w:tcW w:w="2700" w:type="dxa"/>
            <w:vAlign w:val="bottom"/>
          </w:tcPr>
          <w:p>
            <w:pPr>
              <w:jc w:val="right"/>
              <w:ind w:right="1003"/>
              <w:spacing w:after="0"/>
              <w:rPr>
                <w:sz w:val="20"/>
                <w:szCs w:val="20"/>
                <w:color w:val="auto"/>
              </w:rPr>
            </w:pPr>
            <w:r>
              <w:rPr>
                <w:rFonts w:ascii="Arial" w:cs="Arial" w:eastAsia="Arial" w:hAnsi="Arial"/>
                <w:sz w:val="16"/>
                <w:szCs w:val="16"/>
                <w:color w:val="auto"/>
              </w:rPr>
              <w:t>$ 44.18</w:t>
            </w:r>
          </w:p>
        </w:tc>
        <w:tc>
          <w:tcPr>
            <w:tcW w:w="2100" w:type="dxa"/>
            <w:vAlign w:val="bottom"/>
          </w:tcPr>
          <w:p>
            <w:pPr>
              <w:jc w:val="right"/>
              <w:ind w:right="245"/>
              <w:spacing w:after="0"/>
              <w:rPr>
                <w:sz w:val="20"/>
                <w:szCs w:val="20"/>
                <w:color w:val="auto"/>
              </w:rPr>
            </w:pPr>
            <w:r>
              <w:rPr>
                <w:rFonts w:ascii="Arial" w:cs="Arial" w:eastAsia="Arial" w:hAnsi="Arial"/>
                <w:sz w:val="16"/>
                <w:szCs w:val="16"/>
                <w:color w:val="auto"/>
              </w:rPr>
              <w:t>1,602,719</w:t>
            </w:r>
          </w:p>
        </w:tc>
      </w:tr>
      <w:tr>
        <w:trPr>
          <w:trHeight w:val="251"/>
        </w:trPr>
        <w:tc>
          <w:tcPr>
            <w:tcW w:w="3500" w:type="dxa"/>
            <w:vAlign w:val="bottom"/>
          </w:tcPr>
          <w:p>
            <w:pPr>
              <w:ind w:left="80"/>
              <w:spacing w:after="0"/>
              <w:rPr>
                <w:sz w:val="20"/>
                <w:szCs w:val="20"/>
                <w:color w:val="auto"/>
              </w:rPr>
            </w:pPr>
            <w:r>
              <w:rPr>
                <w:rFonts w:ascii="Arial" w:cs="Arial" w:eastAsia="Arial" w:hAnsi="Arial"/>
                <w:sz w:val="16"/>
                <w:szCs w:val="16"/>
                <w:color w:val="auto"/>
              </w:rPr>
              <w:t>Equity compensation plans not approved by</w:t>
            </w:r>
          </w:p>
        </w:tc>
        <w:tc>
          <w:tcPr>
            <w:tcW w:w="27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87"/>
        </w:trPr>
        <w:tc>
          <w:tcPr>
            <w:tcW w:w="35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security holders</w:t>
            </w:r>
          </w:p>
        </w:tc>
        <w:tc>
          <w:tcPr>
            <w:tcW w:w="2720" w:type="dxa"/>
            <w:vAlign w:val="bottom"/>
            <w:tcBorders>
              <w:bottom w:val="single" w:sz="8" w:color="auto"/>
            </w:tcBorders>
          </w:tcPr>
          <w:p>
            <w:pPr>
              <w:jc w:val="right"/>
              <w:ind w:right="826"/>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tcBorders>
          </w:tcPr>
          <w:p>
            <w:pPr>
              <w:jc w:val="right"/>
              <w:ind w:right="1003"/>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w:t>
            </w:r>
          </w:p>
        </w:tc>
      </w:tr>
      <w:tr>
        <w:trPr>
          <w:trHeight w:val="244"/>
        </w:trPr>
        <w:tc>
          <w:tcPr>
            <w:tcW w:w="3500" w:type="dxa"/>
            <w:vAlign w:val="bottom"/>
          </w:tcPr>
          <w:p>
            <w:pPr>
              <w:ind w:left="440"/>
              <w:spacing w:after="0"/>
              <w:rPr>
                <w:sz w:val="20"/>
                <w:szCs w:val="20"/>
                <w:color w:val="auto"/>
              </w:rPr>
            </w:pPr>
            <w:r>
              <w:rPr>
                <w:rFonts w:ascii="Arial" w:cs="Arial" w:eastAsia="Arial" w:hAnsi="Arial"/>
                <w:sz w:val="16"/>
                <w:szCs w:val="16"/>
                <w:color w:val="auto"/>
              </w:rPr>
              <w:t>Total</w:t>
            </w:r>
          </w:p>
        </w:tc>
        <w:tc>
          <w:tcPr>
            <w:tcW w:w="2720" w:type="dxa"/>
            <w:vAlign w:val="bottom"/>
          </w:tcPr>
          <w:p>
            <w:pPr>
              <w:jc w:val="right"/>
              <w:ind w:right="826"/>
              <w:spacing w:after="0"/>
              <w:rPr>
                <w:sz w:val="20"/>
                <w:szCs w:val="20"/>
                <w:color w:val="auto"/>
              </w:rPr>
            </w:pPr>
            <w:r>
              <w:rPr>
                <w:rFonts w:ascii="Arial" w:cs="Arial" w:eastAsia="Arial" w:hAnsi="Arial"/>
                <w:sz w:val="16"/>
                <w:szCs w:val="16"/>
                <w:color w:val="auto"/>
              </w:rPr>
              <w:t>106,485</w:t>
            </w:r>
          </w:p>
        </w:tc>
        <w:tc>
          <w:tcPr>
            <w:tcW w:w="2700" w:type="dxa"/>
            <w:vAlign w:val="bottom"/>
          </w:tcPr>
          <w:p>
            <w:pPr>
              <w:jc w:val="right"/>
              <w:ind w:right="1003"/>
              <w:spacing w:after="0"/>
              <w:rPr>
                <w:sz w:val="20"/>
                <w:szCs w:val="20"/>
                <w:color w:val="auto"/>
              </w:rPr>
            </w:pPr>
            <w:r>
              <w:rPr>
                <w:rFonts w:ascii="Arial" w:cs="Arial" w:eastAsia="Arial" w:hAnsi="Arial"/>
                <w:sz w:val="16"/>
                <w:szCs w:val="16"/>
                <w:color w:val="auto"/>
              </w:rPr>
              <w:t>$ 44.18</w:t>
            </w:r>
          </w:p>
        </w:tc>
        <w:tc>
          <w:tcPr>
            <w:tcW w:w="2100" w:type="dxa"/>
            <w:vAlign w:val="bottom"/>
          </w:tcPr>
          <w:p>
            <w:pPr>
              <w:jc w:val="right"/>
              <w:ind w:right="245"/>
              <w:spacing w:after="0"/>
              <w:rPr>
                <w:sz w:val="20"/>
                <w:szCs w:val="20"/>
                <w:color w:val="auto"/>
              </w:rPr>
            </w:pPr>
            <w:r>
              <w:rPr>
                <w:rFonts w:ascii="Arial" w:cs="Arial" w:eastAsia="Arial" w:hAnsi="Arial"/>
                <w:sz w:val="16"/>
                <w:szCs w:val="16"/>
                <w:color w:val="auto"/>
              </w:rPr>
              <w:t>1,602,719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4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6"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Shares authorized for issuance under our 2001 Plan and our 2010 Plan.</w:t>
      </w: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2010 Plan.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8" w:lineRule="exact"/>
        <w:rPr>
          <w:sz w:val="20"/>
          <w:szCs w:val="20"/>
          <w:color w:val="auto"/>
        </w:rPr>
      </w:pPr>
    </w:p>
    <w:p>
      <w:pPr>
        <w:ind w:left="200" w:right="540"/>
        <w:spacing w:after="0" w:line="261" w:lineRule="auto"/>
        <w:rPr>
          <w:sz w:val="20"/>
          <w:szCs w:val="20"/>
          <w:color w:val="auto"/>
        </w:rPr>
      </w:pPr>
      <w:r>
        <w:rPr>
          <w:rFonts w:ascii="Arial" w:cs="Arial" w:eastAsia="Arial" w:hAnsi="Arial"/>
          <w:sz w:val="22"/>
          <w:szCs w:val="22"/>
          <w:b w:val="1"/>
          <w:bCs w:val="1"/>
          <w:color w:val="auto"/>
        </w:rPr>
        <w:t>PROPOSAL 3 – NON-BINDING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2018. Although shareholder ratification of GT is not required by our governance documents; the Board is submitting the selection of GT to shareholders to solicit shareholder views on our selection of GT as our independent registered public accounting firm. GT has served in this role since 2002 and the Board believes it is in the best interests of the Trust and our shareholders for GT to continue in this role.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6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 representative of GT will be present at the Annual Meeting and will have the opportunity to answer appropriate questions from shareholders.</w:t>
      </w:r>
    </w:p>
    <w:p>
      <w:pPr>
        <w:spacing w:after="0" w:line="156"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342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263" w:lineRule="exact"/>
        <w:rPr>
          <w:sz w:val="20"/>
          <w:szCs w:val="20"/>
          <w:color w:val="auto"/>
        </w:rPr>
      </w:pPr>
    </w:p>
    <w:p>
      <w:pPr>
        <w:ind w:left="960" w:right="1260"/>
        <w:spacing w:after="0" w:line="271" w:lineRule="auto"/>
        <w:rPr>
          <w:sz w:val="20"/>
          <w:szCs w:val="20"/>
          <w:color w:val="auto"/>
        </w:rPr>
      </w:pPr>
      <w:r>
        <w:rPr>
          <w:rFonts w:ascii="Arial" w:cs="Arial" w:eastAsia="Arial" w:hAnsi="Arial"/>
          <w:sz w:val="18"/>
          <w:szCs w:val="18"/>
          <w:b w:val="1"/>
          <w:bCs w:val="1"/>
          <w:color w:val="auto"/>
        </w:rPr>
        <w:t>The Board recommends that you vote “FOR” the non-binding ratification of the appointment of GT as our independent registered public accounting firm for 2018.</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0" w:lineRule="exact"/>
        <w:rPr>
          <w:sz w:val="20"/>
          <w:szCs w:val="20"/>
          <w:color w:val="auto"/>
        </w:rPr>
      </w:pPr>
    </w:p>
    <w:p>
      <w:pPr>
        <w:jc w:val="both"/>
        <w:ind w:left="200"/>
        <w:spacing w:after="0" w:line="251"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15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SEC and NYSE and have the requisite financial competence to serve on the Audit Committee. The Audit Committee meets at least quarterly and operates pursuant to a written charter that is reviewed at least every three years. That charter can be accessed under the Investors section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In 2017, the Audit Committee met four times and each meeting included an executive session with the Trust’s independent registered public accounting firm and no members of management present.</w:t>
      </w:r>
    </w:p>
    <w:p>
      <w:pPr>
        <w:spacing w:after="0" w:line="16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the Trust’s financial statements, and also oversees management, including its internal audit firm, in their performance of its financial functions. Specifically, management is responsible for the financial reporting process, including the system of internal controls, for the preparation of consolidated financial statements in accordance with generally accepted accounting principles in the United States (“GAAP”) and for reporting on internal control over financial reporting. Management uses Pricewaterhouse Coopers, LLC (“PwC”) to provide its internal audit function, including oversight of the ongoing testing of the effectiveness of our internal controls. GT is responsible for auditing the consolidated financial statements of the Trust and expressing an opinion on the financial statements and the effectiveness of internal control over financial reporting.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2017, as part of its oversight function, the Audit Committee:</w:t>
      </w:r>
    </w:p>
    <w:p>
      <w:pPr>
        <w:spacing w:after="0" w:line="212" w:lineRule="exact"/>
        <w:rPr>
          <w:sz w:val="20"/>
          <w:szCs w:val="20"/>
          <w:color w:val="auto"/>
        </w:rPr>
      </w:pPr>
    </w:p>
    <w:p>
      <w:pPr>
        <w:ind w:left="860" w:hanging="332"/>
        <w:spacing w:after="0" w:line="234"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with GT and PwC, individually and collectively, the ongoing assessment and testing of the Trust’s systems of internal controls and procedures;</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GT matters relating to GT’s independence from the Trust and received written confirmation from GT that GT is not aware of any relationships, that in their professional judgment may impair their independence; and;</w:t>
      </w:r>
    </w:p>
    <w:p>
      <w:pPr>
        <w:spacing w:after="0" w:line="1" w:lineRule="exact"/>
        <w:rPr>
          <w:rFonts w:ascii="Arial" w:cs="Arial" w:eastAsia="Arial" w:hAnsi="Arial"/>
          <w:sz w:val="18"/>
          <w:szCs w:val="18"/>
          <w:color w:val="auto"/>
        </w:rPr>
      </w:pPr>
    </w:p>
    <w:p>
      <w:pPr>
        <w:ind w:left="860" w:hanging="332"/>
        <w:spacing w:after="0" w:line="246"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w:t>
      </w:r>
    </w:p>
    <w:p>
      <w:pPr>
        <w:spacing w:after="0" w:line="156"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2017 for filing with the SEC.</w:t>
      </w: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Submitted by the Audit Committee: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Gail P. Steinel, Chairperson</w:t>
      </w:r>
    </w:p>
    <w:p>
      <w:pPr>
        <w:ind w:left="200"/>
        <w:spacing w:after="0" w:line="234" w:lineRule="auto"/>
        <w:rPr>
          <w:sz w:val="20"/>
          <w:szCs w:val="20"/>
          <w:color w:val="auto"/>
        </w:rPr>
      </w:pPr>
      <w:r>
        <w:rPr>
          <w:rFonts w:ascii="Arial" w:cs="Arial" w:eastAsia="Arial" w:hAnsi="Arial"/>
          <w:sz w:val="18"/>
          <w:szCs w:val="18"/>
          <w:color w:val="auto"/>
        </w:rPr>
        <w:t>Jon E. Bortz</w:t>
      </w:r>
    </w:p>
    <w:p>
      <w:pPr>
        <w:ind w:left="200"/>
        <w:spacing w:after="0" w:line="235" w:lineRule="auto"/>
        <w:rPr>
          <w:sz w:val="20"/>
          <w:szCs w:val="20"/>
          <w:color w:val="auto"/>
        </w:rPr>
      </w:pPr>
      <w:r>
        <w:rPr>
          <w:rFonts w:ascii="Arial" w:cs="Arial" w:eastAsia="Arial" w:hAnsi="Arial"/>
          <w:sz w:val="18"/>
          <w:szCs w:val="18"/>
          <w:color w:val="auto"/>
        </w:rPr>
        <w:t>David W. Faeder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Warren M. Thompson</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INDEPENDENT AUDITOR’S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2017 and 2016:</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400" w:type="dxa"/>
            <w:vAlign w:val="bottom"/>
            <w:shd w:val="clear" w:color="auto" w:fill="1F2A44"/>
          </w:tcPr>
          <w:p>
            <w:pPr>
              <w:spacing w:after="0"/>
              <w:rPr>
                <w:sz w:val="14"/>
                <w:szCs w:val="14"/>
                <w:color w:val="auto"/>
              </w:rPr>
            </w:pPr>
          </w:p>
        </w:tc>
        <w:tc>
          <w:tcPr>
            <w:tcW w:w="3860" w:type="dxa"/>
            <w:vAlign w:val="bottom"/>
            <w:shd w:val="clear" w:color="auto" w:fill="1F2A44"/>
          </w:tcPr>
          <w:p>
            <w:pPr>
              <w:spacing w:after="0"/>
              <w:rPr>
                <w:sz w:val="14"/>
                <w:szCs w:val="14"/>
                <w:color w:val="auto"/>
              </w:rPr>
            </w:pPr>
          </w:p>
        </w:tc>
        <w:tc>
          <w:tcPr>
            <w:tcW w:w="840" w:type="dxa"/>
            <w:vAlign w:val="bottom"/>
            <w:shd w:val="clear" w:color="auto" w:fill="1F2A44"/>
          </w:tcPr>
          <w:p>
            <w:pPr>
              <w:jc w:val="right"/>
              <w:ind w:right="280"/>
              <w:spacing w:after="0"/>
              <w:rPr>
                <w:sz w:val="20"/>
                <w:szCs w:val="20"/>
                <w:color w:val="auto"/>
              </w:rPr>
            </w:pPr>
            <w:r>
              <w:rPr>
                <w:rFonts w:ascii="Arial" w:cs="Arial" w:eastAsia="Arial" w:hAnsi="Arial"/>
                <w:sz w:val="14"/>
                <w:szCs w:val="14"/>
                <w:b w:val="1"/>
                <w:bCs w:val="1"/>
                <w:color w:val="FFFFFF"/>
              </w:rPr>
              <w:t>2017</w:t>
            </w:r>
          </w:p>
        </w:tc>
        <w:tc>
          <w:tcPr>
            <w:tcW w:w="200" w:type="dxa"/>
            <w:vAlign w:val="bottom"/>
            <w:shd w:val="clear" w:color="auto" w:fill="1F2A44"/>
          </w:tcPr>
          <w:p>
            <w:pPr>
              <w:spacing w:after="0"/>
              <w:rPr>
                <w:sz w:val="14"/>
                <w:szCs w:val="14"/>
                <w:color w:val="auto"/>
              </w:rPr>
            </w:pPr>
          </w:p>
        </w:tc>
        <w:tc>
          <w:tcPr>
            <w:tcW w:w="720" w:type="dxa"/>
            <w:vAlign w:val="bottom"/>
            <w:shd w:val="clear" w:color="auto" w:fill="1F2A44"/>
          </w:tcPr>
          <w:p>
            <w:pPr>
              <w:jc w:val="right"/>
              <w:ind w:right="220"/>
              <w:spacing w:after="0"/>
              <w:rPr>
                <w:sz w:val="20"/>
                <w:szCs w:val="20"/>
                <w:color w:val="auto"/>
              </w:rPr>
            </w:pPr>
            <w:r>
              <w:rPr>
                <w:rFonts w:ascii="Arial" w:cs="Arial" w:eastAsia="Arial" w:hAnsi="Arial"/>
                <w:sz w:val="14"/>
                <w:szCs w:val="14"/>
                <w:b w:val="1"/>
                <w:bCs w:val="1"/>
                <w:color w:val="FFFFFF"/>
              </w:rPr>
              <w:t>2016</w:t>
            </w:r>
          </w:p>
        </w:tc>
      </w:tr>
      <w:tr>
        <w:trPr>
          <w:trHeight w:val="186"/>
        </w:trPr>
        <w:tc>
          <w:tcPr>
            <w:tcW w:w="5400" w:type="dxa"/>
            <w:vAlign w:val="bottom"/>
          </w:tcPr>
          <w:p>
            <w:pPr>
              <w:ind w:left="80"/>
              <w:spacing w:after="0" w:line="186"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38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906,750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652,808</w:t>
            </w:r>
          </w:p>
        </w:tc>
      </w:tr>
      <w:tr>
        <w:trPr>
          <w:trHeight w:val="189"/>
        </w:trPr>
        <w:tc>
          <w:tcPr>
            <w:tcW w:w="5400" w:type="dxa"/>
            <w:vAlign w:val="bottom"/>
          </w:tcPr>
          <w:p>
            <w:pPr>
              <w:ind w:left="8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38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133,875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61,950</w:t>
            </w:r>
          </w:p>
        </w:tc>
      </w:tr>
      <w:tr>
        <w:trPr>
          <w:trHeight w:val="194"/>
        </w:trPr>
        <w:tc>
          <w:tcPr>
            <w:tcW w:w="5400" w:type="dxa"/>
            <w:vAlign w:val="bottom"/>
          </w:tcPr>
          <w:p>
            <w:pPr>
              <w:ind w:left="80"/>
              <w:spacing w:after="0" w:line="194" w:lineRule="exact"/>
              <w:rPr>
                <w:sz w:val="20"/>
                <w:szCs w:val="20"/>
                <w:color w:val="auto"/>
              </w:rPr>
            </w:pPr>
            <w:r>
              <w:rPr>
                <w:rFonts w:ascii="Arial" w:cs="Arial" w:eastAsia="Arial" w:hAnsi="Arial"/>
                <w:sz w:val="14"/>
                <w:szCs w:val="14"/>
                <w:color w:val="auto"/>
              </w:rPr>
              <w:t>Tax Fees</w:t>
            </w:r>
            <w:r>
              <w:rPr>
                <w:rFonts w:ascii="Arial" w:cs="Arial" w:eastAsia="Arial" w:hAnsi="Arial"/>
                <w:sz w:val="22"/>
                <w:szCs w:val="22"/>
                <w:color w:val="auto"/>
                <w:vertAlign w:val="superscript"/>
              </w:rPr>
              <w:t>(3)</w:t>
            </w:r>
          </w:p>
        </w:tc>
        <w:tc>
          <w:tcPr>
            <w:tcW w:w="38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239,980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255,791</w:t>
            </w:r>
          </w:p>
        </w:tc>
      </w:tr>
      <w:tr>
        <w:trPr>
          <w:trHeight w:val="187"/>
        </w:trPr>
        <w:tc>
          <w:tcPr>
            <w:tcW w:w="5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All Other Fees</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8"/>
        </w:trPr>
        <w:tc>
          <w:tcPr>
            <w:tcW w:w="5400" w:type="dxa"/>
            <w:vAlign w:val="bottom"/>
          </w:tcPr>
          <w:p>
            <w:pPr>
              <w:ind w:left="80"/>
              <w:spacing w:after="0"/>
              <w:rPr>
                <w:sz w:val="20"/>
                <w:szCs w:val="20"/>
                <w:color w:val="auto"/>
              </w:rPr>
            </w:pPr>
            <w:r>
              <w:rPr>
                <w:rFonts w:ascii="Arial" w:cs="Arial" w:eastAsia="Arial" w:hAnsi="Arial"/>
                <w:sz w:val="16"/>
                <w:szCs w:val="16"/>
                <w:b w:val="1"/>
                <w:bCs w:val="1"/>
                <w:color w:val="auto"/>
              </w:rPr>
              <w:t>Total Fees</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1,280,605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b w:val="1"/>
                <w:bCs w:val="1"/>
                <w:color w:val="auto"/>
              </w:rPr>
              <w:t>970,549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694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9" w:lineRule="exact"/>
        <w:rPr>
          <w:sz w:val="20"/>
          <w:szCs w:val="20"/>
          <w:color w:val="auto"/>
        </w:rPr>
      </w:pPr>
    </w:p>
    <w:p>
      <w:pPr>
        <w:jc w:val="both"/>
        <w:ind w:left="640" w:right="20" w:hanging="436"/>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spacing w:after="0" w:line="3"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Audit-related fees primarily include the audit of our employee benefit plan, which are paid by the plan and not the Trust, and certain property level audits.</w:t>
      </w:r>
    </w:p>
    <w:p>
      <w:pPr>
        <w:spacing w:after="0" w:line="1" w:lineRule="exact"/>
        <w:rPr>
          <w:rFonts w:ascii="Arial" w:cs="Arial" w:eastAsia="Arial" w:hAnsi="Arial"/>
          <w:sz w:val="18"/>
          <w:szCs w:val="18"/>
          <w:color w:val="auto"/>
        </w:rPr>
      </w:pPr>
    </w:p>
    <w:p>
      <w:pPr>
        <w:jc w:val="both"/>
        <w:ind w:left="640" w:right="20" w:hanging="436"/>
        <w:spacing w:after="0" w:line="238"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$233,400 and $246,070 of the amounts shown for 2017 and 2016, respectively, relate solely to tax compliance and preparation, including the preparation of original and amended tax returns and refund claims and tax payment planning. These figures do not include $6,645 in 2016 we paid to GT as our 30% share of the cost of tax return preparation for our joint venture with affiliates of a discretionary fund created and advised by Clarion Partners. On January 13, 2016, we acquired the Clarion Partners interest in the joint venture arrangement. The remaining amounts relate to requested tax research, none of which research related to tax shelters.</w:t>
      </w:r>
    </w:p>
    <w:p>
      <w:pPr>
        <w:spacing w:after="0" w:line="171" w:lineRule="exact"/>
        <w:rPr>
          <w:sz w:val="20"/>
          <w:szCs w:val="20"/>
          <w:color w:val="auto"/>
        </w:rPr>
      </w:pPr>
    </w:p>
    <w:p>
      <w:pPr>
        <w:ind w:left="200" w:right="760"/>
        <w:spacing w:after="0" w:line="261" w:lineRule="auto"/>
        <w:rPr>
          <w:sz w:val="20"/>
          <w:szCs w:val="20"/>
          <w:color w:val="auto"/>
        </w:rPr>
      </w:pPr>
      <w:r>
        <w:rPr>
          <w:rFonts w:ascii="Arial" w:cs="Arial" w:eastAsia="Arial" w:hAnsi="Arial"/>
          <w:sz w:val="22"/>
          <w:szCs w:val="22"/>
          <w:b w:val="1"/>
          <w:bCs w:val="1"/>
          <w:color w:val="auto"/>
        </w:rPr>
        <w:t>PROCEDURES FOR 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As required by its charter, the Audit Committee is responsible for reviewing and approving in advance all audit and permissible non-audit services to be provided by GT to the Trust. The Audit Committee approves such services only after concluding that the provision of these services would not affect the independence of GT. The Audit Committee approved all audit services provided by GT in 2017 and has pre-approved GT providing the following permissible non-audit services in 2018 up to specified maximum amounts that are consistent with prior years:</w:t>
      </w:r>
    </w:p>
    <w:p>
      <w:pPr>
        <w:spacing w:after="0" w:line="203" w:lineRule="exact"/>
        <w:rPr>
          <w:sz w:val="20"/>
          <w:szCs w:val="20"/>
          <w:color w:val="auto"/>
        </w:rPr>
      </w:pPr>
    </w:p>
    <w:p>
      <w:pPr>
        <w:ind w:left="860" w:hanging="332"/>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comfort letters and consent for capital markets transactions</w:t>
      </w:r>
    </w:p>
    <w:p>
      <w:pPr>
        <w:spacing w:after="0" w:line="9" w:lineRule="exact"/>
        <w:rPr>
          <w:rFonts w:ascii="Arial" w:cs="Arial" w:eastAsia="Arial" w:hAnsi="Arial"/>
          <w:sz w:val="18"/>
          <w:szCs w:val="18"/>
          <w:color w:val="auto"/>
        </w:rPr>
      </w:pPr>
    </w:p>
    <w:p>
      <w:pPr>
        <w:ind w:left="860" w:right="20" w:hanging="332"/>
        <w:spacing w:after="0" w:line="234"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planning and other consultation for purposes of structuring investment or financing opportunities as well as consultation associated with financial reporting matters</w:t>
      </w:r>
    </w:p>
    <w:p>
      <w:pPr>
        <w:spacing w:after="0" w:line="1" w:lineRule="exact"/>
        <w:rPr>
          <w:rFonts w:ascii="Arial" w:cs="Arial" w:eastAsia="Arial" w:hAnsi="Arial"/>
          <w:sz w:val="18"/>
          <w:szCs w:val="18"/>
          <w:color w:val="auto"/>
        </w:rPr>
      </w:pPr>
    </w:p>
    <w:p>
      <w:pPr>
        <w:ind w:left="860" w:hanging="332"/>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audit opinions related to acquisition audits required under Rule 3-14 of Regulation S-X (if any)</w:t>
      </w:r>
    </w:p>
    <w:p>
      <w:pPr>
        <w:spacing w:after="0" w:line="9" w:lineRule="exact"/>
        <w:rPr>
          <w:rFonts w:ascii="Arial" w:cs="Arial" w:eastAsia="Arial" w:hAnsi="Arial"/>
          <w:sz w:val="18"/>
          <w:szCs w:val="18"/>
          <w:color w:val="auto"/>
        </w:rPr>
      </w:pPr>
    </w:p>
    <w:p>
      <w:pPr>
        <w:ind w:left="860" w:hanging="332"/>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review of the Trust’s letter to the State of California Department of Environmental Quality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OWNERSHIP OF 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upon our records and the information reported in filings with the SEC, the following were beneficial owners of more than 5% of our</w:t>
      </w:r>
    </w:p>
    <w:p>
      <w:pPr>
        <w:ind w:left="200"/>
        <w:spacing w:after="0"/>
        <w:rPr>
          <w:sz w:val="20"/>
          <w:szCs w:val="20"/>
          <w:color w:val="auto"/>
        </w:rPr>
      </w:pPr>
      <w:r>
        <w:rPr>
          <w:rFonts w:ascii="Arial" w:cs="Arial" w:eastAsia="Arial" w:hAnsi="Arial"/>
          <w:sz w:val="18"/>
          <w:szCs w:val="18"/>
          <w:color w:val="auto"/>
        </w:rPr>
        <w:t>Shares as of March 14, 2018:</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80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 and Address</w:t>
            </w:r>
          </w:p>
        </w:tc>
        <w:tc>
          <w:tcPr>
            <w:tcW w:w="3320" w:type="dxa"/>
            <w:vAlign w:val="bottom"/>
            <w:shd w:val="clear" w:color="auto" w:fill="1F2A44"/>
          </w:tcPr>
          <w:p>
            <w:pPr>
              <w:jc w:val="center"/>
              <w:ind w:left="962"/>
              <w:spacing w:after="0"/>
              <w:rPr>
                <w:sz w:val="20"/>
                <w:szCs w:val="20"/>
                <w:color w:val="auto"/>
              </w:rPr>
            </w:pPr>
            <w:r>
              <w:rPr>
                <w:rFonts w:ascii="Arial" w:cs="Arial" w:eastAsia="Arial" w:hAnsi="Arial"/>
                <w:sz w:val="14"/>
                <w:szCs w:val="14"/>
                <w:b w:val="1"/>
                <w:bCs w:val="1"/>
                <w:color w:val="FFFFFF"/>
              </w:rPr>
              <w:t>Amount and Nature</w:t>
            </w:r>
          </w:p>
        </w:tc>
        <w:tc>
          <w:tcPr>
            <w:tcW w:w="1900" w:type="dxa"/>
            <w:vAlign w:val="bottom"/>
            <w:shd w:val="clear" w:color="auto" w:fill="1F2A44"/>
          </w:tcPr>
          <w:p>
            <w:pPr>
              <w:jc w:val="center"/>
              <w:ind w:left="223"/>
              <w:spacing w:after="0"/>
              <w:rPr>
                <w:sz w:val="20"/>
                <w:szCs w:val="20"/>
                <w:color w:val="auto"/>
              </w:rPr>
            </w:pPr>
            <w:r>
              <w:rPr>
                <w:rFonts w:ascii="Arial" w:cs="Arial" w:eastAsia="Arial" w:hAnsi="Arial"/>
                <w:sz w:val="14"/>
                <w:szCs w:val="14"/>
                <w:b w:val="1"/>
                <w:bCs w:val="1"/>
                <w:color w:val="FFFFFF"/>
              </w:rPr>
              <w:t>Percentage of Our</w:t>
            </w:r>
          </w:p>
        </w:tc>
      </w:tr>
      <w:tr>
        <w:trPr>
          <w:trHeight w:val="189"/>
        </w:trPr>
        <w:tc>
          <w:tcPr>
            <w:tcW w:w="580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of Beneficial Owner</w:t>
            </w:r>
          </w:p>
        </w:tc>
        <w:tc>
          <w:tcPr>
            <w:tcW w:w="3320" w:type="dxa"/>
            <w:vAlign w:val="bottom"/>
            <w:shd w:val="clear" w:color="auto" w:fill="1F2A44"/>
          </w:tcPr>
          <w:p>
            <w:pPr>
              <w:jc w:val="center"/>
              <w:ind w:left="962"/>
              <w:spacing w:after="0"/>
              <w:rPr>
                <w:sz w:val="20"/>
                <w:szCs w:val="20"/>
                <w:color w:val="auto"/>
              </w:rPr>
            </w:pPr>
            <w:r>
              <w:rPr>
                <w:rFonts w:ascii="Arial" w:cs="Arial" w:eastAsia="Arial" w:hAnsi="Arial"/>
                <w:sz w:val="14"/>
                <w:szCs w:val="14"/>
                <w:b w:val="1"/>
                <w:bCs w:val="1"/>
                <w:color w:val="FFFFFF"/>
              </w:rPr>
              <w:t>of Beneficial Ownership</w:t>
            </w:r>
          </w:p>
        </w:tc>
        <w:tc>
          <w:tcPr>
            <w:tcW w:w="1900" w:type="dxa"/>
            <w:vAlign w:val="bottom"/>
            <w:shd w:val="clear" w:color="auto" w:fill="1F2A44"/>
          </w:tcPr>
          <w:p>
            <w:pPr>
              <w:jc w:val="center"/>
              <w:ind w:left="223"/>
              <w:spacing w:after="0" w:line="189" w:lineRule="exact"/>
              <w:rPr>
                <w:sz w:val="20"/>
                <w:szCs w:val="20"/>
                <w:color w:val="auto"/>
              </w:rPr>
            </w:pPr>
            <w:r>
              <w:rPr>
                <w:rFonts w:ascii="Arial" w:cs="Arial" w:eastAsia="Arial" w:hAnsi="Arial"/>
                <w:sz w:val="13"/>
                <w:szCs w:val="13"/>
                <w:b w:val="1"/>
                <w:bCs w:val="1"/>
                <w:color w:val="FFFFFF"/>
              </w:rPr>
              <w:t>Outstanding Shares</w:t>
            </w:r>
            <w:r>
              <w:rPr>
                <w:rFonts w:ascii="Arial" w:cs="Arial" w:eastAsia="Arial" w:hAnsi="Arial"/>
                <w:sz w:val="21"/>
                <w:szCs w:val="21"/>
                <w:b w:val="1"/>
                <w:bCs w:val="1"/>
                <w:color w:val="FFFFFF"/>
                <w:vertAlign w:val="superscript"/>
              </w:rPr>
              <w:t>(1)</w:t>
            </w:r>
          </w:p>
        </w:tc>
      </w:tr>
      <w:tr>
        <w:trPr>
          <w:trHeight w:val="191"/>
        </w:trPr>
        <w:tc>
          <w:tcPr>
            <w:tcW w:w="5800" w:type="dxa"/>
            <w:vAlign w:val="bottom"/>
          </w:tcPr>
          <w:p>
            <w:pPr>
              <w:ind w:left="80"/>
              <w:spacing w:after="0" w:line="191" w:lineRule="exact"/>
              <w:rPr>
                <w:sz w:val="20"/>
                <w:szCs w:val="20"/>
                <w:color w:val="auto"/>
              </w:rPr>
            </w:pPr>
            <w:r>
              <w:rPr>
                <w:rFonts w:ascii="Arial" w:cs="Arial" w:eastAsia="Arial" w:hAnsi="Arial"/>
                <w:sz w:val="14"/>
                <w:szCs w:val="14"/>
                <w:color w:val="auto"/>
              </w:rPr>
              <w:t>The Vanguard Group, Inc.</w:t>
            </w:r>
            <w:r>
              <w:rPr>
                <w:rFonts w:ascii="Arial" w:cs="Arial" w:eastAsia="Arial" w:hAnsi="Arial"/>
                <w:sz w:val="22"/>
                <w:szCs w:val="22"/>
                <w:color w:val="auto"/>
                <w:vertAlign w:val="superscript"/>
              </w:rPr>
              <w:t>(2)</w:t>
            </w:r>
          </w:p>
        </w:tc>
        <w:tc>
          <w:tcPr>
            <w:tcW w:w="3320" w:type="dxa"/>
            <w:vAlign w:val="bottom"/>
          </w:tcPr>
          <w:p>
            <w:pPr>
              <w:jc w:val="center"/>
              <w:ind w:left="962"/>
              <w:spacing w:after="0"/>
              <w:rPr>
                <w:sz w:val="20"/>
                <w:szCs w:val="20"/>
                <w:color w:val="auto"/>
              </w:rPr>
            </w:pPr>
            <w:r>
              <w:rPr>
                <w:rFonts w:ascii="Arial" w:cs="Arial" w:eastAsia="Arial" w:hAnsi="Arial"/>
                <w:sz w:val="16"/>
                <w:szCs w:val="16"/>
                <w:color w:val="auto"/>
                <w:w w:val="99"/>
              </w:rPr>
              <w:t>12,575,705</w:t>
            </w:r>
          </w:p>
        </w:tc>
        <w:tc>
          <w:tcPr>
            <w:tcW w:w="1900" w:type="dxa"/>
            <w:vAlign w:val="bottom"/>
          </w:tcPr>
          <w:p>
            <w:pPr>
              <w:jc w:val="center"/>
              <w:ind w:left="243"/>
              <w:spacing w:after="0"/>
              <w:rPr>
                <w:sz w:val="20"/>
                <w:szCs w:val="20"/>
                <w:color w:val="auto"/>
              </w:rPr>
            </w:pPr>
            <w:r>
              <w:rPr>
                <w:rFonts w:ascii="Arial" w:cs="Arial" w:eastAsia="Arial" w:hAnsi="Arial"/>
                <w:sz w:val="16"/>
                <w:szCs w:val="16"/>
                <w:color w:val="auto"/>
              </w:rPr>
              <w:t>17.2%</w:t>
            </w:r>
          </w:p>
        </w:tc>
      </w:tr>
      <w:tr>
        <w:trPr>
          <w:trHeight w:val="189"/>
        </w:trPr>
        <w:tc>
          <w:tcPr>
            <w:tcW w:w="5800" w:type="dxa"/>
            <w:vAlign w:val="bottom"/>
          </w:tcPr>
          <w:p>
            <w:pPr>
              <w:ind w:left="80"/>
              <w:spacing w:after="0"/>
              <w:rPr>
                <w:sz w:val="20"/>
                <w:szCs w:val="20"/>
                <w:color w:val="auto"/>
              </w:rPr>
            </w:pPr>
            <w:r>
              <w:rPr>
                <w:rFonts w:ascii="Arial" w:cs="Arial" w:eastAsia="Arial" w:hAnsi="Arial"/>
                <w:sz w:val="16"/>
                <w:szCs w:val="16"/>
                <w:color w:val="auto"/>
              </w:rPr>
              <w:t>100 Vanguard Blvd.</w:t>
            </w:r>
          </w:p>
        </w:tc>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98"/>
        </w:trPr>
        <w:tc>
          <w:tcPr>
            <w:tcW w:w="5800" w:type="dxa"/>
            <w:vAlign w:val="bottom"/>
          </w:tcPr>
          <w:p>
            <w:pPr>
              <w:ind w:left="80"/>
              <w:spacing w:after="0"/>
              <w:rPr>
                <w:sz w:val="20"/>
                <w:szCs w:val="20"/>
                <w:color w:val="auto"/>
              </w:rPr>
            </w:pPr>
            <w:r>
              <w:rPr>
                <w:rFonts w:ascii="Arial" w:cs="Arial" w:eastAsia="Arial" w:hAnsi="Arial"/>
                <w:sz w:val="16"/>
                <w:szCs w:val="16"/>
                <w:color w:val="auto"/>
              </w:rPr>
              <w:t>Malvern, PA 19355</w:t>
            </w:r>
          </w:p>
        </w:tc>
        <w:tc>
          <w:tcPr>
            <w:tcW w:w="3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89"/>
        </w:trPr>
        <w:tc>
          <w:tcPr>
            <w:tcW w:w="5800" w:type="dxa"/>
            <w:vAlign w:val="bottom"/>
            <w:shd w:val="clear" w:color="auto" w:fill="D2D4D9"/>
          </w:tcPr>
          <w:p>
            <w:pPr>
              <w:ind w:left="80"/>
              <w:spacing w:after="0" w:line="189"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(3)</w:t>
            </w:r>
          </w:p>
        </w:tc>
        <w:tc>
          <w:tcPr>
            <w:tcW w:w="3320" w:type="dxa"/>
            <w:vAlign w:val="bottom"/>
            <w:shd w:val="clear" w:color="auto" w:fill="D2D4D9"/>
          </w:tcPr>
          <w:p>
            <w:pPr>
              <w:jc w:val="center"/>
              <w:ind w:left="962"/>
              <w:spacing w:after="0"/>
              <w:rPr>
                <w:sz w:val="20"/>
                <w:szCs w:val="20"/>
                <w:color w:val="auto"/>
              </w:rPr>
            </w:pPr>
            <w:r>
              <w:rPr>
                <w:rFonts w:ascii="Arial" w:cs="Arial" w:eastAsia="Arial" w:hAnsi="Arial"/>
                <w:sz w:val="16"/>
                <w:szCs w:val="16"/>
                <w:color w:val="auto"/>
              </w:rPr>
              <w:t>7,899,850</w:t>
            </w:r>
          </w:p>
        </w:tc>
        <w:tc>
          <w:tcPr>
            <w:tcW w:w="1900" w:type="dxa"/>
            <w:vAlign w:val="bottom"/>
            <w:shd w:val="clear" w:color="auto" w:fill="D2D4D9"/>
          </w:tcPr>
          <w:p>
            <w:pPr>
              <w:jc w:val="center"/>
              <w:ind w:left="243"/>
              <w:spacing w:after="0"/>
              <w:rPr>
                <w:sz w:val="20"/>
                <w:szCs w:val="20"/>
                <w:color w:val="auto"/>
              </w:rPr>
            </w:pPr>
            <w:r>
              <w:rPr>
                <w:rFonts w:ascii="Arial" w:cs="Arial" w:eastAsia="Arial" w:hAnsi="Arial"/>
                <w:sz w:val="16"/>
                <w:szCs w:val="16"/>
                <w:color w:val="auto"/>
              </w:rPr>
              <w:t>10.8%</w:t>
            </w:r>
          </w:p>
        </w:tc>
      </w:tr>
      <w:tr>
        <w:trPr>
          <w:trHeight w:val="194"/>
        </w:trPr>
        <w:tc>
          <w:tcPr>
            <w:tcW w:w="5800" w:type="dxa"/>
            <w:vAlign w:val="bottom"/>
            <w:shd w:val="clear" w:color="auto" w:fill="D2D4D9"/>
          </w:tcPr>
          <w:p>
            <w:pPr>
              <w:ind w:left="80"/>
              <w:spacing w:after="0" w:line="194"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3320" w:type="dxa"/>
            <w:vAlign w:val="bottom"/>
            <w:shd w:val="clear" w:color="auto" w:fill="D2D4D9"/>
          </w:tcPr>
          <w:p>
            <w:pPr>
              <w:spacing w:after="0"/>
              <w:rPr>
                <w:sz w:val="16"/>
                <w:szCs w:val="16"/>
                <w:color w:val="auto"/>
              </w:rPr>
            </w:pPr>
          </w:p>
        </w:tc>
        <w:tc>
          <w:tcPr>
            <w:tcW w:w="1900" w:type="dxa"/>
            <w:vAlign w:val="bottom"/>
            <w:shd w:val="clear" w:color="auto" w:fill="D2D4D9"/>
          </w:tcPr>
          <w:p>
            <w:pPr>
              <w:spacing w:after="0"/>
              <w:rPr>
                <w:sz w:val="16"/>
                <w:szCs w:val="16"/>
                <w:color w:val="auto"/>
              </w:rPr>
            </w:pPr>
          </w:p>
        </w:tc>
      </w:tr>
      <w:tr>
        <w:trPr>
          <w:trHeight w:val="201"/>
        </w:trPr>
        <w:tc>
          <w:tcPr>
            <w:tcW w:w="5800" w:type="dxa"/>
            <w:vAlign w:val="bottom"/>
            <w:shd w:val="clear" w:color="auto" w:fill="D2D4D9"/>
          </w:tcPr>
          <w:p>
            <w:pPr>
              <w:ind w:left="80"/>
              <w:spacing w:after="0"/>
              <w:rPr>
                <w:sz w:val="20"/>
                <w:szCs w:val="20"/>
                <w:color w:val="auto"/>
              </w:rPr>
            </w:pPr>
            <w:r>
              <w:rPr>
                <w:rFonts w:ascii="Arial" w:cs="Arial" w:eastAsia="Arial" w:hAnsi="Arial"/>
                <w:sz w:val="16"/>
                <w:szCs w:val="16"/>
                <w:color w:val="auto"/>
              </w:rPr>
              <w:t>New York, NY 10055</w:t>
            </w:r>
          </w:p>
        </w:tc>
        <w:tc>
          <w:tcPr>
            <w:tcW w:w="3320" w:type="dxa"/>
            <w:vAlign w:val="bottom"/>
            <w:shd w:val="clear" w:color="auto" w:fill="D2D4D9"/>
          </w:tcPr>
          <w:p>
            <w:pPr>
              <w:spacing w:after="0"/>
              <w:rPr>
                <w:sz w:val="17"/>
                <w:szCs w:val="17"/>
                <w:color w:val="auto"/>
              </w:rPr>
            </w:pPr>
          </w:p>
        </w:tc>
        <w:tc>
          <w:tcPr>
            <w:tcW w:w="1900" w:type="dxa"/>
            <w:vAlign w:val="bottom"/>
            <w:shd w:val="clear" w:color="auto" w:fill="D2D4D9"/>
          </w:tcPr>
          <w:p>
            <w:pPr>
              <w:spacing w:after="0"/>
              <w:rPr>
                <w:sz w:val="17"/>
                <w:szCs w:val="17"/>
                <w:color w:val="auto"/>
              </w:rPr>
            </w:pPr>
          </w:p>
        </w:tc>
      </w:tr>
      <w:tr>
        <w:trPr>
          <w:trHeight w:val="191"/>
        </w:trPr>
        <w:tc>
          <w:tcPr>
            <w:tcW w:w="5800" w:type="dxa"/>
            <w:vAlign w:val="bottom"/>
          </w:tcPr>
          <w:p>
            <w:pPr>
              <w:ind w:left="80"/>
              <w:spacing w:after="0" w:line="191"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2"/>
                <w:szCs w:val="22"/>
                <w:color w:val="auto"/>
                <w:vertAlign w:val="superscript"/>
              </w:rPr>
              <w:t>(4)</w:t>
            </w:r>
          </w:p>
        </w:tc>
        <w:tc>
          <w:tcPr>
            <w:tcW w:w="3320" w:type="dxa"/>
            <w:vAlign w:val="bottom"/>
          </w:tcPr>
          <w:p>
            <w:pPr>
              <w:jc w:val="center"/>
              <w:ind w:left="962"/>
              <w:spacing w:after="0"/>
              <w:rPr>
                <w:sz w:val="20"/>
                <w:szCs w:val="20"/>
                <w:color w:val="auto"/>
              </w:rPr>
            </w:pPr>
            <w:r>
              <w:rPr>
                <w:rFonts w:ascii="Arial" w:cs="Arial" w:eastAsia="Arial" w:hAnsi="Arial"/>
                <w:sz w:val="16"/>
                <w:szCs w:val="16"/>
                <w:color w:val="auto"/>
              </w:rPr>
              <w:t>6,242,324</w:t>
            </w:r>
          </w:p>
        </w:tc>
        <w:tc>
          <w:tcPr>
            <w:tcW w:w="1900" w:type="dxa"/>
            <w:vAlign w:val="bottom"/>
          </w:tcPr>
          <w:p>
            <w:pPr>
              <w:jc w:val="center"/>
              <w:ind w:left="223"/>
              <w:spacing w:after="0"/>
              <w:rPr>
                <w:sz w:val="20"/>
                <w:szCs w:val="20"/>
                <w:color w:val="auto"/>
              </w:rPr>
            </w:pPr>
            <w:r>
              <w:rPr>
                <w:rFonts w:ascii="Arial" w:cs="Arial" w:eastAsia="Arial" w:hAnsi="Arial"/>
                <w:sz w:val="16"/>
                <w:szCs w:val="16"/>
                <w:color w:val="auto"/>
                <w:w w:val="98"/>
              </w:rPr>
              <w:t>8.5%</w:t>
            </w:r>
          </w:p>
        </w:tc>
      </w:tr>
      <w:tr>
        <w:trPr>
          <w:trHeight w:val="189"/>
        </w:trPr>
        <w:tc>
          <w:tcPr>
            <w:tcW w:w="5800" w:type="dxa"/>
            <w:vAlign w:val="bottom"/>
          </w:tcPr>
          <w:p>
            <w:pPr>
              <w:ind w:left="80"/>
              <w:spacing w:after="0"/>
              <w:rPr>
                <w:sz w:val="20"/>
                <w:szCs w:val="20"/>
                <w:color w:val="auto"/>
              </w:rPr>
            </w:pPr>
            <w:r>
              <w:rPr>
                <w:rFonts w:ascii="Arial" w:cs="Arial" w:eastAsia="Arial" w:hAnsi="Arial"/>
                <w:sz w:val="16"/>
                <w:szCs w:val="16"/>
                <w:color w:val="auto"/>
              </w:rPr>
              <w:t>State Street Financial Center, One Lincoln Street</w:t>
            </w:r>
          </w:p>
        </w:tc>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98"/>
        </w:trPr>
        <w:tc>
          <w:tcPr>
            <w:tcW w:w="5800" w:type="dxa"/>
            <w:vAlign w:val="bottom"/>
          </w:tcPr>
          <w:p>
            <w:pPr>
              <w:ind w:left="80"/>
              <w:spacing w:after="0"/>
              <w:rPr>
                <w:sz w:val="20"/>
                <w:szCs w:val="20"/>
                <w:color w:val="auto"/>
              </w:rPr>
            </w:pPr>
            <w:r>
              <w:rPr>
                <w:rFonts w:ascii="Arial" w:cs="Arial" w:eastAsia="Arial" w:hAnsi="Arial"/>
                <w:sz w:val="16"/>
                <w:szCs w:val="16"/>
                <w:color w:val="auto"/>
              </w:rPr>
              <w:t>Boston, MA 02111</w:t>
            </w:r>
          </w:p>
        </w:tc>
        <w:tc>
          <w:tcPr>
            <w:tcW w:w="3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4"/>
        </w:trPr>
        <w:tc>
          <w:tcPr>
            <w:tcW w:w="5800" w:type="dxa"/>
            <w:vAlign w:val="bottom"/>
            <w:shd w:val="clear" w:color="auto" w:fill="D2D4D9"/>
          </w:tcPr>
          <w:p>
            <w:pPr>
              <w:ind w:left="80"/>
              <w:spacing w:after="0" w:line="194" w:lineRule="exact"/>
              <w:rPr>
                <w:sz w:val="20"/>
                <w:szCs w:val="20"/>
                <w:color w:val="auto"/>
              </w:rPr>
            </w:pPr>
            <w:r>
              <w:rPr>
                <w:rFonts w:ascii="Arial" w:cs="Arial" w:eastAsia="Arial" w:hAnsi="Arial"/>
                <w:sz w:val="14"/>
                <w:szCs w:val="14"/>
                <w:color w:val="auto"/>
              </w:rPr>
              <w:t>Vanguard Specialized Funds – Vanguard REIT Index Fund</w:t>
            </w:r>
            <w:r>
              <w:rPr>
                <w:rFonts w:ascii="Arial" w:cs="Arial" w:eastAsia="Arial" w:hAnsi="Arial"/>
                <w:sz w:val="22"/>
                <w:szCs w:val="22"/>
                <w:color w:val="auto"/>
                <w:vertAlign w:val="superscript"/>
              </w:rPr>
              <w:t>(5)</w:t>
            </w:r>
          </w:p>
        </w:tc>
        <w:tc>
          <w:tcPr>
            <w:tcW w:w="3320" w:type="dxa"/>
            <w:vAlign w:val="bottom"/>
            <w:shd w:val="clear" w:color="auto" w:fill="D2D4D9"/>
          </w:tcPr>
          <w:p>
            <w:pPr>
              <w:jc w:val="center"/>
              <w:ind w:left="962"/>
              <w:spacing w:after="0"/>
              <w:rPr>
                <w:sz w:val="20"/>
                <w:szCs w:val="20"/>
                <w:color w:val="auto"/>
              </w:rPr>
            </w:pPr>
            <w:r>
              <w:rPr>
                <w:rFonts w:ascii="Arial" w:cs="Arial" w:eastAsia="Arial" w:hAnsi="Arial"/>
                <w:sz w:val="16"/>
                <w:szCs w:val="16"/>
                <w:color w:val="auto"/>
              </w:rPr>
              <w:t>4,605,432</w:t>
            </w:r>
          </w:p>
        </w:tc>
        <w:tc>
          <w:tcPr>
            <w:tcW w:w="1900" w:type="dxa"/>
            <w:vAlign w:val="bottom"/>
            <w:shd w:val="clear" w:color="auto" w:fill="D2D4D9"/>
          </w:tcPr>
          <w:p>
            <w:pPr>
              <w:jc w:val="center"/>
              <w:ind w:left="223"/>
              <w:spacing w:after="0"/>
              <w:rPr>
                <w:sz w:val="20"/>
                <w:szCs w:val="20"/>
                <w:color w:val="auto"/>
              </w:rPr>
            </w:pPr>
            <w:r>
              <w:rPr>
                <w:rFonts w:ascii="Arial" w:cs="Arial" w:eastAsia="Arial" w:hAnsi="Arial"/>
                <w:sz w:val="16"/>
                <w:szCs w:val="16"/>
                <w:color w:val="auto"/>
                <w:w w:val="98"/>
              </w:rPr>
              <w:t>6.3%</w:t>
            </w:r>
          </w:p>
        </w:tc>
      </w:tr>
      <w:tr>
        <w:trPr>
          <w:trHeight w:val="189"/>
        </w:trPr>
        <w:tc>
          <w:tcPr>
            <w:tcW w:w="5800" w:type="dxa"/>
            <w:vAlign w:val="bottom"/>
            <w:shd w:val="clear" w:color="auto" w:fill="D2D4D9"/>
          </w:tcPr>
          <w:p>
            <w:pPr>
              <w:ind w:left="80"/>
              <w:spacing w:after="0"/>
              <w:rPr>
                <w:sz w:val="20"/>
                <w:szCs w:val="20"/>
                <w:color w:val="auto"/>
              </w:rPr>
            </w:pPr>
            <w:r>
              <w:rPr>
                <w:rFonts w:ascii="Arial" w:cs="Arial" w:eastAsia="Arial" w:hAnsi="Arial"/>
                <w:sz w:val="16"/>
                <w:szCs w:val="16"/>
                <w:color w:val="auto"/>
              </w:rPr>
              <w:t>100 Vanguard Blvd.</w:t>
            </w:r>
          </w:p>
        </w:tc>
        <w:tc>
          <w:tcPr>
            <w:tcW w:w="3320" w:type="dxa"/>
            <w:vAlign w:val="bottom"/>
            <w:shd w:val="clear" w:color="auto" w:fill="D2D4D9"/>
          </w:tcPr>
          <w:p>
            <w:pPr>
              <w:spacing w:after="0"/>
              <w:rPr>
                <w:sz w:val="16"/>
                <w:szCs w:val="16"/>
                <w:color w:val="auto"/>
              </w:rPr>
            </w:pPr>
          </w:p>
        </w:tc>
        <w:tc>
          <w:tcPr>
            <w:tcW w:w="1900" w:type="dxa"/>
            <w:vAlign w:val="bottom"/>
            <w:shd w:val="clear" w:color="auto" w:fill="D2D4D9"/>
          </w:tcPr>
          <w:p>
            <w:pPr>
              <w:spacing w:after="0"/>
              <w:rPr>
                <w:sz w:val="16"/>
                <w:szCs w:val="16"/>
                <w:color w:val="auto"/>
              </w:rPr>
            </w:pPr>
          </w:p>
        </w:tc>
      </w:tr>
      <w:tr>
        <w:trPr>
          <w:trHeight w:val="201"/>
        </w:trPr>
        <w:tc>
          <w:tcPr>
            <w:tcW w:w="5800" w:type="dxa"/>
            <w:vAlign w:val="bottom"/>
            <w:shd w:val="clear" w:color="auto" w:fill="D2D4D9"/>
          </w:tcPr>
          <w:p>
            <w:pPr>
              <w:ind w:left="80"/>
              <w:spacing w:after="0"/>
              <w:rPr>
                <w:sz w:val="20"/>
                <w:szCs w:val="20"/>
                <w:color w:val="auto"/>
              </w:rPr>
            </w:pPr>
            <w:r>
              <w:rPr>
                <w:rFonts w:ascii="Arial" w:cs="Arial" w:eastAsia="Arial" w:hAnsi="Arial"/>
                <w:sz w:val="16"/>
                <w:szCs w:val="16"/>
                <w:color w:val="auto"/>
              </w:rPr>
              <w:t>Malvern, PA 19355</w:t>
            </w:r>
          </w:p>
        </w:tc>
        <w:tc>
          <w:tcPr>
            <w:tcW w:w="3320" w:type="dxa"/>
            <w:vAlign w:val="bottom"/>
            <w:shd w:val="clear" w:color="auto" w:fill="D2D4D9"/>
          </w:tcPr>
          <w:p>
            <w:pPr>
              <w:spacing w:after="0"/>
              <w:rPr>
                <w:sz w:val="17"/>
                <w:szCs w:val="17"/>
                <w:color w:val="auto"/>
              </w:rPr>
            </w:pPr>
          </w:p>
        </w:tc>
        <w:tc>
          <w:tcPr>
            <w:tcW w:w="1900" w:type="dxa"/>
            <w:vAlign w:val="bottom"/>
            <w:shd w:val="clear" w:color="auto" w:fill="D2D4D9"/>
          </w:tcPr>
          <w:p>
            <w:pPr>
              <w:spacing w:after="0"/>
              <w:rPr>
                <w:sz w:val="17"/>
                <w:szCs w:val="17"/>
                <w:color w:val="auto"/>
              </w:rPr>
            </w:pPr>
          </w:p>
        </w:tc>
      </w:tr>
      <w:tr>
        <w:trPr>
          <w:trHeight w:val="191"/>
        </w:trPr>
        <w:tc>
          <w:tcPr>
            <w:tcW w:w="5800" w:type="dxa"/>
            <w:vAlign w:val="bottom"/>
          </w:tcPr>
          <w:p>
            <w:pPr>
              <w:ind w:left="80"/>
              <w:spacing w:after="0" w:line="191" w:lineRule="exact"/>
              <w:rPr>
                <w:sz w:val="20"/>
                <w:szCs w:val="20"/>
                <w:color w:val="auto"/>
              </w:rPr>
            </w:pPr>
            <w:r>
              <w:rPr>
                <w:rFonts w:ascii="Arial" w:cs="Arial" w:eastAsia="Arial" w:hAnsi="Arial"/>
                <w:sz w:val="14"/>
                <w:szCs w:val="14"/>
                <w:color w:val="auto"/>
              </w:rPr>
              <w:t>JPMorgan Chase &amp; Co.</w:t>
            </w:r>
            <w:r>
              <w:rPr>
                <w:rFonts w:ascii="Arial" w:cs="Arial" w:eastAsia="Arial" w:hAnsi="Arial"/>
                <w:sz w:val="22"/>
                <w:szCs w:val="22"/>
                <w:color w:val="auto"/>
                <w:vertAlign w:val="superscript"/>
              </w:rPr>
              <w:t>(6)</w:t>
            </w:r>
          </w:p>
        </w:tc>
        <w:tc>
          <w:tcPr>
            <w:tcW w:w="3320" w:type="dxa"/>
            <w:vAlign w:val="bottom"/>
          </w:tcPr>
          <w:p>
            <w:pPr>
              <w:jc w:val="center"/>
              <w:ind w:left="962"/>
              <w:spacing w:after="0"/>
              <w:rPr>
                <w:sz w:val="20"/>
                <w:szCs w:val="20"/>
                <w:color w:val="auto"/>
              </w:rPr>
            </w:pPr>
            <w:r>
              <w:rPr>
                <w:rFonts w:ascii="Arial" w:cs="Arial" w:eastAsia="Arial" w:hAnsi="Arial"/>
                <w:sz w:val="16"/>
                <w:szCs w:val="16"/>
                <w:color w:val="auto"/>
              </w:rPr>
              <w:t>3,785,397</w:t>
            </w:r>
          </w:p>
        </w:tc>
        <w:tc>
          <w:tcPr>
            <w:tcW w:w="1900" w:type="dxa"/>
            <w:vAlign w:val="bottom"/>
          </w:tcPr>
          <w:p>
            <w:pPr>
              <w:jc w:val="center"/>
              <w:ind w:left="223"/>
              <w:spacing w:after="0"/>
              <w:rPr>
                <w:sz w:val="20"/>
                <w:szCs w:val="20"/>
                <w:color w:val="auto"/>
              </w:rPr>
            </w:pPr>
            <w:r>
              <w:rPr>
                <w:rFonts w:ascii="Arial" w:cs="Arial" w:eastAsia="Arial" w:hAnsi="Arial"/>
                <w:sz w:val="16"/>
                <w:szCs w:val="16"/>
                <w:color w:val="auto"/>
                <w:w w:val="98"/>
              </w:rPr>
              <w:t>5.2%</w:t>
            </w:r>
          </w:p>
        </w:tc>
      </w:tr>
      <w:tr>
        <w:trPr>
          <w:trHeight w:val="189"/>
        </w:trPr>
        <w:tc>
          <w:tcPr>
            <w:tcW w:w="5800" w:type="dxa"/>
            <w:vAlign w:val="bottom"/>
          </w:tcPr>
          <w:p>
            <w:pPr>
              <w:ind w:left="80"/>
              <w:spacing w:after="0"/>
              <w:rPr>
                <w:sz w:val="20"/>
                <w:szCs w:val="20"/>
                <w:color w:val="auto"/>
              </w:rPr>
            </w:pPr>
            <w:r>
              <w:rPr>
                <w:rFonts w:ascii="Arial" w:cs="Arial" w:eastAsia="Arial" w:hAnsi="Arial"/>
                <w:sz w:val="16"/>
                <w:szCs w:val="16"/>
                <w:color w:val="auto"/>
              </w:rPr>
              <w:t>270 Park Avenue</w:t>
            </w:r>
          </w:p>
        </w:tc>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95"/>
        </w:trPr>
        <w:tc>
          <w:tcPr>
            <w:tcW w:w="5800" w:type="dxa"/>
            <w:vAlign w:val="bottom"/>
          </w:tcPr>
          <w:p>
            <w:pPr>
              <w:ind w:left="80"/>
              <w:spacing w:after="0"/>
              <w:rPr>
                <w:sz w:val="20"/>
                <w:szCs w:val="20"/>
                <w:color w:val="auto"/>
              </w:rPr>
            </w:pPr>
            <w:r>
              <w:rPr>
                <w:rFonts w:ascii="Arial" w:cs="Arial" w:eastAsia="Arial" w:hAnsi="Arial"/>
                <w:sz w:val="16"/>
                <w:szCs w:val="16"/>
                <w:color w:val="auto"/>
              </w:rPr>
              <w:t>New York, NY 10017</w:t>
            </w:r>
          </w:p>
        </w:tc>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right="20" w:hanging="436"/>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73,186,370, the total number of Shares outstanding on March 14, 2018.</w:t>
      </w:r>
    </w:p>
    <w:p>
      <w:pPr>
        <w:spacing w:after="0" w:line="1"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9, 2018 by The Vanguard Group which states The Vanguard Group, an investment advisor, has sole voting power over 189,034 Shares, shared voting power over 113,832 Shares, sole dispositive power over 12,362,260 Shares and shared dispositive power over 213,445 Shares.</w:t>
      </w:r>
    </w:p>
    <w:p>
      <w:pPr>
        <w:spacing w:after="0" w:line="2"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19, 2018 by BlackRock, Inc., which states BlackRock, Inc., a parent holding company, has sole voting power over 7,141,098 Shares and sole dispositive power over 7,899,850 Shares.</w:t>
      </w:r>
    </w:p>
    <w:p>
      <w:pPr>
        <w:spacing w:after="0" w:line="1"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14, 2018 by State Street Corporation, which states that State Street Corporation, a parent holding company, has shared voting and dispositive power over 6,242,324 Shares.</w:t>
      </w:r>
    </w:p>
    <w:p>
      <w:pPr>
        <w:spacing w:after="0" w:line="1"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2, 2018 by Vanguard Specialized Funds – Vanguard REIT Index Fund which states that Vanguard Specialized Funds – Vanguard REIT Index Fund, an investment company registered under Section 8 of the Investment Company Act of 1940, has sole voting power over 4,605,432 Shares.</w:t>
      </w:r>
    </w:p>
    <w:p>
      <w:pPr>
        <w:spacing w:after="0" w:line="2" w:lineRule="exact"/>
        <w:rPr>
          <w:rFonts w:ascii="Arial" w:cs="Arial" w:eastAsia="Arial" w:hAnsi="Arial"/>
          <w:sz w:val="18"/>
          <w:szCs w:val="18"/>
          <w:color w:val="auto"/>
        </w:rPr>
      </w:pPr>
    </w:p>
    <w:p>
      <w:pPr>
        <w:jc w:val="both"/>
        <w:ind w:left="640" w:right="2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January 10, 2018 by JPMorgan Chase &amp; Co. which states that JPMorgan Chase &amp; Co., a parent holding company, has sole voting power over 3,306,021 Shares, sole dispositive power over 3,771,226 Shares and shared dispositive power over 14,075 Shares.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OWNERSHIP OF TRUSTEES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table below reflects beneficial ownership of our Trustees and NEOs as of March 14, 2018 determined in accordance with Rule 13d-3 of the Securities Exchange Act of 1934, as amended (the “Exchange Act”). Unless noted in the footnotes following the table, each Trustee and NEO has sole voting and investment power as to all Shares listed.</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80" w:type="dxa"/>
            <w:vAlign w:val="bottom"/>
            <w:shd w:val="clear" w:color="auto" w:fill="1F2A44"/>
          </w:tcPr>
          <w:p>
            <w:pPr>
              <w:spacing w:after="0"/>
              <w:rPr>
                <w:sz w:val="14"/>
                <w:szCs w:val="14"/>
                <w:color w:val="auto"/>
              </w:rPr>
            </w:pPr>
          </w:p>
        </w:tc>
        <w:tc>
          <w:tcPr>
            <w:tcW w:w="1200" w:type="dxa"/>
            <w:vAlign w:val="bottom"/>
            <w:shd w:val="clear" w:color="auto" w:fill="1F2A44"/>
          </w:tcPr>
          <w:p>
            <w:pPr>
              <w:spacing w:after="0"/>
              <w:rPr>
                <w:sz w:val="14"/>
                <w:szCs w:val="14"/>
                <w:color w:val="auto"/>
              </w:rPr>
            </w:pPr>
          </w:p>
        </w:tc>
        <w:tc>
          <w:tcPr>
            <w:tcW w:w="1200" w:type="dxa"/>
            <w:vAlign w:val="bottom"/>
            <w:shd w:val="clear" w:color="auto" w:fill="1F2A44"/>
          </w:tcPr>
          <w:p>
            <w:pPr>
              <w:spacing w:after="0"/>
              <w:rPr>
                <w:sz w:val="14"/>
                <w:szCs w:val="14"/>
                <w:color w:val="auto"/>
              </w:rPr>
            </w:pPr>
          </w:p>
        </w:tc>
        <w:tc>
          <w:tcPr>
            <w:tcW w:w="17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Options Currently</w:t>
            </w:r>
          </w:p>
        </w:tc>
        <w:tc>
          <w:tcPr>
            <w:tcW w:w="1360" w:type="dxa"/>
            <w:vAlign w:val="bottom"/>
            <w:shd w:val="clear" w:color="auto" w:fill="1F2A44"/>
          </w:tcPr>
          <w:p>
            <w:pPr>
              <w:spacing w:after="0"/>
              <w:rPr>
                <w:sz w:val="14"/>
                <w:szCs w:val="14"/>
                <w:color w:val="auto"/>
              </w:rPr>
            </w:pPr>
          </w:p>
        </w:tc>
        <w:tc>
          <w:tcPr>
            <w:tcW w:w="1240" w:type="dxa"/>
            <w:vAlign w:val="bottom"/>
            <w:shd w:val="clear" w:color="auto" w:fill="1F2A44"/>
          </w:tcPr>
          <w:p>
            <w:pPr>
              <w:jc w:val="center"/>
              <w:ind w:left="82"/>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4280" w:type="dxa"/>
            <w:vAlign w:val="bottom"/>
            <w:shd w:val="clear" w:color="auto" w:fill="1F2A44"/>
          </w:tcPr>
          <w:p>
            <w:pPr>
              <w:spacing w:after="0"/>
              <w:rPr>
                <w:sz w:val="14"/>
                <w:szCs w:val="14"/>
                <w:color w:val="auto"/>
              </w:rPr>
            </w:pPr>
          </w:p>
        </w:tc>
        <w:tc>
          <w:tcPr>
            <w:tcW w:w="1200" w:type="dxa"/>
            <w:vAlign w:val="bottom"/>
            <w:shd w:val="clear" w:color="auto" w:fill="1F2A44"/>
          </w:tcPr>
          <w:p>
            <w:pPr>
              <w:spacing w:after="0"/>
              <w:rPr>
                <w:sz w:val="14"/>
                <w:szCs w:val="14"/>
                <w:color w:val="auto"/>
              </w:rPr>
            </w:pPr>
          </w:p>
        </w:tc>
        <w:tc>
          <w:tcPr>
            <w:tcW w:w="120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Unvested</w:t>
            </w:r>
          </w:p>
        </w:tc>
        <w:tc>
          <w:tcPr>
            <w:tcW w:w="17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Exercisable or</w:t>
            </w:r>
          </w:p>
        </w:tc>
        <w:tc>
          <w:tcPr>
            <w:tcW w:w="13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Total Shares</w:t>
            </w:r>
          </w:p>
        </w:tc>
        <w:tc>
          <w:tcPr>
            <w:tcW w:w="1240" w:type="dxa"/>
            <w:vAlign w:val="bottom"/>
            <w:shd w:val="clear" w:color="auto" w:fill="1F2A44"/>
          </w:tcPr>
          <w:p>
            <w:pPr>
              <w:jc w:val="center"/>
              <w:ind w:left="82"/>
              <w:spacing w:after="0"/>
              <w:rPr>
                <w:sz w:val="20"/>
                <w:szCs w:val="20"/>
                <w:color w:val="auto"/>
              </w:rPr>
            </w:pPr>
            <w:r>
              <w:rPr>
                <w:rFonts w:ascii="Arial" w:cs="Arial" w:eastAsia="Arial" w:hAnsi="Arial"/>
                <w:sz w:val="14"/>
                <w:szCs w:val="14"/>
                <w:b w:val="1"/>
                <w:bCs w:val="1"/>
                <w:color w:val="FFFFFF"/>
              </w:rPr>
              <w:t>Outstanding</w:t>
            </w:r>
          </w:p>
        </w:tc>
      </w:tr>
      <w:tr>
        <w:trPr>
          <w:trHeight w:val="159"/>
        </w:trPr>
        <w:tc>
          <w:tcPr>
            <w:tcW w:w="4280" w:type="dxa"/>
            <w:vAlign w:val="bottom"/>
            <w:shd w:val="clear" w:color="auto" w:fill="1F2A44"/>
          </w:tcPr>
          <w:p>
            <w:pPr>
              <w:spacing w:after="0"/>
              <w:rPr>
                <w:sz w:val="13"/>
                <w:szCs w:val="13"/>
                <w:color w:val="auto"/>
              </w:rPr>
            </w:pPr>
          </w:p>
        </w:tc>
        <w:tc>
          <w:tcPr>
            <w:tcW w:w="1200" w:type="dxa"/>
            <w:vAlign w:val="bottom"/>
            <w:shd w:val="clear" w:color="auto" w:fill="1F2A44"/>
          </w:tcPr>
          <w:p>
            <w:pPr>
              <w:spacing w:after="0"/>
              <w:rPr>
                <w:sz w:val="13"/>
                <w:szCs w:val="13"/>
                <w:color w:val="auto"/>
              </w:rPr>
            </w:pPr>
          </w:p>
        </w:tc>
        <w:tc>
          <w:tcPr>
            <w:tcW w:w="120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Restricted</w:t>
            </w:r>
          </w:p>
        </w:tc>
        <w:tc>
          <w:tcPr>
            <w:tcW w:w="174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Exercisable Within</w:t>
            </w:r>
          </w:p>
        </w:tc>
        <w:tc>
          <w:tcPr>
            <w:tcW w:w="136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Beneficially</w:t>
            </w:r>
          </w:p>
        </w:tc>
        <w:tc>
          <w:tcPr>
            <w:tcW w:w="1240" w:type="dxa"/>
            <w:vAlign w:val="bottom"/>
            <w:shd w:val="clear" w:color="auto" w:fill="1F2A44"/>
          </w:tcPr>
          <w:p>
            <w:pPr>
              <w:jc w:val="center"/>
              <w:ind w:left="82"/>
              <w:spacing w:after="0" w:line="159" w:lineRule="exact"/>
              <w:rPr>
                <w:sz w:val="20"/>
                <w:szCs w:val="20"/>
                <w:color w:val="auto"/>
              </w:rPr>
            </w:pPr>
            <w:r>
              <w:rPr>
                <w:rFonts w:ascii="Arial" w:cs="Arial" w:eastAsia="Arial" w:hAnsi="Arial"/>
                <w:sz w:val="14"/>
                <w:szCs w:val="14"/>
                <w:b w:val="1"/>
                <w:bCs w:val="1"/>
                <w:color w:val="FFFFFF"/>
              </w:rPr>
              <w:t>Shares</w:t>
            </w:r>
          </w:p>
        </w:tc>
      </w:tr>
      <w:tr>
        <w:trPr>
          <w:trHeight w:val="206"/>
        </w:trPr>
        <w:tc>
          <w:tcPr>
            <w:tcW w:w="4280" w:type="dxa"/>
            <w:vAlign w:val="bottom"/>
            <w:shd w:val="clear" w:color="auto" w:fill="1F2A44"/>
          </w:tcPr>
          <w:p>
            <w:pPr>
              <w:ind w:left="60"/>
              <w:spacing w:after="0" w:line="205" w:lineRule="exact"/>
              <w:rPr>
                <w:sz w:val="20"/>
                <w:szCs w:val="20"/>
                <w:color w:val="auto"/>
              </w:rPr>
            </w:pPr>
            <w:r>
              <w:rPr>
                <w:rFonts w:ascii="Arial" w:cs="Arial" w:eastAsia="Arial" w:hAnsi="Arial"/>
                <w:sz w:val="14"/>
                <w:szCs w:val="14"/>
                <w:b w:val="1"/>
                <w:bCs w:val="1"/>
                <w:color w:val="FFFFFF"/>
              </w:rPr>
              <w:t>Name and Address of Beneficial Owner</w:t>
            </w:r>
            <w:r>
              <w:rPr>
                <w:rFonts w:ascii="Arial" w:cs="Arial" w:eastAsia="Arial" w:hAnsi="Arial"/>
                <w:sz w:val="23"/>
                <w:szCs w:val="23"/>
                <w:b w:val="1"/>
                <w:bCs w:val="1"/>
                <w:color w:val="FFFFFF"/>
                <w:vertAlign w:val="superscript"/>
              </w:rPr>
              <w:t>(1)</w:t>
            </w:r>
          </w:p>
        </w:tc>
        <w:tc>
          <w:tcPr>
            <w:tcW w:w="1200" w:type="dxa"/>
            <w:vAlign w:val="bottom"/>
            <w:shd w:val="clear" w:color="auto" w:fill="1F2A44"/>
          </w:tcPr>
          <w:p>
            <w:pPr>
              <w:jc w:val="right"/>
              <w:ind w:right="200"/>
              <w:spacing w:after="0"/>
              <w:rPr>
                <w:sz w:val="20"/>
                <w:szCs w:val="20"/>
                <w:color w:val="auto"/>
              </w:rPr>
            </w:pPr>
            <w:r>
              <w:rPr>
                <w:rFonts w:ascii="Arial" w:cs="Arial" w:eastAsia="Arial" w:hAnsi="Arial"/>
                <w:sz w:val="14"/>
                <w:szCs w:val="14"/>
                <w:b w:val="1"/>
                <w:bCs w:val="1"/>
                <w:color w:val="FFFFFF"/>
              </w:rPr>
              <w:t>Common</w:t>
            </w:r>
          </w:p>
        </w:tc>
        <w:tc>
          <w:tcPr>
            <w:tcW w:w="120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Shares</w:t>
            </w:r>
          </w:p>
        </w:tc>
        <w:tc>
          <w:tcPr>
            <w:tcW w:w="17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60 Days</w:t>
            </w:r>
          </w:p>
        </w:tc>
        <w:tc>
          <w:tcPr>
            <w:tcW w:w="13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Owned</w:t>
            </w:r>
          </w:p>
        </w:tc>
        <w:tc>
          <w:tcPr>
            <w:tcW w:w="1240" w:type="dxa"/>
            <w:vAlign w:val="bottom"/>
            <w:shd w:val="clear" w:color="auto" w:fill="1F2A44"/>
          </w:tcPr>
          <w:p>
            <w:pPr>
              <w:jc w:val="center"/>
              <w:ind w:left="82"/>
              <w:spacing w:after="0" w:line="205" w:lineRule="exact"/>
              <w:rPr>
                <w:sz w:val="20"/>
                <w:szCs w:val="20"/>
                <w:color w:val="auto"/>
              </w:rPr>
            </w:pPr>
            <w:r>
              <w:rPr>
                <w:rFonts w:ascii="Arial" w:cs="Arial" w:eastAsia="Arial" w:hAnsi="Arial"/>
                <w:sz w:val="14"/>
                <w:szCs w:val="14"/>
                <w:b w:val="1"/>
                <w:bCs w:val="1"/>
                <w:color w:val="FFFFFF"/>
                <w:w w:val="97"/>
              </w:rPr>
              <w:t>Owned</w:t>
            </w:r>
            <w:r>
              <w:rPr>
                <w:rFonts w:ascii="Arial" w:cs="Arial" w:eastAsia="Arial" w:hAnsi="Arial"/>
                <w:sz w:val="23"/>
                <w:szCs w:val="23"/>
                <w:b w:val="1"/>
                <w:bCs w:val="1"/>
                <w:color w:val="FFFFFF"/>
                <w:w w:val="97"/>
                <w:vertAlign w:val="superscript"/>
              </w:rPr>
              <w:t>(2)</w:t>
            </w:r>
          </w:p>
        </w:tc>
      </w:tr>
      <w:tr>
        <w:trPr>
          <w:trHeight w:val="189"/>
        </w:trPr>
        <w:tc>
          <w:tcPr>
            <w:tcW w:w="4280" w:type="dxa"/>
            <w:vAlign w:val="bottom"/>
          </w:tcPr>
          <w:p>
            <w:pPr>
              <w:ind w:left="80"/>
              <w:spacing w:after="0"/>
              <w:rPr>
                <w:sz w:val="20"/>
                <w:szCs w:val="20"/>
                <w:color w:val="auto"/>
              </w:rPr>
            </w:pPr>
            <w:r>
              <w:rPr>
                <w:rFonts w:ascii="Arial" w:cs="Arial" w:eastAsia="Arial" w:hAnsi="Arial"/>
                <w:sz w:val="16"/>
                <w:szCs w:val="16"/>
                <w:color w:val="auto"/>
              </w:rPr>
              <w:t>Dawn M. Becker</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115,043</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11,472</w:t>
            </w:r>
          </w:p>
        </w:tc>
        <w:tc>
          <w:tcPr>
            <w:tcW w:w="17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161"/>
              <w:spacing w:after="0"/>
              <w:rPr>
                <w:sz w:val="20"/>
                <w:szCs w:val="20"/>
                <w:color w:val="auto"/>
              </w:rPr>
            </w:pPr>
            <w:r>
              <w:rPr>
                <w:rFonts w:ascii="Arial" w:cs="Arial" w:eastAsia="Arial" w:hAnsi="Arial"/>
                <w:sz w:val="16"/>
                <w:szCs w:val="16"/>
                <w:color w:val="auto"/>
              </w:rPr>
              <w:t>126,515</w:t>
            </w:r>
          </w:p>
        </w:tc>
        <w:tc>
          <w:tcPr>
            <w:tcW w:w="1240" w:type="dxa"/>
            <w:vAlign w:val="bottom"/>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shd w:val="clear" w:color="auto" w:fill="D2D4D9"/>
          </w:tcPr>
          <w:p>
            <w:pPr>
              <w:ind w:left="80"/>
              <w:spacing w:after="0" w:line="189" w:lineRule="exact"/>
              <w:rPr>
                <w:sz w:val="20"/>
                <w:szCs w:val="20"/>
                <w:color w:val="auto"/>
              </w:rPr>
            </w:pPr>
            <w:r>
              <w:rPr>
                <w:rFonts w:ascii="Arial" w:cs="Arial" w:eastAsia="Arial" w:hAnsi="Arial"/>
                <w:sz w:val="13"/>
                <w:szCs w:val="13"/>
                <w:color w:val="auto"/>
              </w:rPr>
              <w:t>Jon E. Bortz</w:t>
            </w:r>
            <w:r>
              <w:rPr>
                <w:rFonts w:ascii="Arial" w:cs="Arial" w:eastAsia="Arial" w:hAnsi="Arial"/>
                <w:sz w:val="21"/>
                <w:szCs w:val="21"/>
                <w:color w:val="auto"/>
                <w:vertAlign w:val="superscript"/>
              </w:rPr>
              <w:t>(3)</w:t>
            </w:r>
          </w:p>
        </w:tc>
        <w:tc>
          <w:tcPr>
            <w:tcW w:w="1200" w:type="dxa"/>
            <w:vAlign w:val="bottom"/>
            <w:shd w:val="clear" w:color="auto" w:fill="D2D4D9"/>
          </w:tcPr>
          <w:p>
            <w:pPr>
              <w:jc w:val="right"/>
              <w:ind w:right="160"/>
              <w:spacing w:after="0"/>
              <w:rPr>
                <w:sz w:val="20"/>
                <w:szCs w:val="20"/>
                <w:color w:val="auto"/>
              </w:rPr>
            </w:pPr>
            <w:r>
              <w:rPr>
                <w:rFonts w:ascii="Arial" w:cs="Arial" w:eastAsia="Arial" w:hAnsi="Arial"/>
                <w:sz w:val="16"/>
                <w:szCs w:val="16"/>
                <w:color w:val="auto"/>
              </w:rPr>
              <w:t>9,659</w:t>
            </w:r>
          </w:p>
        </w:tc>
        <w:tc>
          <w:tcPr>
            <w:tcW w:w="120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2D4D9"/>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9,659</w:t>
            </w:r>
          </w:p>
        </w:tc>
        <w:tc>
          <w:tcPr>
            <w:tcW w:w="1240" w:type="dxa"/>
            <w:vAlign w:val="bottom"/>
            <w:shd w:val="clear" w:color="auto" w:fill="D2D4D9"/>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tcPr>
          <w:p>
            <w:pPr>
              <w:ind w:left="80"/>
              <w:spacing w:after="0"/>
              <w:rPr>
                <w:sz w:val="20"/>
                <w:szCs w:val="20"/>
                <w:color w:val="auto"/>
              </w:rPr>
            </w:pPr>
            <w:r>
              <w:rPr>
                <w:rFonts w:ascii="Arial" w:cs="Arial" w:eastAsia="Arial" w:hAnsi="Arial"/>
                <w:sz w:val="16"/>
                <w:szCs w:val="16"/>
                <w:color w:val="auto"/>
              </w:rPr>
              <w:t>David W. Faeder</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9,316</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161"/>
              <w:spacing w:after="0"/>
              <w:rPr>
                <w:sz w:val="20"/>
                <w:szCs w:val="20"/>
                <w:color w:val="auto"/>
              </w:rPr>
            </w:pPr>
            <w:r>
              <w:rPr>
                <w:rFonts w:ascii="Arial" w:cs="Arial" w:eastAsia="Arial" w:hAnsi="Arial"/>
                <w:sz w:val="16"/>
                <w:szCs w:val="16"/>
                <w:color w:val="auto"/>
              </w:rPr>
              <w:t>9,316</w:t>
            </w:r>
          </w:p>
        </w:tc>
        <w:tc>
          <w:tcPr>
            <w:tcW w:w="1240" w:type="dxa"/>
            <w:vAlign w:val="bottom"/>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shd w:val="clear" w:color="auto" w:fill="D2D4D9"/>
          </w:tcPr>
          <w:p>
            <w:pPr>
              <w:ind w:left="80"/>
              <w:spacing w:after="0"/>
              <w:rPr>
                <w:sz w:val="20"/>
                <w:szCs w:val="20"/>
                <w:color w:val="auto"/>
              </w:rPr>
            </w:pPr>
            <w:r>
              <w:rPr>
                <w:rFonts w:ascii="Arial" w:cs="Arial" w:eastAsia="Arial" w:hAnsi="Arial"/>
                <w:sz w:val="16"/>
                <w:szCs w:val="16"/>
                <w:color w:val="auto"/>
              </w:rPr>
              <w:t>Daniel Guglielmone</w:t>
            </w:r>
          </w:p>
        </w:tc>
        <w:tc>
          <w:tcPr>
            <w:tcW w:w="1200" w:type="dxa"/>
            <w:vAlign w:val="bottom"/>
            <w:shd w:val="clear" w:color="auto" w:fill="D2D4D9"/>
          </w:tcPr>
          <w:p>
            <w:pPr>
              <w:jc w:val="right"/>
              <w:ind w:right="160"/>
              <w:spacing w:after="0"/>
              <w:rPr>
                <w:sz w:val="20"/>
                <w:szCs w:val="20"/>
                <w:color w:val="auto"/>
              </w:rPr>
            </w:pPr>
            <w:r>
              <w:rPr>
                <w:rFonts w:ascii="Arial" w:cs="Arial" w:eastAsia="Arial" w:hAnsi="Arial"/>
                <w:sz w:val="16"/>
                <w:szCs w:val="16"/>
                <w:color w:val="auto"/>
              </w:rPr>
              <w:t>3,217</w:t>
            </w:r>
          </w:p>
        </w:tc>
        <w:tc>
          <w:tcPr>
            <w:tcW w:w="120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18,828</w:t>
            </w:r>
          </w:p>
        </w:tc>
        <w:tc>
          <w:tcPr>
            <w:tcW w:w="1740" w:type="dxa"/>
            <w:vAlign w:val="bottom"/>
            <w:shd w:val="clear" w:color="auto" w:fill="D2D4D9"/>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22,045</w:t>
            </w:r>
          </w:p>
        </w:tc>
        <w:tc>
          <w:tcPr>
            <w:tcW w:w="1240" w:type="dxa"/>
            <w:vAlign w:val="bottom"/>
            <w:shd w:val="clear" w:color="auto" w:fill="D2D4D9"/>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tcPr>
          <w:p>
            <w:pPr>
              <w:ind w:left="80"/>
              <w:spacing w:after="0"/>
              <w:rPr>
                <w:sz w:val="20"/>
                <w:szCs w:val="20"/>
                <w:color w:val="auto"/>
              </w:rPr>
            </w:pPr>
            <w:r>
              <w:rPr>
                <w:rFonts w:ascii="Arial" w:cs="Arial" w:eastAsia="Arial" w:hAnsi="Arial"/>
                <w:sz w:val="16"/>
                <w:szCs w:val="16"/>
                <w:color w:val="auto"/>
              </w:rPr>
              <w:t>Elizabeth I. Holland</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787</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161"/>
              <w:spacing w:after="0"/>
              <w:rPr>
                <w:sz w:val="20"/>
                <w:szCs w:val="20"/>
                <w:color w:val="auto"/>
              </w:rPr>
            </w:pPr>
            <w:r>
              <w:rPr>
                <w:rFonts w:ascii="Arial" w:cs="Arial" w:eastAsia="Arial" w:hAnsi="Arial"/>
                <w:sz w:val="16"/>
                <w:szCs w:val="16"/>
                <w:color w:val="auto"/>
              </w:rPr>
              <w:t>787</w:t>
            </w:r>
          </w:p>
        </w:tc>
        <w:tc>
          <w:tcPr>
            <w:tcW w:w="1240" w:type="dxa"/>
            <w:vAlign w:val="bottom"/>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shd w:val="clear" w:color="auto" w:fill="D2D4D9"/>
          </w:tcPr>
          <w:p>
            <w:pPr>
              <w:ind w:left="80"/>
              <w:spacing w:after="0"/>
              <w:rPr>
                <w:sz w:val="20"/>
                <w:szCs w:val="20"/>
                <w:color w:val="auto"/>
              </w:rPr>
            </w:pPr>
            <w:r>
              <w:rPr>
                <w:rFonts w:ascii="Arial" w:cs="Arial" w:eastAsia="Arial" w:hAnsi="Arial"/>
                <w:sz w:val="16"/>
                <w:szCs w:val="16"/>
                <w:color w:val="auto"/>
              </w:rPr>
              <w:t>Gail P. Steinel</w:t>
            </w:r>
          </w:p>
        </w:tc>
        <w:tc>
          <w:tcPr>
            <w:tcW w:w="1200" w:type="dxa"/>
            <w:vAlign w:val="bottom"/>
            <w:shd w:val="clear" w:color="auto" w:fill="D2D4D9"/>
          </w:tcPr>
          <w:p>
            <w:pPr>
              <w:jc w:val="right"/>
              <w:ind w:right="160"/>
              <w:spacing w:after="0"/>
              <w:rPr>
                <w:sz w:val="20"/>
                <w:szCs w:val="20"/>
                <w:color w:val="auto"/>
              </w:rPr>
            </w:pPr>
            <w:r>
              <w:rPr>
                <w:rFonts w:ascii="Arial" w:cs="Arial" w:eastAsia="Arial" w:hAnsi="Arial"/>
                <w:sz w:val="16"/>
                <w:szCs w:val="16"/>
                <w:color w:val="auto"/>
              </w:rPr>
              <w:t>9,112</w:t>
            </w:r>
          </w:p>
        </w:tc>
        <w:tc>
          <w:tcPr>
            <w:tcW w:w="120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2D4D9"/>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9,112</w:t>
            </w:r>
          </w:p>
        </w:tc>
        <w:tc>
          <w:tcPr>
            <w:tcW w:w="1240" w:type="dxa"/>
            <w:vAlign w:val="bottom"/>
            <w:shd w:val="clear" w:color="auto" w:fill="D2D4D9"/>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tcPr>
          <w:p>
            <w:pPr>
              <w:ind w:left="80"/>
              <w:spacing w:after="0"/>
              <w:rPr>
                <w:sz w:val="20"/>
                <w:szCs w:val="20"/>
                <w:color w:val="auto"/>
              </w:rPr>
            </w:pPr>
            <w:r>
              <w:rPr>
                <w:rFonts w:ascii="Arial" w:cs="Arial" w:eastAsia="Arial" w:hAnsi="Arial"/>
                <w:sz w:val="16"/>
                <w:szCs w:val="16"/>
                <w:color w:val="auto"/>
              </w:rPr>
              <w:t>Warren M. Thompson</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9,191</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161"/>
              <w:spacing w:after="0"/>
              <w:rPr>
                <w:sz w:val="20"/>
                <w:szCs w:val="20"/>
                <w:color w:val="auto"/>
              </w:rPr>
            </w:pPr>
            <w:r>
              <w:rPr>
                <w:rFonts w:ascii="Arial" w:cs="Arial" w:eastAsia="Arial" w:hAnsi="Arial"/>
                <w:sz w:val="16"/>
                <w:szCs w:val="16"/>
                <w:color w:val="auto"/>
              </w:rPr>
              <w:t>9,191</w:t>
            </w:r>
          </w:p>
        </w:tc>
        <w:tc>
          <w:tcPr>
            <w:tcW w:w="1240" w:type="dxa"/>
            <w:vAlign w:val="bottom"/>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shd w:val="clear" w:color="auto" w:fill="D2D4D9"/>
          </w:tcPr>
          <w:p>
            <w:pPr>
              <w:ind w:left="80"/>
              <w:spacing w:after="0"/>
              <w:rPr>
                <w:sz w:val="20"/>
                <w:szCs w:val="20"/>
                <w:color w:val="auto"/>
              </w:rPr>
            </w:pPr>
            <w:r>
              <w:rPr>
                <w:rFonts w:ascii="Arial" w:cs="Arial" w:eastAsia="Arial" w:hAnsi="Arial"/>
                <w:sz w:val="16"/>
                <w:szCs w:val="16"/>
                <w:color w:val="auto"/>
              </w:rPr>
              <w:t>Joseph S. Vassalluzzo</w:t>
            </w:r>
          </w:p>
        </w:tc>
        <w:tc>
          <w:tcPr>
            <w:tcW w:w="1200" w:type="dxa"/>
            <w:vAlign w:val="bottom"/>
            <w:shd w:val="clear" w:color="auto" w:fill="D2D4D9"/>
          </w:tcPr>
          <w:p>
            <w:pPr>
              <w:jc w:val="right"/>
              <w:ind w:right="160"/>
              <w:spacing w:after="0"/>
              <w:rPr>
                <w:sz w:val="20"/>
                <w:szCs w:val="20"/>
                <w:color w:val="auto"/>
              </w:rPr>
            </w:pPr>
            <w:r>
              <w:rPr>
                <w:rFonts w:ascii="Arial" w:cs="Arial" w:eastAsia="Arial" w:hAnsi="Arial"/>
                <w:sz w:val="16"/>
                <w:szCs w:val="16"/>
                <w:color w:val="auto"/>
              </w:rPr>
              <w:t>21,198</w:t>
            </w:r>
          </w:p>
        </w:tc>
        <w:tc>
          <w:tcPr>
            <w:tcW w:w="120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2D4D9"/>
          </w:tcPr>
          <w:p>
            <w:pPr>
              <w:jc w:val="right"/>
              <w:ind w:right="162"/>
              <w:spacing w:after="0"/>
              <w:rPr>
                <w:sz w:val="20"/>
                <w:szCs w:val="20"/>
                <w:color w:val="auto"/>
              </w:rPr>
            </w:pPr>
            <w:r>
              <w:rPr>
                <w:rFonts w:ascii="Arial" w:cs="Arial" w:eastAsia="Arial" w:hAnsi="Arial"/>
                <w:sz w:val="16"/>
                <w:szCs w:val="16"/>
                <w:color w:val="auto"/>
              </w:rPr>
              <w:t>0</w:t>
            </w:r>
          </w:p>
        </w:tc>
        <w:tc>
          <w:tcPr>
            <w:tcW w:w="136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21,198</w:t>
            </w:r>
          </w:p>
        </w:tc>
        <w:tc>
          <w:tcPr>
            <w:tcW w:w="1240" w:type="dxa"/>
            <w:vAlign w:val="bottom"/>
            <w:shd w:val="clear" w:color="auto" w:fill="D2D4D9"/>
          </w:tcPr>
          <w:p>
            <w:pPr>
              <w:jc w:val="center"/>
              <w:ind w:left="102"/>
              <w:spacing w:after="0"/>
              <w:rPr>
                <w:sz w:val="20"/>
                <w:szCs w:val="20"/>
                <w:color w:val="auto"/>
              </w:rPr>
            </w:pPr>
            <w:r>
              <w:rPr>
                <w:rFonts w:ascii="Arial" w:cs="Arial" w:eastAsia="Arial" w:hAnsi="Arial"/>
                <w:sz w:val="16"/>
                <w:szCs w:val="16"/>
                <w:color w:val="auto"/>
                <w:w w:val="95"/>
              </w:rPr>
              <w:t>*</w:t>
            </w:r>
          </w:p>
        </w:tc>
      </w:tr>
      <w:tr>
        <w:trPr>
          <w:trHeight w:val="189"/>
        </w:trPr>
        <w:tc>
          <w:tcPr>
            <w:tcW w:w="4280" w:type="dxa"/>
            <w:vAlign w:val="bottom"/>
          </w:tcPr>
          <w:p>
            <w:pPr>
              <w:ind w:left="80"/>
              <w:spacing w:after="0" w:line="189" w:lineRule="exact"/>
              <w:rPr>
                <w:sz w:val="20"/>
                <w:szCs w:val="20"/>
                <w:color w:val="auto"/>
              </w:rPr>
            </w:pPr>
            <w:r>
              <w:rPr>
                <w:rFonts w:ascii="Arial" w:cs="Arial" w:eastAsia="Arial" w:hAnsi="Arial"/>
                <w:sz w:val="13"/>
                <w:szCs w:val="13"/>
                <w:color w:val="auto"/>
              </w:rPr>
              <w:t>Donald C. Wood</w:t>
            </w:r>
            <w:r>
              <w:rPr>
                <w:rFonts w:ascii="Arial" w:cs="Arial" w:eastAsia="Arial" w:hAnsi="Arial"/>
                <w:sz w:val="21"/>
                <w:szCs w:val="21"/>
                <w:color w:val="auto"/>
                <w:vertAlign w:val="superscript"/>
              </w:rPr>
              <w:t>(4)</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284,529</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95,744</w:t>
            </w:r>
          </w:p>
        </w:tc>
        <w:tc>
          <w:tcPr>
            <w:tcW w:w="1740" w:type="dxa"/>
            <w:vAlign w:val="bottom"/>
          </w:tcPr>
          <w:p>
            <w:pPr>
              <w:jc w:val="right"/>
              <w:ind w:right="162"/>
              <w:spacing w:after="0"/>
              <w:rPr>
                <w:sz w:val="20"/>
                <w:szCs w:val="20"/>
                <w:color w:val="auto"/>
              </w:rPr>
            </w:pPr>
            <w:r>
              <w:rPr>
                <w:rFonts w:ascii="Arial" w:cs="Arial" w:eastAsia="Arial" w:hAnsi="Arial"/>
                <w:sz w:val="16"/>
                <w:szCs w:val="16"/>
                <w:color w:val="auto"/>
              </w:rPr>
              <w:t>104,788</w:t>
            </w:r>
          </w:p>
        </w:tc>
        <w:tc>
          <w:tcPr>
            <w:tcW w:w="1360" w:type="dxa"/>
            <w:vAlign w:val="bottom"/>
          </w:tcPr>
          <w:p>
            <w:pPr>
              <w:jc w:val="right"/>
              <w:ind w:right="161"/>
              <w:spacing w:after="0"/>
              <w:rPr>
                <w:sz w:val="20"/>
                <w:szCs w:val="20"/>
                <w:color w:val="auto"/>
              </w:rPr>
            </w:pPr>
            <w:r>
              <w:rPr>
                <w:rFonts w:ascii="Arial" w:cs="Arial" w:eastAsia="Arial" w:hAnsi="Arial"/>
                <w:sz w:val="16"/>
                <w:szCs w:val="16"/>
                <w:color w:val="auto"/>
              </w:rPr>
              <w:t>485,061</w:t>
            </w:r>
          </w:p>
        </w:tc>
        <w:tc>
          <w:tcPr>
            <w:tcW w:w="1240" w:type="dxa"/>
            <w:vAlign w:val="bottom"/>
          </w:tcPr>
          <w:p>
            <w:pPr>
              <w:jc w:val="center"/>
              <w:ind w:left="102"/>
              <w:spacing w:after="0"/>
              <w:rPr>
                <w:sz w:val="20"/>
                <w:szCs w:val="20"/>
                <w:color w:val="auto"/>
              </w:rPr>
            </w:pPr>
            <w:r>
              <w:rPr>
                <w:rFonts w:ascii="Arial" w:cs="Arial" w:eastAsia="Arial" w:hAnsi="Arial"/>
                <w:sz w:val="16"/>
                <w:szCs w:val="16"/>
                <w:color w:val="auto"/>
                <w:w w:val="95"/>
              </w:rPr>
              <w:t>*</w:t>
            </w:r>
          </w:p>
        </w:tc>
      </w:tr>
      <w:tr>
        <w:trPr>
          <w:trHeight w:val="191"/>
        </w:trPr>
        <w:tc>
          <w:tcPr>
            <w:tcW w:w="4280" w:type="dxa"/>
            <w:vAlign w:val="bottom"/>
            <w:shd w:val="clear" w:color="auto" w:fill="D2D4D9"/>
          </w:tcPr>
          <w:p>
            <w:pPr>
              <w:ind w:left="80"/>
              <w:spacing w:after="0"/>
              <w:rPr>
                <w:sz w:val="20"/>
                <w:szCs w:val="20"/>
                <w:color w:val="auto"/>
              </w:rPr>
            </w:pPr>
            <w:r>
              <w:rPr>
                <w:rFonts w:ascii="Arial" w:cs="Arial" w:eastAsia="Arial" w:hAnsi="Arial"/>
                <w:sz w:val="16"/>
                <w:szCs w:val="16"/>
                <w:color w:val="auto"/>
              </w:rPr>
              <w:t>Trustees, trustee nominees and executive officers as a</w:t>
            </w:r>
          </w:p>
        </w:tc>
        <w:tc>
          <w:tcPr>
            <w:tcW w:w="1200" w:type="dxa"/>
            <w:vAlign w:val="bottom"/>
            <w:shd w:val="clear" w:color="auto" w:fill="D2D4D9"/>
          </w:tcPr>
          <w:p>
            <w:pPr>
              <w:spacing w:after="0"/>
              <w:rPr>
                <w:sz w:val="16"/>
                <w:szCs w:val="16"/>
                <w:color w:val="auto"/>
              </w:rPr>
            </w:pPr>
          </w:p>
        </w:tc>
        <w:tc>
          <w:tcPr>
            <w:tcW w:w="1200" w:type="dxa"/>
            <w:vAlign w:val="bottom"/>
            <w:shd w:val="clear" w:color="auto" w:fill="D2D4D9"/>
          </w:tcPr>
          <w:p>
            <w:pPr>
              <w:spacing w:after="0"/>
              <w:rPr>
                <w:sz w:val="16"/>
                <w:szCs w:val="16"/>
                <w:color w:val="auto"/>
              </w:rPr>
            </w:pPr>
          </w:p>
        </w:tc>
        <w:tc>
          <w:tcPr>
            <w:tcW w:w="1740" w:type="dxa"/>
            <w:vAlign w:val="bottom"/>
            <w:shd w:val="clear" w:color="auto" w:fill="D2D4D9"/>
          </w:tcPr>
          <w:p>
            <w:pPr>
              <w:spacing w:after="0"/>
              <w:rPr>
                <w:sz w:val="16"/>
                <w:szCs w:val="16"/>
                <w:color w:val="auto"/>
              </w:rPr>
            </w:pPr>
          </w:p>
        </w:tc>
        <w:tc>
          <w:tcPr>
            <w:tcW w:w="1360" w:type="dxa"/>
            <w:vAlign w:val="bottom"/>
            <w:shd w:val="clear" w:color="auto" w:fill="D2D4D9"/>
          </w:tcPr>
          <w:p>
            <w:pPr>
              <w:spacing w:after="0"/>
              <w:rPr>
                <w:sz w:val="16"/>
                <w:szCs w:val="16"/>
                <w:color w:val="auto"/>
              </w:rPr>
            </w:pPr>
          </w:p>
        </w:tc>
        <w:tc>
          <w:tcPr>
            <w:tcW w:w="1240" w:type="dxa"/>
            <w:vAlign w:val="bottom"/>
            <w:shd w:val="clear" w:color="auto" w:fill="D2D4D9"/>
          </w:tcPr>
          <w:p>
            <w:pPr>
              <w:spacing w:after="0"/>
              <w:rPr>
                <w:sz w:val="16"/>
                <w:szCs w:val="16"/>
                <w:color w:val="auto"/>
              </w:rPr>
            </w:pPr>
          </w:p>
        </w:tc>
      </w:tr>
      <w:tr>
        <w:trPr>
          <w:trHeight w:val="189"/>
        </w:trPr>
        <w:tc>
          <w:tcPr>
            <w:tcW w:w="4280" w:type="dxa"/>
            <w:vAlign w:val="bottom"/>
            <w:shd w:val="clear" w:color="auto" w:fill="D2D4D9"/>
          </w:tcPr>
          <w:p>
            <w:pPr>
              <w:ind w:left="240"/>
              <w:spacing w:after="0"/>
              <w:rPr>
                <w:sz w:val="20"/>
                <w:szCs w:val="20"/>
                <w:color w:val="auto"/>
              </w:rPr>
            </w:pPr>
            <w:r>
              <w:rPr>
                <w:rFonts w:ascii="Arial" w:cs="Arial" w:eastAsia="Arial" w:hAnsi="Arial"/>
                <w:sz w:val="16"/>
                <w:szCs w:val="16"/>
                <w:color w:val="auto"/>
              </w:rPr>
              <w:t>group</w:t>
            </w:r>
          </w:p>
        </w:tc>
        <w:tc>
          <w:tcPr>
            <w:tcW w:w="1200" w:type="dxa"/>
            <w:vAlign w:val="bottom"/>
            <w:shd w:val="clear" w:color="auto" w:fill="D2D4D9"/>
          </w:tcPr>
          <w:p>
            <w:pPr>
              <w:spacing w:after="0"/>
              <w:rPr>
                <w:sz w:val="16"/>
                <w:szCs w:val="16"/>
                <w:color w:val="auto"/>
              </w:rPr>
            </w:pPr>
          </w:p>
        </w:tc>
        <w:tc>
          <w:tcPr>
            <w:tcW w:w="1200" w:type="dxa"/>
            <w:vAlign w:val="bottom"/>
            <w:shd w:val="clear" w:color="auto" w:fill="D2D4D9"/>
          </w:tcPr>
          <w:p>
            <w:pPr>
              <w:spacing w:after="0"/>
              <w:rPr>
                <w:sz w:val="16"/>
                <w:szCs w:val="16"/>
                <w:color w:val="auto"/>
              </w:rPr>
            </w:pPr>
          </w:p>
        </w:tc>
        <w:tc>
          <w:tcPr>
            <w:tcW w:w="1740" w:type="dxa"/>
            <w:vAlign w:val="bottom"/>
            <w:shd w:val="clear" w:color="auto" w:fill="D2D4D9"/>
          </w:tcPr>
          <w:p>
            <w:pPr>
              <w:spacing w:after="0"/>
              <w:rPr>
                <w:sz w:val="16"/>
                <w:szCs w:val="16"/>
                <w:color w:val="auto"/>
              </w:rPr>
            </w:pPr>
          </w:p>
        </w:tc>
        <w:tc>
          <w:tcPr>
            <w:tcW w:w="1360" w:type="dxa"/>
            <w:vAlign w:val="bottom"/>
            <w:shd w:val="clear" w:color="auto" w:fill="D2D4D9"/>
          </w:tcPr>
          <w:p>
            <w:pPr>
              <w:spacing w:after="0"/>
              <w:rPr>
                <w:sz w:val="16"/>
                <w:szCs w:val="16"/>
                <w:color w:val="auto"/>
              </w:rPr>
            </w:pPr>
          </w:p>
        </w:tc>
        <w:tc>
          <w:tcPr>
            <w:tcW w:w="1240" w:type="dxa"/>
            <w:vAlign w:val="bottom"/>
            <w:shd w:val="clear" w:color="auto" w:fill="D2D4D9"/>
          </w:tcPr>
          <w:p>
            <w:pPr>
              <w:spacing w:after="0"/>
              <w:rPr>
                <w:sz w:val="16"/>
                <w:szCs w:val="16"/>
                <w:color w:val="auto"/>
              </w:rPr>
            </w:pPr>
          </w:p>
        </w:tc>
      </w:tr>
      <w:tr>
        <w:trPr>
          <w:trHeight w:val="201"/>
        </w:trPr>
        <w:tc>
          <w:tcPr>
            <w:tcW w:w="4280" w:type="dxa"/>
            <w:vAlign w:val="bottom"/>
            <w:shd w:val="clear" w:color="auto" w:fill="D2D4D9"/>
          </w:tcPr>
          <w:p>
            <w:pPr>
              <w:ind w:left="80"/>
              <w:spacing w:after="0"/>
              <w:rPr>
                <w:sz w:val="20"/>
                <w:szCs w:val="20"/>
                <w:color w:val="auto"/>
              </w:rPr>
            </w:pPr>
            <w:r>
              <w:rPr>
                <w:rFonts w:ascii="Arial" w:cs="Arial" w:eastAsia="Arial" w:hAnsi="Arial"/>
                <w:sz w:val="16"/>
                <w:szCs w:val="16"/>
                <w:color w:val="auto"/>
              </w:rPr>
              <w:t>(9 individuals)</w:t>
            </w:r>
          </w:p>
        </w:tc>
        <w:tc>
          <w:tcPr>
            <w:tcW w:w="1200" w:type="dxa"/>
            <w:vAlign w:val="bottom"/>
            <w:shd w:val="clear" w:color="auto" w:fill="D2D4D9"/>
          </w:tcPr>
          <w:p>
            <w:pPr>
              <w:jc w:val="right"/>
              <w:ind w:right="160"/>
              <w:spacing w:after="0"/>
              <w:rPr>
                <w:sz w:val="20"/>
                <w:szCs w:val="20"/>
                <w:color w:val="auto"/>
              </w:rPr>
            </w:pPr>
            <w:r>
              <w:rPr>
                <w:rFonts w:ascii="Arial" w:cs="Arial" w:eastAsia="Arial" w:hAnsi="Arial"/>
                <w:sz w:val="16"/>
                <w:szCs w:val="16"/>
                <w:color w:val="auto"/>
              </w:rPr>
              <w:t>462,052</w:t>
            </w:r>
          </w:p>
        </w:tc>
        <w:tc>
          <w:tcPr>
            <w:tcW w:w="120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126,044</w:t>
            </w:r>
          </w:p>
        </w:tc>
        <w:tc>
          <w:tcPr>
            <w:tcW w:w="1740" w:type="dxa"/>
            <w:vAlign w:val="bottom"/>
            <w:shd w:val="clear" w:color="auto" w:fill="D2D4D9"/>
          </w:tcPr>
          <w:p>
            <w:pPr>
              <w:jc w:val="right"/>
              <w:ind w:right="162"/>
              <w:spacing w:after="0"/>
              <w:rPr>
                <w:sz w:val="20"/>
                <w:szCs w:val="20"/>
                <w:color w:val="auto"/>
              </w:rPr>
            </w:pPr>
            <w:r>
              <w:rPr>
                <w:rFonts w:ascii="Arial" w:cs="Arial" w:eastAsia="Arial" w:hAnsi="Arial"/>
                <w:sz w:val="16"/>
                <w:szCs w:val="16"/>
                <w:color w:val="auto"/>
              </w:rPr>
              <w:t>104,788</w:t>
            </w:r>
          </w:p>
        </w:tc>
        <w:tc>
          <w:tcPr>
            <w:tcW w:w="136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692,884</w:t>
            </w:r>
          </w:p>
        </w:tc>
        <w:tc>
          <w:tcPr>
            <w:tcW w:w="1240" w:type="dxa"/>
            <w:vAlign w:val="bottom"/>
            <w:shd w:val="clear" w:color="auto" w:fill="D2D4D9"/>
          </w:tcPr>
          <w:p>
            <w:pPr>
              <w:jc w:val="center"/>
              <w:ind w:left="102"/>
              <w:spacing w:after="0"/>
              <w:rPr>
                <w:sz w:val="20"/>
                <w:szCs w:val="20"/>
                <w:color w:val="auto"/>
              </w:rPr>
            </w:pPr>
            <w:r>
              <w:rPr>
                <w:rFonts w:ascii="Arial" w:cs="Arial" w:eastAsia="Arial" w:hAnsi="Arial"/>
                <w:sz w:val="16"/>
                <w:szCs w:val="16"/>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1%</w:t>
      </w:r>
    </w:p>
    <w:p>
      <w:pPr>
        <w:ind w:left="640" w:hanging="436"/>
        <w:spacing w:after="0" w:line="23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address of each beneficial owner is 1626 East Jefferson Street, Rockville, MD 20852.</w:t>
      </w:r>
    </w:p>
    <w:p>
      <w:pPr>
        <w:jc w:val="both"/>
        <w:ind w:left="640" w:right="20" w:hanging="436"/>
        <w:spacing w:after="0" w:line="23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73,186,370, the total number of Shares outstanding on March 14, 2018, plus the number of options for such person or group reflected in the column titled “Options Currently Exercisable or Exercisable Within 60 Days.”</w:t>
      </w:r>
    </w:p>
    <w:p>
      <w:pPr>
        <w:spacing w:after="0" w:line="2"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and investment power is shared with Mr. Bortz’ wife.</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2017.</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You are receiving these materials because you owned our Shares as of March 14, 2018, the record date established by our Board of Trustees (“Board”) for our Annual Meeting. Everyone who owned our Shares as of this date, whether directly as a registered shareholder or indirectly through a broker or other nominee, is entitled to vote at the Annual Meeting. We had 73,186,370 Shares outstanding on March 14, 2018. A majority of the Shares entitled to vote at the Annual Meeting must be present in person or by proxy for us to proceed with the Annual Meeting.</w:t>
      </w:r>
    </w:p>
    <w:p>
      <w:pPr>
        <w:spacing w:after="0" w:line="162"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202565</wp:posOffset>
            </wp:positionV>
            <wp:extent cx="531495" cy="5746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1495" cy="57467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151130</wp:posOffset>
            </wp:positionV>
            <wp:extent cx="643255" cy="6261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3255" cy="62611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142875</wp:posOffset>
            </wp:positionV>
            <wp:extent cx="480060" cy="6343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0060" cy="6343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00"/>
        <w:spacing w:after="0" w:line="247"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u w:val="single" w:color="auto"/>
          <w:color w:val="auto"/>
        </w:rPr>
        <w:t>www.voteproxy.com.</w:t>
      </w:r>
      <w:r>
        <w:rPr>
          <w:rFonts w:ascii="Arial" w:cs="Arial" w:eastAsia="Arial" w:hAnsi="Arial"/>
          <w:sz w:val="14"/>
          <w:szCs w:val="14"/>
          <w:color w:val="auto"/>
        </w:rPr>
        <w:t xml:space="preserve"> You will need the control number on your Notice of Internet Availability, proxy card or voting instruction form. Votes must be submitted by 11:59pm EDT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Call 1-800-Proxies (1-800-776-9437). You will need the control number on your Notice of Internet Availability, proxy card or voting instruction form. Votes must be submitted by 11:59pm EDT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You can vote my marking, signing and dating your proxy card.</w:t>
      </w:r>
    </w:p>
    <w:p>
      <w:pPr>
        <w:spacing w:after="0" w:line="634" w:lineRule="exact"/>
        <w:rPr>
          <w:sz w:val="20"/>
          <w:szCs w:val="20"/>
          <w:color w:val="auto"/>
        </w:rPr>
      </w:pPr>
    </w:p>
    <w:p>
      <w:pPr>
        <w:sectPr>
          <w:pgSz w:w="11900" w:h="16838" w:orient="portrait"/>
          <w:cols w:equalWidth="0" w:num="3">
            <w:col w:w="4060" w:space="120"/>
            <w:col w:w="3300" w:space="120"/>
            <w:col w:w="3620"/>
          </w:cols>
          <w:pgMar w:left="240" w:top="459" w:right="439" w:bottom="1440" w:gutter="0" w:footer="0" w:header="0"/>
          <w:type w:val="continuous"/>
        </w:sectPr>
      </w:pPr>
    </w:p>
    <w:p>
      <w:pPr>
        <w:jc w:val="both"/>
        <w:ind w:left="200"/>
        <w:spacing w:after="0" w:line="236" w:lineRule="auto"/>
        <w:rPr>
          <w:sz w:val="20"/>
          <w:szCs w:val="20"/>
          <w:color w:val="auto"/>
        </w:rPr>
      </w:pPr>
      <w:r>
        <w:rPr>
          <w:rFonts w:ascii="Arial" w:cs="Arial" w:eastAsia="Arial" w:hAnsi="Arial"/>
          <w:sz w:val="18"/>
          <w:szCs w:val="18"/>
          <w:color w:val="auto"/>
        </w:rPr>
        <w:t>For those of you holding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Items 1 and 2, your vote will NOT be counted for those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Item 3, your bank, brokerage firm, broker-dealer or nominee will generally be able to vote on Item 3 as he, she or it determines.</w:t>
      </w:r>
    </w:p>
    <w:p>
      <w:pPr>
        <w:spacing w:after="0" w:line="18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in person so that we will know as soon as possible whether enough votes will be present.</w:t>
      </w:r>
    </w:p>
    <w:p>
      <w:pPr>
        <w:spacing w:after="0" w:line="16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 xml:space="preserve">In the future, if you own your Shares directly and would like to receive proxy materials by email, you may register to do so at </w:t>
      </w:r>
      <w:r>
        <w:rPr>
          <w:rFonts w:ascii="Arial" w:cs="Arial" w:eastAsia="Arial" w:hAnsi="Arial"/>
          <w:sz w:val="18"/>
          <w:szCs w:val="18"/>
          <w:u w:val="single" w:color="auto"/>
          <w:color w:val="auto"/>
        </w:rPr>
        <w:t>www.astfinancial.com</w:t>
      </w:r>
      <w:r>
        <w:rPr>
          <w:rFonts w:ascii="Arial" w:cs="Arial" w:eastAsia="Arial" w:hAnsi="Arial"/>
          <w:sz w:val="18"/>
          <w:szCs w:val="18"/>
          <w:color w:val="auto"/>
        </w:rPr>
        <w:t xml:space="preserve"> in which case you will receive an email containing links to our proxy materials. If you own Shares through a bank, brokerage firm, broker-dealer or other similar nominee and want to receive proxy materials via email, you must contact your bank, brokerage firm, broker-dealer or other similar nominee for instructions. Your election to receive your proxy materials by email delivery will remain in effect for all future annual meetings until you revoke it.</w:t>
      </w:r>
    </w:p>
    <w:p>
      <w:pPr>
        <w:spacing w:after="0" w:line="162"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Form 10-K. If you elected to receive our shareholder materials via the Internet or email, you may request paper copies, without charge, by written request addressed to the address set forth above.</w:t>
      </w:r>
    </w:p>
    <w:p>
      <w:pPr>
        <w:spacing w:after="0" w:line="17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SEC’s rules permit us to deliver a single Notice or single set of Annual Meeting materials to one address shared by two or more of our shareholders unless we have received contrary instructions from shareholders. This procedure, referred to as “householding”, reduces the volume of duplicate information shareholders receive and can result in significant savings on mailing and printing costs. To take advantage of this opportunity, only one Notice, Proxy Statement and Annual Report is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 xml:space="preserve">being delivered to multiple shareholders who share a single address, unless any shareholder residing at that address gave contrary instructions. If any shareholder sharing an address with another shareholder wants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8"/>
          <w:szCs w:val="18"/>
          <w:u w:val="single" w:color="auto"/>
          <w:color w:val="auto"/>
        </w:rPr>
        <w:t>IR@federalrealty.com.</w:t>
      </w:r>
    </w:p>
    <w:p>
      <w:pPr>
        <w:spacing w:after="0" w:line="17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 xml:space="preserve">Questions regarding the Notice, voting or email delivery should be directed to our Investor Relations Department at (800) 937-5449 or by email at </w:t>
      </w:r>
      <w:r>
        <w:rPr>
          <w:rFonts w:ascii="Arial" w:cs="Arial" w:eastAsia="Arial" w:hAnsi="Arial"/>
          <w:sz w:val="18"/>
          <w:szCs w:val="18"/>
          <w:u w:val="single" w:color="auto"/>
          <w:color w:val="auto"/>
        </w:rPr>
        <w:t>IR@federalrealty.com.</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SOLICITATION OF PROXIES, SHAREHOLDER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Board of Trustees is soliciting your proxy to vote on matters that will be presented at our Annual Meeting and the cost of this solicitation of proxies will be borne by us. We may solicit proxies through the mail, Internet,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 The Trustees know of no other business to be presented at the Annual Meeting. If other matters properly come before the meeting, the persons named as proxies will vote on them in their discretion.</w:t>
      </w:r>
    </w:p>
    <w:p>
      <w:pPr>
        <w:spacing w:after="0" w:line="16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Proposals of shareholders intended to be presented at the 2019 Annual Meeting of Shareholders, including nominations for persons for election to the Board of Trustees, must be received by us no later than November 23, 2018 to be considered for inclusion in our proxy statement and form of proxy relating to such meeting.</w:t>
      </w:r>
    </w:p>
    <w:p>
      <w:pPr>
        <w:spacing w:after="0" w:line="17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You are urged to vote either by telephone (1-800-PROXIES or 1-800-776-9437) or on the Internet (www.voteproxy.com)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-1905</wp:posOffset>
            </wp:positionV>
            <wp:extent cx="2212340" cy="651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Dawn M. Becker</w:t>
      </w:r>
    </w:p>
    <w:p>
      <w:pPr>
        <w:ind w:left="6820"/>
        <w:spacing w:after="0" w:line="234" w:lineRule="auto"/>
        <w:rPr>
          <w:sz w:val="20"/>
          <w:szCs w:val="20"/>
          <w:color w:val="auto"/>
        </w:rPr>
      </w:pPr>
      <w:r>
        <w:rPr>
          <w:rFonts w:ascii="Arial" w:cs="Arial" w:eastAsia="Arial" w:hAnsi="Arial"/>
          <w:sz w:val="18"/>
          <w:szCs w:val="18"/>
          <w:i w:val="1"/>
          <w:iCs w:val="1"/>
          <w:color w:val="auto"/>
        </w:rPr>
        <w:t>Executive Vice President – General</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Counsel and Secretary</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PLEASE SUBMIT IT TODAY.</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APPENDIX A – 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12"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100" w:type="dxa"/>
            <w:vAlign w:val="bottom"/>
            <w:shd w:val="clear" w:color="auto" w:fill="1F2A44"/>
          </w:tcPr>
          <w:p>
            <w:pPr>
              <w:spacing w:after="0"/>
              <w:rPr>
                <w:sz w:val="19"/>
                <w:szCs w:val="19"/>
                <w:color w:val="auto"/>
              </w:rPr>
            </w:pPr>
          </w:p>
        </w:tc>
        <w:tc>
          <w:tcPr>
            <w:tcW w:w="300" w:type="dxa"/>
            <w:vAlign w:val="bottom"/>
            <w:shd w:val="clear" w:color="auto" w:fill="1F2A44"/>
          </w:tcPr>
          <w:p>
            <w:pPr>
              <w:spacing w:after="0"/>
              <w:rPr>
                <w:sz w:val="19"/>
                <w:szCs w:val="19"/>
                <w:color w:val="auto"/>
              </w:rPr>
            </w:pPr>
          </w:p>
        </w:tc>
        <w:tc>
          <w:tcPr>
            <w:tcW w:w="700" w:type="dxa"/>
            <w:vAlign w:val="bottom"/>
            <w:shd w:val="clear" w:color="auto" w:fill="1F2A44"/>
          </w:tcPr>
          <w:p>
            <w:pPr>
              <w:spacing w:after="0"/>
              <w:rPr>
                <w:sz w:val="19"/>
                <w:szCs w:val="19"/>
                <w:color w:val="auto"/>
              </w:rPr>
            </w:pPr>
          </w:p>
        </w:tc>
        <w:tc>
          <w:tcPr>
            <w:tcW w:w="300" w:type="dxa"/>
            <w:vAlign w:val="bottom"/>
            <w:shd w:val="clear" w:color="auto" w:fill="1F2A44"/>
          </w:tcPr>
          <w:p>
            <w:pPr>
              <w:spacing w:after="0"/>
              <w:rPr>
                <w:sz w:val="19"/>
                <w:szCs w:val="19"/>
                <w:color w:val="auto"/>
              </w:rPr>
            </w:pPr>
          </w:p>
        </w:tc>
        <w:tc>
          <w:tcPr>
            <w:tcW w:w="2720" w:type="dxa"/>
            <w:vAlign w:val="bottom"/>
            <w:gridSpan w:val="5"/>
            <w:shd w:val="clear" w:color="auto" w:fill="1F2A44"/>
          </w:tcPr>
          <w:p>
            <w:pPr>
              <w:jc w:val="right"/>
              <w:ind w:right="439"/>
              <w:spacing w:after="0"/>
              <w:rPr>
                <w:sz w:val="20"/>
                <w:szCs w:val="20"/>
                <w:color w:val="auto"/>
              </w:rPr>
            </w:pPr>
            <w:r>
              <w:rPr>
                <w:rFonts w:ascii="Arial" w:cs="Arial" w:eastAsia="Arial" w:hAnsi="Arial"/>
                <w:sz w:val="16"/>
                <w:szCs w:val="16"/>
                <w:b w:val="1"/>
                <w:bCs w:val="1"/>
                <w:color w:val="FFFFFF"/>
              </w:rPr>
              <w:t>Year Ended December 31,</w:t>
            </w:r>
          </w:p>
        </w:tc>
        <w:tc>
          <w:tcPr>
            <w:tcW w:w="180" w:type="dxa"/>
            <w:vAlign w:val="bottom"/>
            <w:shd w:val="clear" w:color="auto" w:fill="1F2A44"/>
          </w:tcPr>
          <w:p>
            <w:pPr>
              <w:spacing w:after="0"/>
              <w:rPr>
                <w:sz w:val="19"/>
                <w:szCs w:val="19"/>
                <w:color w:val="auto"/>
              </w:rPr>
            </w:pPr>
          </w:p>
        </w:tc>
        <w:tc>
          <w:tcPr>
            <w:tcW w:w="720" w:type="dxa"/>
            <w:vAlign w:val="bottom"/>
            <w:shd w:val="clear" w:color="auto" w:fill="1F2A44"/>
          </w:tcPr>
          <w:p>
            <w:pPr>
              <w:spacing w:after="0"/>
              <w:rPr>
                <w:sz w:val="19"/>
                <w:szCs w:val="19"/>
                <w:color w:val="auto"/>
              </w:rPr>
            </w:pPr>
          </w:p>
        </w:tc>
      </w:tr>
      <w:tr>
        <w:trPr>
          <w:trHeight w:val="224"/>
        </w:trPr>
        <w:tc>
          <w:tcPr>
            <w:tcW w:w="6100" w:type="dxa"/>
            <w:vAlign w:val="bottom"/>
            <w:shd w:val="clear" w:color="auto" w:fill="1F2A44"/>
          </w:tcPr>
          <w:p>
            <w:pPr>
              <w:spacing w:after="0"/>
              <w:rPr>
                <w:sz w:val="19"/>
                <w:szCs w:val="19"/>
                <w:color w:val="auto"/>
              </w:rPr>
            </w:pPr>
          </w:p>
        </w:tc>
        <w:tc>
          <w:tcPr>
            <w:tcW w:w="300" w:type="dxa"/>
            <w:vAlign w:val="bottom"/>
            <w:shd w:val="clear" w:color="auto" w:fill="1F2A44"/>
          </w:tcPr>
          <w:p>
            <w:pPr>
              <w:spacing w:after="0"/>
              <w:rPr>
                <w:sz w:val="19"/>
                <w:szCs w:val="19"/>
                <w:color w:val="auto"/>
              </w:rPr>
            </w:pPr>
          </w:p>
        </w:tc>
        <w:tc>
          <w:tcPr>
            <w:tcW w:w="700" w:type="dxa"/>
            <w:vAlign w:val="bottom"/>
            <w:shd w:val="clear" w:color="auto" w:fill="1F2A44"/>
          </w:tcPr>
          <w:p>
            <w:pPr>
              <w:jc w:val="right"/>
              <w:ind w:right="199"/>
              <w:spacing w:after="0"/>
              <w:rPr>
                <w:sz w:val="20"/>
                <w:szCs w:val="20"/>
                <w:color w:val="auto"/>
              </w:rPr>
            </w:pPr>
            <w:r>
              <w:rPr>
                <w:rFonts w:ascii="Arial" w:cs="Arial" w:eastAsia="Arial" w:hAnsi="Arial"/>
                <w:sz w:val="16"/>
                <w:szCs w:val="16"/>
                <w:b w:val="1"/>
                <w:bCs w:val="1"/>
                <w:color w:val="FFFFFF"/>
              </w:rPr>
              <w:t>2017</w:t>
            </w:r>
          </w:p>
        </w:tc>
        <w:tc>
          <w:tcPr>
            <w:tcW w:w="300" w:type="dxa"/>
            <w:vAlign w:val="bottom"/>
            <w:shd w:val="clear" w:color="auto" w:fill="1F2A44"/>
          </w:tcPr>
          <w:p>
            <w:pPr>
              <w:spacing w:after="0"/>
              <w:rPr>
                <w:sz w:val="19"/>
                <w:szCs w:val="19"/>
                <w:color w:val="auto"/>
              </w:rPr>
            </w:pPr>
          </w:p>
        </w:tc>
        <w:tc>
          <w:tcPr>
            <w:tcW w:w="780" w:type="dxa"/>
            <w:vAlign w:val="bottom"/>
            <w:shd w:val="clear" w:color="auto" w:fill="1F2A44"/>
          </w:tcPr>
          <w:p>
            <w:pPr>
              <w:jc w:val="right"/>
              <w:ind w:right="279"/>
              <w:spacing w:after="0"/>
              <w:rPr>
                <w:sz w:val="20"/>
                <w:szCs w:val="20"/>
                <w:color w:val="auto"/>
              </w:rPr>
            </w:pPr>
            <w:r>
              <w:rPr>
                <w:rFonts w:ascii="Arial" w:cs="Arial" w:eastAsia="Arial" w:hAnsi="Arial"/>
                <w:sz w:val="16"/>
                <w:szCs w:val="16"/>
                <w:b w:val="1"/>
                <w:bCs w:val="1"/>
                <w:color w:val="FFFFFF"/>
              </w:rPr>
              <w:t>2016</w:t>
            </w:r>
          </w:p>
        </w:tc>
        <w:tc>
          <w:tcPr>
            <w:tcW w:w="220" w:type="dxa"/>
            <w:vAlign w:val="bottom"/>
            <w:shd w:val="clear" w:color="auto" w:fill="1F2A44"/>
          </w:tcPr>
          <w:p>
            <w:pPr>
              <w:spacing w:after="0"/>
              <w:rPr>
                <w:sz w:val="19"/>
                <w:szCs w:val="19"/>
                <w:color w:val="auto"/>
              </w:rPr>
            </w:pPr>
          </w:p>
        </w:tc>
        <w:tc>
          <w:tcPr>
            <w:tcW w:w="780" w:type="dxa"/>
            <w:vAlign w:val="bottom"/>
            <w:shd w:val="clear" w:color="auto" w:fill="1F2A44"/>
          </w:tcPr>
          <w:p>
            <w:pPr>
              <w:jc w:val="right"/>
              <w:ind w:right="279"/>
              <w:spacing w:after="0"/>
              <w:rPr>
                <w:sz w:val="20"/>
                <w:szCs w:val="20"/>
                <w:color w:val="auto"/>
              </w:rPr>
            </w:pPr>
            <w:r>
              <w:rPr>
                <w:rFonts w:ascii="Arial" w:cs="Arial" w:eastAsia="Arial" w:hAnsi="Arial"/>
                <w:sz w:val="16"/>
                <w:szCs w:val="16"/>
                <w:b w:val="1"/>
                <w:bCs w:val="1"/>
                <w:color w:val="FFFFFF"/>
              </w:rPr>
              <w:t>2015</w:t>
            </w:r>
          </w:p>
        </w:tc>
        <w:tc>
          <w:tcPr>
            <w:tcW w:w="220" w:type="dxa"/>
            <w:vAlign w:val="bottom"/>
            <w:shd w:val="clear" w:color="auto" w:fill="1F2A44"/>
          </w:tcPr>
          <w:p>
            <w:pPr>
              <w:spacing w:after="0"/>
              <w:rPr>
                <w:sz w:val="19"/>
                <w:szCs w:val="19"/>
                <w:color w:val="auto"/>
              </w:rPr>
            </w:pPr>
          </w:p>
        </w:tc>
        <w:tc>
          <w:tcPr>
            <w:tcW w:w="720" w:type="dxa"/>
            <w:vAlign w:val="bottom"/>
            <w:shd w:val="clear" w:color="auto" w:fill="1F2A44"/>
          </w:tcPr>
          <w:p>
            <w:pPr>
              <w:jc w:val="right"/>
              <w:ind w:right="219"/>
              <w:spacing w:after="0"/>
              <w:rPr>
                <w:sz w:val="20"/>
                <w:szCs w:val="20"/>
                <w:color w:val="auto"/>
              </w:rPr>
            </w:pPr>
            <w:r>
              <w:rPr>
                <w:rFonts w:ascii="Arial" w:cs="Arial" w:eastAsia="Arial" w:hAnsi="Arial"/>
                <w:sz w:val="16"/>
                <w:szCs w:val="16"/>
                <w:b w:val="1"/>
                <w:bCs w:val="1"/>
                <w:color w:val="FFFFFF"/>
              </w:rPr>
              <w:t>2014</w:t>
            </w:r>
          </w:p>
        </w:tc>
        <w:tc>
          <w:tcPr>
            <w:tcW w:w="180" w:type="dxa"/>
            <w:vAlign w:val="bottom"/>
            <w:shd w:val="clear" w:color="auto" w:fill="1F2A44"/>
          </w:tcPr>
          <w:p>
            <w:pPr>
              <w:spacing w:after="0"/>
              <w:rPr>
                <w:sz w:val="19"/>
                <w:szCs w:val="19"/>
                <w:color w:val="auto"/>
              </w:rPr>
            </w:pPr>
          </w:p>
        </w:tc>
        <w:tc>
          <w:tcPr>
            <w:tcW w:w="720" w:type="dxa"/>
            <w:vAlign w:val="bottom"/>
            <w:shd w:val="clear" w:color="auto" w:fill="1F2A44"/>
          </w:tcPr>
          <w:p>
            <w:pPr>
              <w:jc w:val="right"/>
              <w:ind w:right="199"/>
              <w:spacing w:after="0"/>
              <w:rPr>
                <w:sz w:val="20"/>
                <w:szCs w:val="20"/>
                <w:color w:val="auto"/>
              </w:rPr>
            </w:pPr>
            <w:r>
              <w:rPr>
                <w:rFonts w:ascii="Arial" w:cs="Arial" w:eastAsia="Arial" w:hAnsi="Arial"/>
                <w:sz w:val="16"/>
                <w:szCs w:val="16"/>
                <w:b w:val="1"/>
                <w:bCs w:val="1"/>
                <w:color w:val="FFFFFF"/>
              </w:rPr>
              <w:t>2013</w:t>
            </w:r>
          </w:p>
        </w:tc>
      </w:tr>
      <w:tr>
        <w:trPr>
          <w:trHeight w:val="263"/>
        </w:trPr>
        <w:tc>
          <w:tcPr>
            <w:tcW w:w="6100" w:type="dxa"/>
            <w:vAlign w:val="bottom"/>
            <w:shd w:val="clear" w:color="auto" w:fill="1F2A44"/>
          </w:tcPr>
          <w:p>
            <w:pPr>
              <w:spacing w:after="0"/>
              <w:rPr>
                <w:sz w:val="22"/>
                <w:szCs w:val="22"/>
                <w:color w:val="auto"/>
              </w:rPr>
            </w:pPr>
          </w:p>
        </w:tc>
        <w:tc>
          <w:tcPr>
            <w:tcW w:w="300" w:type="dxa"/>
            <w:vAlign w:val="bottom"/>
            <w:shd w:val="clear" w:color="auto" w:fill="1F2A44"/>
          </w:tcPr>
          <w:p>
            <w:pPr>
              <w:spacing w:after="0"/>
              <w:rPr>
                <w:sz w:val="22"/>
                <w:szCs w:val="22"/>
                <w:color w:val="auto"/>
              </w:rPr>
            </w:pPr>
          </w:p>
        </w:tc>
        <w:tc>
          <w:tcPr>
            <w:tcW w:w="700" w:type="dxa"/>
            <w:vAlign w:val="bottom"/>
            <w:shd w:val="clear" w:color="auto" w:fill="1F2A44"/>
          </w:tcPr>
          <w:p>
            <w:pPr>
              <w:spacing w:after="0"/>
              <w:rPr>
                <w:sz w:val="22"/>
                <w:szCs w:val="22"/>
                <w:color w:val="auto"/>
              </w:rPr>
            </w:pPr>
          </w:p>
        </w:tc>
        <w:tc>
          <w:tcPr>
            <w:tcW w:w="3020" w:type="dxa"/>
            <w:vAlign w:val="bottom"/>
            <w:gridSpan w:val="6"/>
            <w:shd w:val="clear" w:color="auto" w:fill="1F2A44"/>
          </w:tcPr>
          <w:p>
            <w:pPr>
              <w:jc w:val="right"/>
              <w:spacing w:after="0"/>
              <w:rPr>
                <w:sz w:val="20"/>
                <w:szCs w:val="20"/>
                <w:color w:val="auto"/>
              </w:rPr>
            </w:pPr>
            <w:r>
              <w:rPr>
                <w:rFonts w:ascii="Arial" w:cs="Arial" w:eastAsia="Arial" w:hAnsi="Arial"/>
                <w:sz w:val="16"/>
                <w:szCs w:val="16"/>
                <w:b w:val="1"/>
                <w:bCs w:val="1"/>
                <w:color w:val="FFFFFF"/>
              </w:rPr>
              <w:t>(In thousands, except per share data)</w:t>
            </w:r>
          </w:p>
        </w:tc>
        <w:tc>
          <w:tcPr>
            <w:tcW w:w="180" w:type="dxa"/>
            <w:vAlign w:val="bottom"/>
            <w:shd w:val="clear" w:color="auto" w:fill="1F2A44"/>
          </w:tcPr>
          <w:p>
            <w:pPr>
              <w:spacing w:after="0"/>
              <w:rPr>
                <w:sz w:val="22"/>
                <w:szCs w:val="22"/>
                <w:color w:val="auto"/>
              </w:rPr>
            </w:pPr>
          </w:p>
        </w:tc>
        <w:tc>
          <w:tcPr>
            <w:tcW w:w="720" w:type="dxa"/>
            <w:vAlign w:val="bottom"/>
            <w:shd w:val="clear" w:color="auto" w:fill="1F2A44"/>
          </w:tcPr>
          <w:p>
            <w:pPr>
              <w:spacing w:after="0"/>
              <w:rPr>
                <w:sz w:val="22"/>
                <w:szCs w:val="22"/>
                <w:color w:val="auto"/>
              </w:rPr>
            </w:pPr>
          </w:p>
        </w:tc>
      </w:tr>
      <w:tr>
        <w:trPr>
          <w:trHeight w:val="230"/>
        </w:trPr>
        <w:tc>
          <w:tcPr>
            <w:tcW w:w="6100" w:type="dxa"/>
            <w:vAlign w:val="bottom"/>
            <w:shd w:val="clear" w:color="auto" w:fill="D2D4D9"/>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297,870</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rPr>
              <w:t>258,883</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rPr>
              <w:t>218,424</w:t>
            </w:r>
          </w:p>
        </w:tc>
        <w:tc>
          <w:tcPr>
            <w:tcW w:w="2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172,289</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167,608</w:t>
            </w:r>
          </w:p>
        </w:tc>
      </w:tr>
      <w:tr>
        <w:trPr>
          <w:trHeight w:val="220"/>
        </w:trPr>
        <w:tc>
          <w:tcPr>
            <w:tcW w:w="610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(7,956)</w:t>
            </w:r>
          </w:p>
        </w:tc>
        <w:tc>
          <w:tcPr>
            <w:tcW w:w="3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(8,973)</w:t>
            </w:r>
          </w:p>
        </w:tc>
        <w:tc>
          <w:tcPr>
            <w:tcW w:w="2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(8,205)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(7,754)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(4,927)</w:t>
            </w:r>
          </w:p>
        </w:tc>
      </w:tr>
      <w:tr>
        <w:trPr>
          <w:trHeight w:val="239"/>
        </w:trPr>
        <w:tc>
          <w:tcPr>
            <w:tcW w:w="6100" w:type="dxa"/>
            <w:vAlign w:val="bottom"/>
            <w:shd w:val="clear" w:color="auto" w:fill="D2D4D9"/>
          </w:tcPr>
          <w:p>
            <w:pPr>
              <w:ind w:left="40"/>
              <w:spacing w:after="0"/>
              <w:rPr>
                <w:sz w:val="20"/>
                <w:szCs w:val="20"/>
                <w:color w:val="auto"/>
              </w:rPr>
            </w:pPr>
            <w:r>
              <w:rPr>
                <w:rFonts w:ascii="Arial" w:cs="Arial" w:eastAsia="Arial" w:hAnsi="Arial"/>
                <w:sz w:val="16"/>
                <w:szCs w:val="16"/>
                <w:color w:val="auto"/>
              </w:rPr>
              <w:t>Gain on sale of real estate and change in control of interests, net</w:t>
            </w:r>
          </w:p>
        </w:tc>
        <w:tc>
          <w:tcPr>
            <w:tcW w:w="300" w:type="dxa"/>
            <w:vAlign w:val="bottom"/>
            <w:shd w:val="clear" w:color="auto" w:fill="D2D4D9"/>
          </w:tcPr>
          <w:p>
            <w:pPr>
              <w:spacing w:after="0"/>
              <w:rPr>
                <w:sz w:val="20"/>
                <w:szCs w:val="20"/>
                <w:color w:val="auto"/>
              </w:rPr>
            </w:pPr>
          </w:p>
        </w:tc>
        <w:tc>
          <w:tcPr>
            <w:tcW w:w="7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(77,632)</w:t>
            </w:r>
          </w:p>
        </w:tc>
        <w:tc>
          <w:tcPr>
            <w:tcW w:w="300" w:type="dxa"/>
            <w:vAlign w:val="bottom"/>
            <w:shd w:val="clear" w:color="auto" w:fill="D2D4D9"/>
          </w:tcPr>
          <w:p>
            <w:pPr>
              <w:spacing w:after="0"/>
              <w:rPr>
                <w:sz w:val="20"/>
                <w:szCs w:val="20"/>
                <w:color w:val="auto"/>
              </w:rPr>
            </w:pPr>
          </w:p>
        </w:tc>
        <w:tc>
          <w:tcPr>
            <w:tcW w:w="780" w:type="dxa"/>
            <w:vAlign w:val="bottom"/>
            <w:shd w:val="clear" w:color="auto" w:fill="D2D4D9"/>
          </w:tcPr>
          <w:p>
            <w:pPr>
              <w:jc w:val="right"/>
              <w:ind w:right="59"/>
              <w:spacing w:after="0"/>
              <w:rPr>
                <w:sz w:val="20"/>
                <w:szCs w:val="20"/>
                <w:color w:val="auto"/>
              </w:rPr>
            </w:pPr>
            <w:r>
              <w:rPr>
                <w:rFonts w:ascii="Arial" w:cs="Arial" w:eastAsia="Arial" w:hAnsi="Arial"/>
                <w:sz w:val="16"/>
                <w:szCs w:val="16"/>
                <w:color w:val="auto"/>
              </w:rPr>
              <w:t>(31,133)</w:t>
            </w:r>
          </w:p>
        </w:tc>
        <w:tc>
          <w:tcPr>
            <w:tcW w:w="220" w:type="dxa"/>
            <w:vAlign w:val="bottom"/>
            <w:shd w:val="clear" w:color="auto" w:fill="D2D4D9"/>
          </w:tcPr>
          <w:p>
            <w:pPr>
              <w:spacing w:after="0"/>
              <w:rPr>
                <w:sz w:val="20"/>
                <w:szCs w:val="20"/>
                <w:color w:val="auto"/>
              </w:rPr>
            </w:pPr>
          </w:p>
        </w:tc>
        <w:tc>
          <w:tcPr>
            <w:tcW w:w="780" w:type="dxa"/>
            <w:vAlign w:val="bottom"/>
            <w:shd w:val="clear" w:color="auto" w:fill="D2D4D9"/>
          </w:tcPr>
          <w:p>
            <w:pPr>
              <w:jc w:val="right"/>
              <w:ind w:right="59"/>
              <w:spacing w:after="0"/>
              <w:rPr>
                <w:sz w:val="20"/>
                <w:szCs w:val="20"/>
                <w:color w:val="auto"/>
              </w:rPr>
            </w:pPr>
            <w:r>
              <w:rPr>
                <w:rFonts w:ascii="Arial" w:cs="Arial" w:eastAsia="Arial" w:hAnsi="Arial"/>
                <w:sz w:val="16"/>
                <w:szCs w:val="16"/>
                <w:color w:val="auto"/>
              </w:rPr>
              <w:t>(28,330)</w:t>
            </w:r>
          </w:p>
        </w:tc>
        <w:tc>
          <w:tcPr>
            <w:tcW w:w="220" w:type="dxa"/>
            <w:vAlign w:val="bottom"/>
            <w:shd w:val="clear" w:color="auto" w:fill="D2D4D9"/>
          </w:tcPr>
          <w:p>
            <w:pPr>
              <w:spacing w:after="0"/>
              <w:rPr>
                <w:sz w:val="20"/>
                <w:szCs w:val="20"/>
                <w:color w:val="auto"/>
              </w:rPr>
            </w:pPr>
          </w:p>
        </w:tc>
        <w:tc>
          <w:tcPr>
            <w:tcW w:w="7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(4,401)</w:t>
            </w:r>
          </w:p>
        </w:tc>
        <w:tc>
          <w:tcPr>
            <w:tcW w:w="180" w:type="dxa"/>
            <w:vAlign w:val="bottom"/>
            <w:shd w:val="clear" w:color="auto" w:fill="D2D4D9"/>
          </w:tcPr>
          <w:p>
            <w:pPr>
              <w:spacing w:after="0"/>
              <w:rPr>
                <w:sz w:val="20"/>
                <w:szCs w:val="20"/>
                <w:color w:val="auto"/>
              </w:rPr>
            </w:pPr>
          </w:p>
        </w:tc>
        <w:tc>
          <w:tcPr>
            <w:tcW w:w="7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(28,855)</w:t>
            </w:r>
          </w:p>
        </w:tc>
      </w:tr>
      <w:tr>
        <w:trPr>
          <w:trHeight w:val="220"/>
        </w:trPr>
        <w:tc>
          <w:tcPr>
            <w:tcW w:w="6100" w:type="dxa"/>
            <w:vAlign w:val="bottom"/>
          </w:tcPr>
          <w:p>
            <w:pPr>
              <w:ind w:left="40"/>
              <w:spacing w:after="0"/>
              <w:rPr>
                <w:sz w:val="20"/>
                <w:szCs w:val="20"/>
                <w:color w:val="auto"/>
              </w:rPr>
            </w:pPr>
            <w:r>
              <w:rPr>
                <w:rFonts w:ascii="Arial" w:cs="Arial" w:eastAsia="Arial" w:hAnsi="Arial"/>
                <w:sz w:val="16"/>
                <w:szCs w:val="16"/>
                <w:color w:val="auto"/>
              </w:rPr>
              <w:t>Depreciation and amortization of real estate assets</w:t>
            </w:r>
          </w:p>
        </w:tc>
        <w:tc>
          <w:tcPr>
            <w:tcW w:w="3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188,719</w:t>
            </w:r>
          </w:p>
        </w:tc>
        <w:tc>
          <w:tcPr>
            <w:tcW w:w="30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169,198</w:t>
            </w:r>
          </w:p>
        </w:tc>
        <w:tc>
          <w:tcPr>
            <w:tcW w:w="22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154,232</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154,060</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146,377</w:t>
            </w:r>
          </w:p>
        </w:tc>
      </w:tr>
      <w:tr>
        <w:trPr>
          <w:trHeight w:val="233"/>
        </w:trPr>
        <w:tc>
          <w:tcPr>
            <w:tcW w:w="6100" w:type="dxa"/>
            <w:vAlign w:val="bottom"/>
            <w:tcBorders>
              <w:bottom w:val="single" w:sz="8" w:color="auto"/>
            </w:tcBorders>
            <w:shd w:val="clear" w:color="auto" w:fill="D2D4D9"/>
          </w:tcPr>
          <w:p>
            <w:pPr>
              <w:ind w:left="40"/>
              <w:spacing w:after="0"/>
              <w:rPr>
                <w:sz w:val="20"/>
                <w:szCs w:val="20"/>
                <w:color w:val="auto"/>
              </w:rPr>
            </w:pPr>
            <w:r>
              <w:rPr>
                <w:rFonts w:ascii="Arial" w:cs="Arial" w:eastAsia="Arial" w:hAnsi="Arial"/>
                <w:sz w:val="16"/>
                <w:szCs w:val="16"/>
                <w:color w:val="auto"/>
              </w:rPr>
              <w:t>Amortization of initial direct costs of leases</w:t>
            </w:r>
          </w:p>
        </w:tc>
        <w:tc>
          <w:tcPr>
            <w:tcW w:w="300" w:type="dxa"/>
            <w:vAlign w:val="bottom"/>
            <w:tcBorders>
              <w:bottom w:val="single" w:sz="8" w:color="auto"/>
            </w:tcBorders>
            <w:shd w:val="clear" w:color="auto" w:fill="D2D4D9"/>
          </w:tcPr>
          <w:p>
            <w:pPr>
              <w:spacing w:after="0"/>
              <w:rPr>
                <w:sz w:val="20"/>
                <w:szCs w:val="20"/>
                <w:color w:val="auto"/>
              </w:rPr>
            </w:pPr>
          </w:p>
        </w:tc>
        <w:tc>
          <w:tcPr>
            <w:tcW w:w="700" w:type="dxa"/>
            <w:vAlign w:val="bottom"/>
            <w:tcBorders>
              <w:bottom w:val="single" w:sz="8" w:color="auto"/>
            </w:tcBorders>
            <w:shd w:val="clear" w:color="auto" w:fill="D2D4D9"/>
          </w:tcPr>
          <w:p>
            <w:pPr>
              <w:jc w:val="right"/>
              <w:ind w:right="19"/>
              <w:spacing w:after="0"/>
              <w:rPr>
                <w:sz w:val="20"/>
                <w:szCs w:val="20"/>
                <w:color w:val="auto"/>
              </w:rPr>
            </w:pPr>
            <w:r>
              <w:rPr>
                <w:rFonts w:ascii="Arial" w:cs="Arial" w:eastAsia="Arial" w:hAnsi="Arial"/>
                <w:sz w:val="16"/>
                <w:szCs w:val="16"/>
                <w:color w:val="auto"/>
              </w:rPr>
              <w:t>19,124</w:t>
            </w:r>
          </w:p>
        </w:tc>
        <w:tc>
          <w:tcPr>
            <w:tcW w:w="300" w:type="dxa"/>
            <w:vAlign w:val="bottom"/>
            <w:tcBorders>
              <w:bottom w:val="single" w:sz="8" w:color="auto"/>
            </w:tcBorders>
            <w:shd w:val="clear" w:color="auto" w:fill="D2D4D9"/>
          </w:tcPr>
          <w:p>
            <w:pPr>
              <w:spacing w:after="0"/>
              <w:rPr>
                <w:sz w:val="20"/>
                <w:szCs w:val="20"/>
                <w:color w:val="auto"/>
              </w:rPr>
            </w:pPr>
          </w:p>
        </w:tc>
        <w:tc>
          <w:tcPr>
            <w:tcW w:w="780" w:type="dxa"/>
            <w:vAlign w:val="bottom"/>
            <w:tcBorders>
              <w:bottom w:val="single" w:sz="8" w:color="auto"/>
            </w:tcBorders>
            <w:shd w:val="clear" w:color="auto" w:fill="D2D4D9"/>
          </w:tcPr>
          <w:p>
            <w:pPr>
              <w:jc w:val="right"/>
              <w:ind w:right="99"/>
              <w:spacing w:after="0"/>
              <w:rPr>
                <w:sz w:val="20"/>
                <w:szCs w:val="20"/>
                <w:color w:val="auto"/>
              </w:rPr>
            </w:pPr>
            <w:r>
              <w:rPr>
                <w:rFonts w:ascii="Arial" w:cs="Arial" w:eastAsia="Arial" w:hAnsi="Arial"/>
                <w:sz w:val="16"/>
                <w:szCs w:val="16"/>
                <w:color w:val="auto"/>
              </w:rPr>
              <w:t>16,875</w:t>
            </w:r>
          </w:p>
        </w:tc>
        <w:tc>
          <w:tcPr>
            <w:tcW w:w="220" w:type="dxa"/>
            <w:vAlign w:val="bottom"/>
            <w:tcBorders>
              <w:bottom w:val="single" w:sz="8" w:color="auto"/>
            </w:tcBorders>
            <w:shd w:val="clear" w:color="auto" w:fill="D2D4D9"/>
          </w:tcPr>
          <w:p>
            <w:pPr>
              <w:spacing w:after="0"/>
              <w:rPr>
                <w:sz w:val="20"/>
                <w:szCs w:val="20"/>
                <w:color w:val="auto"/>
              </w:rPr>
            </w:pPr>
          </w:p>
        </w:tc>
        <w:tc>
          <w:tcPr>
            <w:tcW w:w="780" w:type="dxa"/>
            <w:vAlign w:val="bottom"/>
            <w:tcBorders>
              <w:bottom w:val="single" w:sz="8" w:color="auto"/>
            </w:tcBorders>
            <w:shd w:val="clear" w:color="auto" w:fill="D2D4D9"/>
          </w:tcPr>
          <w:p>
            <w:pPr>
              <w:jc w:val="right"/>
              <w:ind w:right="99"/>
              <w:spacing w:after="0"/>
              <w:rPr>
                <w:sz w:val="20"/>
                <w:szCs w:val="20"/>
                <w:color w:val="auto"/>
              </w:rPr>
            </w:pPr>
            <w:r>
              <w:rPr>
                <w:rFonts w:ascii="Arial" w:cs="Arial" w:eastAsia="Arial" w:hAnsi="Arial"/>
                <w:sz w:val="16"/>
                <w:szCs w:val="16"/>
                <w:color w:val="auto"/>
              </w:rPr>
              <w:t>15,026</w:t>
            </w:r>
          </w:p>
        </w:tc>
        <w:tc>
          <w:tcPr>
            <w:tcW w:w="220" w:type="dxa"/>
            <w:vAlign w:val="bottom"/>
            <w:tcBorders>
              <w:bottom w:val="single" w:sz="8" w:color="auto"/>
            </w:tcBorders>
            <w:shd w:val="clear" w:color="auto" w:fill="D2D4D9"/>
          </w:tcPr>
          <w:p>
            <w:pPr>
              <w:spacing w:after="0"/>
              <w:rPr>
                <w:sz w:val="20"/>
                <w:szCs w:val="20"/>
                <w:color w:val="auto"/>
              </w:rPr>
            </w:pPr>
          </w:p>
        </w:tc>
        <w:tc>
          <w:tcPr>
            <w:tcW w:w="720" w:type="dxa"/>
            <w:vAlign w:val="bottom"/>
            <w:tcBorders>
              <w:bottom w:val="single" w:sz="8" w:color="auto"/>
            </w:tcBorders>
            <w:shd w:val="clear" w:color="auto" w:fill="D2D4D9"/>
          </w:tcPr>
          <w:p>
            <w:pPr>
              <w:jc w:val="right"/>
              <w:ind w:right="39"/>
              <w:spacing w:after="0"/>
              <w:rPr>
                <w:sz w:val="20"/>
                <w:szCs w:val="20"/>
                <w:color w:val="auto"/>
              </w:rPr>
            </w:pPr>
            <w:r>
              <w:rPr>
                <w:rFonts w:ascii="Arial" w:cs="Arial" w:eastAsia="Arial" w:hAnsi="Arial"/>
                <w:sz w:val="16"/>
                <w:szCs w:val="16"/>
                <w:color w:val="auto"/>
              </w:rPr>
              <w:t>12,391</w:t>
            </w:r>
          </w:p>
        </w:tc>
        <w:tc>
          <w:tcPr>
            <w:tcW w:w="180" w:type="dxa"/>
            <w:vAlign w:val="bottom"/>
            <w:tcBorders>
              <w:bottom w:val="single" w:sz="8" w:color="auto"/>
            </w:tcBorders>
            <w:shd w:val="clear" w:color="auto" w:fill="D2D4D9"/>
          </w:tcPr>
          <w:p>
            <w:pPr>
              <w:spacing w:after="0"/>
              <w:rPr>
                <w:sz w:val="20"/>
                <w:szCs w:val="20"/>
                <w:color w:val="auto"/>
              </w:rPr>
            </w:pPr>
          </w:p>
        </w:tc>
        <w:tc>
          <w:tcPr>
            <w:tcW w:w="720" w:type="dxa"/>
            <w:vAlign w:val="bottom"/>
            <w:tcBorders>
              <w:bottom w:val="single" w:sz="8" w:color="auto"/>
            </w:tcBorders>
            <w:shd w:val="clear" w:color="auto" w:fill="D2D4D9"/>
          </w:tcPr>
          <w:p>
            <w:pPr>
              <w:jc w:val="right"/>
              <w:ind w:right="39"/>
              <w:spacing w:after="0"/>
              <w:rPr>
                <w:sz w:val="20"/>
                <w:szCs w:val="20"/>
                <w:color w:val="auto"/>
              </w:rPr>
            </w:pPr>
            <w:r>
              <w:rPr>
                <w:rFonts w:ascii="Arial" w:cs="Arial" w:eastAsia="Arial" w:hAnsi="Arial"/>
                <w:sz w:val="16"/>
                <w:szCs w:val="16"/>
                <w:color w:val="auto"/>
              </w:rPr>
              <w:t>10,694</w:t>
            </w:r>
          </w:p>
        </w:tc>
      </w:tr>
      <w:tr>
        <w:trPr>
          <w:trHeight w:val="220"/>
        </w:trPr>
        <w:tc>
          <w:tcPr>
            <w:tcW w:w="6100" w:type="dxa"/>
            <w:vAlign w:val="bottom"/>
          </w:tcPr>
          <w:p>
            <w:pPr>
              <w:ind w:left="400"/>
              <w:spacing w:after="0"/>
              <w:rPr>
                <w:sz w:val="20"/>
                <w:szCs w:val="20"/>
                <w:color w:val="auto"/>
              </w:rPr>
            </w:pPr>
            <w:r>
              <w:rPr>
                <w:rFonts w:ascii="Arial" w:cs="Arial" w:eastAsia="Arial" w:hAnsi="Arial"/>
                <w:sz w:val="16"/>
                <w:szCs w:val="16"/>
                <w:color w:val="auto"/>
              </w:rPr>
              <w:t>Funds from operations</w:t>
            </w:r>
          </w:p>
        </w:tc>
        <w:tc>
          <w:tcPr>
            <w:tcW w:w="3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420,125</w:t>
            </w:r>
          </w:p>
        </w:tc>
        <w:tc>
          <w:tcPr>
            <w:tcW w:w="30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404,850</w:t>
            </w:r>
          </w:p>
        </w:tc>
        <w:tc>
          <w:tcPr>
            <w:tcW w:w="22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351,147</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326,585</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290,897</w:t>
            </w:r>
          </w:p>
        </w:tc>
      </w:tr>
      <w:tr>
        <w:trPr>
          <w:trHeight w:val="239"/>
        </w:trPr>
        <w:tc>
          <w:tcPr>
            <w:tcW w:w="6100" w:type="dxa"/>
            <w:vAlign w:val="bottom"/>
            <w:shd w:val="clear" w:color="auto" w:fill="D2D4D9"/>
          </w:tcPr>
          <w:p>
            <w:pPr>
              <w:ind w:left="40"/>
              <w:spacing w:after="0" w:line="240" w:lineRule="exact"/>
              <w:rPr>
                <w:sz w:val="20"/>
                <w:szCs w:val="20"/>
                <w:color w:val="auto"/>
              </w:rPr>
            </w:pPr>
            <w:r>
              <w:rPr>
                <w:rFonts w:ascii="Arial" w:cs="Arial" w:eastAsia="Arial" w:hAnsi="Arial"/>
                <w:sz w:val="16"/>
                <w:szCs w:val="16"/>
                <w:color w:val="auto"/>
              </w:rPr>
              <w:t>Dividends on preferred shares</w:t>
            </w:r>
            <w:r>
              <w:rPr>
                <w:rFonts w:ascii="Arial" w:cs="Arial" w:eastAsia="Arial" w:hAnsi="Arial"/>
                <w:sz w:val="27"/>
                <w:szCs w:val="27"/>
                <w:color w:val="auto"/>
                <w:vertAlign w:val="superscript"/>
              </w:rPr>
              <w:t>(1)</w:t>
            </w:r>
          </w:p>
        </w:tc>
        <w:tc>
          <w:tcPr>
            <w:tcW w:w="300" w:type="dxa"/>
            <w:vAlign w:val="bottom"/>
            <w:shd w:val="clear" w:color="auto" w:fill="D2D4D9"/>
          </w:tcPr>
          <w:p>
            <w:pPr>
              <w:spacing w:after="0"/>
              <w:rPr>
                <w:sz w:val="20"/>
                <w:szCs w:val="20"/>
                <w:color w:val="auto"/>
              </w:rPr>
            </w:pPr>
          </w:p>
        </w:tc>
        <w:tc>
          <w:tcPr>
            <w:tcW w:w="7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(1,917)</w:t>
            </w:r>
          </w:p>
        </w:tc>
        <w:tc>
          <w:tcPr>
            <w:tcW w:w="300" w:type="dxa"/>
            <w:vAlign w:val="bottom"/>
            <w:shd w:val="clear" w:color="auto" w:fill="D2D4D9"/>
          </w:tcPr>
          <w:p>
            <w:pPr>
              <w:spacing w:after="0"/>
              <w:rPr>
                <w:sz w:val="20"/>
                <w:szCs w:val="20"/>
                <w:color w:val="auto"/>
              </w:rPr>
            </w:pPr>
          </w:p>
        </w:tc>
        <w:tc>
          <w:tcPr>
            <w:tcW w:w="780" w:type="dxa"/>
            <w:vAlign w:val="bottom"/>
            <w:shd w:val="clear" w:color="auto" w:fill="D2D4D9"/>
          </w:tcPr>
          <w:p>
            <w:pPr>
              <w:jc w:val="right"/>
              <w:ind w:right="59"/>
              <w:spacing w:after="0"/>
              <w:rPr>
                <w:sz w:val="20"/>
                <w:szCs w:val="20"/>
                <w:color w:val="auto"/>
              </w:rPr>
            </w:pPr>
            <w:r>
              <w:rPr>
                <w:rFonts w:ascii="Arial" w:cs="Arial" w:eastAsia="Arial" w:hAnsi="Arial"/>
                <w:sz w:val="16"/>
                <w:szCs w:val="16"/>
                <w:color w:val="auto"/>
              </w:rPr>
              <w:t>(541)</w:t>
            </w:r>
          </w:p>
        </w:tc>
        <w:tc>
          <w:tcPr>
            <w:tcW w:w="220" w:type="dxa"/>
            <w:vAlign w:val="bottom"/>
            <w:shd w:val="clear" w:color="auto" w:fill="D2D4D9"/>
          </w:tcPr>
          <w:p>
            <w:pPr>
              <w:spacing w:after="0"/>
              <w:rPr>
                <w:sz w:val="20"/>
                <w:szCs w:val="20"/>
                <w:color w:val="auto"/>
              </w:rPr>
            </w:pPr>
          </w:p>
        </w:tc>
        <w:tc>
          <w:tcPr>
            <w:tcW w:w="780" w:type="dxa"/>
            <w:vAlign w:val="bottom"/>
            <w:shd w:val="clear" w:color="auto" w:fill="D2D4D9"/>
          </w:tcPr>
          <w:p>
            <w:pPr>
              <w:jc w:val="right"/>
              <w:ind w:right="59"/>
              <w:spacing w:after="0"/>
              <w:rPr>
                <w:sz w:val="20"/>
                <w:szCs w:val="20"/>
                <w:color w:val="auto"/>
              </w:rPr>
            </w:pPr>
            <w:r>
              <w:rPr>
                <w:rFonts w:ascii="Arial" w:cs="Arial" w:eastAsia="Arial" w:hAnsi="Arial"/>
                <w:sz w:val="16"/>
                <w:szCs w:val="16"/>
                <w:color w:val="auto"/>
              </w:rPr>
              <w:t>(541)</w:t>
            </w:r>
          </w:p>
        </w:tc>
        <w:tc>
          <w:tcPr>
            <w:tcW w:w="220" w:type="dxa"/>
            <w:vAlign w:val="bottom"/>
            <w:shd w:val="clear" w:color="auto" w:fill="D2D4D9"/>
          </w:tcPr>
          <w:p>
            <w:pPr>
              <w:spacing w:after="0"/>
              <w:rPr>
                <w:sz w:val="20"/>
                <w:szCs w:val="20"/>
                <w:color w:val="auto"/>
              </w:rPr>
            </w:pPr>
          </w:p>
        </w:tc>
        <w:tc>
          <w:tcPr>
            <w:tcW w:w="7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(541)</w:t>
            </w:r>
          </w:p>
        </w:tc>
        <w:tc>
          <w:tcPr>
            <w:tcW w:w="180" w:type="dxa"/>
            <w:vAlign w:val="bottom"/>
            <w:shd w:val="clear" w:color="auto" w:fill="D2D4D9"/>
          </w:tcPr>
          <w:p>
            <w:pPr>
              <w:spacing w:after="0"/>
              <w:rPr>
                <w:sz w:val="20"/>
                <w:szCs w:val="20"/>
                <w:color w:val="auto"/>
              </w:rPr>
            </w:pPr>
          </w:p>
        </w:tc>
        <w:tc>
          <w:tcPr>
            <w:tcW w:w="720" w:type="dxa"/>
            <w:vAlign w:val="bottom"/>
            <w:shd w:val="clear" w:color="auto" w:fill="D2D4D9"/>
          </w:tcPr>
          <w:p>
            <w:pPr>
              <w:jc w:val="right"/>
              <w:spacing w:after="0"/>
              <w:rPr>
                <w:sz w:val="20"/>
                <w:szCs w:val="20"/>
                <w:color w:val="auto"/>
              </w:rPr>
            </w:pPr>
            <w:r>
              <w:rPr>
                <w:rFonts w:ascii="Arial" w:cs="Arial" w:eastAsia="Arial" w:hAnsi="Arial"/>
                <w:sz w:val="16"/>
                <w:szCs w:val="16"/>
                <w:color w:val="auto"/>
              </w:rPr>
              <w:t>(541)</w:t>
            </w:r>
          </w:p>
        </w:tc>
      </w:tr>
      <w:tr>
        <w:trPr>
          <w:trHeight w:val="220"/>
        </w:trPr>
        <w:tc>
          <w:tcPr>
            <w:tcW w:w="6100" w:type="dxa"/>
            <w:vAlign w:val="bottom"/>
          </w:tcPr>
          <w:p>
            <w:pPr>
              <w:ind w:left="40"/>
              <w:spacing w:after="0"/>
              <w:rPr>
                <w:sz w:val="20"/>
                <w:szCs w:val="20"/>
                <w:color w:val="auto"/>
              </w:rPr>
            </w:pPr>
            <w:r>
              <w:rPr>
                <w:rFonts w:ascii="Arial" w:cs="Arial" w:eastAsia="Arial" w:hAnsi="Arial"/>
                <w:sz w:val="16"/>
                <w:szCs w:val="16"/>
                <w:color w:val="auto"/>
              </w:rPr>
              <w:t>Income attributable to operating partnership units</w:t>
            </w:r>
          </w:p>
        </w:tc>
        <w:tc>
          <w:tcPr>
            <w:tcW w:w="3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3,143</w:t>
            </w:r>
          </w:p>
        </w:tc>
        <w:tc>
          <w:tcPr>
            <w:tcW w:w="30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3,145</w:t>
            </w:r>
          </w:p>
        </w:tc>
        <w:tc>
          <w:tcPr>
            <w:tcW w:w="22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3,398</w:t>
            </w: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3,027</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888</w:t>
            </w:r>
          </w:p>
        </w:tc>
      </w:tr>
      <w:tr>
        <w:trPr>
          <w:trHeight w:val="246"/>
        </w:trPr>
        <w:tc>
          <w:tcPr>
            <w:tcW w:w="6100" w:type="dxa"/>
            <w:vAlign w:val="bottom"/>
            <w:tcBorders>
              <w:bottom w:val="single" w:sz="8" w:color="auto"/>
            </w:tcBorders>
            <w:shd w:val="clear" w:color="auto" w:fill="D2D4D9"/>
          </w:tcPr>
          <w:p>
            <w:pPr>
              <w:ind w:left="40"/>
              <w:spacing w:after="0"/>
              <w:rPr>
                <w:sz w:val="20"/>
                <w:szCs w:val="20"/>
                <w:color w:val="auto"/>
              </w:rPr>
            </w:pPr>
            <w:r>
              <w:rPr>
                <w:rFonts w:ascii="Arial" w:cs="Arial" w:eastAsia="Arial" w:hAnsi="Arial"/>
                <w:sz w:val="16"/>
                <w:szCs w:val="16"/>
                <w:color w:val="auto"/>
              </w:rPr>
              <w:t>Income attributable to unvested shares</w:t>
            </w:r>
          </w:p>
        </w:tc>
        <w:tc>
          <w:tcPr>
            <w:tcW w:w="300" w:type="dxa"/>
            <w:vAlign w:val="bottom"/>
            <w:tcBorders>
              <w:bottom w:val="single" w:sz="8" w:color="auto"/>
            </w:tcBorders>
            <w:shd w:val="clear" w:color="auto" w:fill="D2D4D9"/>
          </w:tcPr>
          <w:p>
            <w:pPr>
              <w:spacing w:after="0"/>
              <w:rPr>
                <w:sz w:val="21"/>
                <w:szCs w:val="21"/>
                <w:color w:val="auto"/>
              </w:rPr>
            </w:pPr>
          </w:p>
        </w:tc>
        <w:tc>
          <w:tcPr>
            <w:tcW w:w="700" w:type="dxa"/>
            <w:vAlign w:val="bottom"/>
            <w:tcBorders>
              <w:bottom w:val="single" w:sz="8" w:color="auto"/>
            </w:tcBorders>
            <w:shd w:val="clear" w:color="auto" w:fill="D2D4D9"/>
          </w:tcPr>
          <w:p>
            <w:pPr>
              <w:jc w:val="right"/>
              <w:spacing w:after="0"/>
              <w:rPr>
                <w:sz w:val="20"/>
                <w:szCs w:val="20"/>
                <w:color w:val="auto"/>
              </w:rPr>
            </w:pPr>
            <w:r>
              <w:rPr>
                <w:rFonts w:ascii="Arial" w:cs="Arial" w:eastAsia="Arial" w:hAnsi="Arial"/>
                <w:sz w:val="16"/>
                <w:szCs w:val="16"/>
                <w:color w:val="auto"/>
              </w:rPr>
              <w:t>(1,374)</w:t>
            </w:r>
          </w:p>
        </w:tc>
        <w:tc>
          <w:tcPr>
            <w:tcW w:w="300" w:type="dxa"/>
            <w:vAlign w:val="bottom"/>
            <w:tcBorders>
              <w:bottom w:val="single" w:sz="8" w:color="auto"/>
            </w:tcBorders>
            <w:shd w:val="clear" w:color="auto" w:fill="D2D4D9"/>
          </w:tcPr>
          <w:p>
            <w:pPr>
              <w:spacing w:after="0"/>
              <w:rPr>
                <w:sz w:val="21"/>
                <w:szCs w:val="21"/>
                <w:color w:val="auto"/>
              </w:rPr>
            </w:pPr>
          </w:p>
        </w:tc>
        <w:tc>
          <w:tcPr>
            <w:tcW w:w="780" w:type="dxa"/>
            <w:vAlign w:val="bottom"/>
            <w:tcBorders>
              <w:bottom w:val="single" w:sz="8" w:color="auto"/>
            </w:tcBorders>
            <w:shd w:val="clear" w:color="auto" w:fill="D2D4D9"/>
          </w:tcPr>
          <w:p>
            <w:pPr>
              <w:jc w:val="right"/>
              <w:ind w:right="59"/>
              <w:spacing w:after="0"/>
              <w:rPr>
                <w:sz w:val="20"/>
                <w:szCs w:val="20"/>
                <w:color w:val="auto"/>
              </w:rPr>
            </w:pPr>
            <w:r>
              <w:rPr>
                <w:rFonts w:ascii="Arial" w:cs="Arial" w:eastAsia="Arial" w:hAnsi="Arial"/>
                <w:sz w:val="16"/>
                <w:szCs w:val="16"/>
                <w:color w:val="auto"/>
              </w:rPr>
              <w:t>(1,095)</w:t>
            </w:r>
          </w:p>
        </w:tc>
        <w:tc>
          <w:tcPr>
            <w:tcW w:w="220" w:type="dxa"/>
            <w:vAlign w:val="bottom"/>
            <w:tcBorders>
              <w:bottom w:val="single" w:sz="8" w:color="auto"/>
            </w:tcBorders>
            <w:shd w:val="clear" w:color="auto" w:fill="D2D4D9"/>
          </w:tcPr>
          <w:p>
            <w:pPr>
              <w:spacing w:after="0"/>
              <w:rPr>
                <w:sz w:val="21"/>
                <w:szCs w:val="21"/>
                <w:color w:val="auto"/>
              </w:rPr>
            </w:pPr>
          </w:p>
        </w:tc>
        <w:tc>
          <w:tcPr>
            <w:tcW w:w="780" w:type="dxa"/>
            <w:vAlign w:val="bottom"/>
            <w:tcBorders>
              <w:bottom w:val="single" w:sz="8" w:color="auto"/>
            </w:tcBorders>
            <w:shd w:val="clear" w:color="auto" w:fill="D2D4D9"/>
          </w:tcPr>
          <w:p>
            <w:pPr>
              <w:jc w:val="right"/>
              <w:ind w:right="59"/>
              <w:spacing w:after="0"/>
              <w:rPr>
                <w:sz w:val="20"/>
                <w:szCs w:val="20"/>
                <w:color w:val="auto"/>
              </w:rPr>
            </w:pPr>
            <w:r>
              <w:rPr>
                <w:rFonts w:ascii="Arial" w:cs="Arial" w:eastAsia="Arial" w:hAnsi="Arial"/>
                <w:sz w:val="16"/>
                <w:szCs w:val="16"/>
                <w:color w:val="auto"/>
              </w:rPr>
              <w:t>(1,147)</w:t>
            </w:r>
          </w:p>
        </w:tc>
        <w:tc>
          <w:tcPr>
            <w:tcW w:w="220" w:type="dxa"/>
            <w:vAlign w:val="bottom"/>
            <w:tcBorders>
              <w:bottom w:val="single" w:sz="8" w:color="auto"/>
            </w:tcBorders>
            <w:shd w:val="clear" w:color="auto" w:fill="D2D4D9"/>
          </w:tcPr>
          <w:p>
            <w:pPr>
              <w:spacing w:after="0"/>
              <w:rPr>
                <w:sz w:val="21"/>
                <w:szCs w:val="21"/>
                <w:color w:val="auto"/>
              </w:rPr>
            </w:pPr>
          </w:p>
        </w:tc>
        <w:tc>
          <w:tcPr>
            <w:tcW w:w="720" w:type="dxa"/>
            <w:vAlign w:val="bottom"/>
            <w:tcBorders>
              <w:bottom w:val="single" w:sz="8" w:color="auto"/>
            </w:tcBorders>
            <w:shd w:val="clear" w:color="auto" w:fill="D2D4D9"/>
          </w:tcPr>
          <w:p>
            <w:pPr>
              <w:jc w:val="right"/>
              <w:spacing w:after="0"/>
              <w:rPr>
                <w:sz w:val="20"/>
                <w:szCs w:val="20"/>
                <w:color w:val="auto"/>
              </w:rPr>
            </w:pPr>
            <w:r>
              <w:rPr>
                <w:rFonts w:ascii="Arial" w:cs="Arial" w:eastAsia="Arial" w:hAnsi="Arial"/>
                <w:sz w:val="16"/>
                <w:szCs w:val="16"/>
                <w:color w:val="auto"/>
              </w:rPr>
              <w:t>(1,474)</w:t>
            </w:r>
          </w:p>
        </w:tc>
        <w:tc>
          <w:tcPr>
            <w:tcW w:w="180" w:type="dxa"/>
            <w:vAlign w:val="bottom"/>
            <w:tcBorders>
              <w:bottom w:val="single" w:sz="8" w:color="auto"/>
            </w:tcBorders>
            <w:shd w:val="clear" w:color="auto" w:fill="D2D4D9"/>
          </w:tcPr>
          <w:p>
            <w:pPr>
              <w:spacing w:after="0"/>
              <w:rPr>
                <w:sz w:val="21"/>
                <w:szCs w:val="21"/>
                <w:color w:val="auto"/>
              </w:rPr>
            </w:pPr>
          </w:p>
        </w:tc>
        <w:tc>
          <w:tcPr>
            <w:tcW w:w="720" w:type="dxa"/>
            <w:vAlign w:val="bottom"/>
            <w:tcBorders>
              <w:bottom w:val="single" w:sz="8" w:color="auto"/>
            </w:tcBorders>
            <w:shd w:val="clear" w:color="auto" w:fill="D2D4D9"/>
          </w:tcPr>
          <w:p>
            <w:pPr>
              <w:jc w:val="right"/>
              <w:spacing w:after="0"/>
              <w:rPr>
                <w:sz w:val="20"/>
                <w:szCs w:val="20"/>
                <w:color w:val="auto"/>
              </w:rPr>
            </w:pPr>
            <w:r>
              <w:rPr>
                <w:rFonts w:ascii="Arial" w:cs="Arial" w:eastAsia="Arial" w:hAnsi="Arial"/>
                <w:sz w:val="16"/>
                <w:szCs w:val="16"/>
                <w:color w:val="auto"/>
              </w:rPr>
              <w:t>(1,306)</w:t>
            </w:r>
          </w:p>
        </w:tc>
      </w:tr>
      <w:tr>
        <w:trPr>
          <w:trHeight w:val="230"/>
        </w:trPr>
        <w:tc>
          <w:tcPr>
            <w:tcW w:w="6100" w:type="dxa"/>
            <w:vAlign w:val="bottom"/>
            <w:tcBorders>
              <w:bottom w:val="single" w:sz="8" w:color="auto"/>
            </w:tcBorders>
          </w:tcPr>
          <w:p>
            <w:pPr>
              <w:ind w:left="400"/>
              <w:spacing w:after="0" w:line="230" w:lineRule="exact"/>
              <w:rPr>
                <w:sz w:val="20"/>
                <w:szCs w:val="20"/>
                <w:color w:val="auto"/>
              </w:rPr>
            </w:pPr>
            <w:r>
              <w:rPr>
                <w:rFonts w:ascii="Arial" w:cs="Arial" w:eastAsia="Arial" w:hAnsi="Arial"/>
                <w:sz w:val="16"/>
                <w:szCs w:val="16"/>
                <w:color w:val="auto"/>
              </w:rPr>
              <w:t>Funds from operations available for common shareholders</w:t>
            </w:r>
            <w:r>
              <w:rPr>
                <w:rFonts w:ascii="Arial" w:cs="Arial" w:eastAsia="Arial" w:hAnsi="Arial"/>
                <w:sz w:val="26"/>
                <w:szCs w:val="26"/>
                <w:color w:val="auto"/>
                <w:vertAlign w:val="superscript"/>
              </w:rPr>
              <w:t>(2)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419,977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406,359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352,857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327,597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289,938</w:t>
            </w:r>
          </w:p>
        </w:tc>
      </w:tr>
      <w:tr>
        <w:trPr>
          <w:trHeight w:val="223"/>
        </w:trPr>
        <w:tc>
          <w:tcPr>
            <w:tcW w:w="6100" w:type="dxa"/>
            <w:vAlign w:val="bottom"/>
            <w:shd w:val="clear" w:color="auto" w:fill="D2D4D9"/>
          </w:tcPr>
          <w:p>
            <w:pPr>
              <w:ind w:left="40"/>
              <w:spacing w:after="0" w:line="223" w:lineRule="exact"/>
              <w:rPr>
                <w:sz w:val="20"/>
                <w:szCs w:val="20"/>
                <w:color w:val="auto"/>
              </w:rPr>
            </w:pPr>
            <w:r>
              <w:rPr>
                <w:rFonts w:ascii="Arial" w:cs="Arial" w:eastAsia="Arial" w:hAnsi="Arial"/>
                <w:sz w:val="15"/>
                <w:szCs w:val="15"/>
                <w:color w:val="auto"/>
              </w:rPr>
              <w:t>Weighted average number of common shares, diluted</w:t>
            </w:r>
            <w:r>
              <w:rPr>
                <w:rFonts w:ascii="Arial" w:cs="Arial" w:eastAsia="Arial" w:hAnsi="Arial"/>
                <w:sz w:val="25"/>
                <w:szCs w:val="25"/>
                <w:color w:val="auto"/>
                <w:vertAlign w:val="superscript"/>
              </w:rPr>
              <w:t>(1)</w:t>
            </w:r>
          </w:p>
        </w:tc>
        <w:tc>
          <w:tcPr>
            <w:tcW w:w="300" w:type="dxa"/>
            <w:vAlign w:val="bottom"/>
            <w:shd w:val="clear" w:color="auto" w:fill="D2D4D9"/>
          </w:tcPr>
          <w:p>
            <w:pPr>
              <w:spacing w:after="0"/>
              <w:rPr>
                <w:sz w:val="19"/>
                <w:szCs w:val="19"/>
                <w:color w:val="auto"/>
              </w:rPr>
            </w:pP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73,122</w:t>
            </w:r>
          </w:p>
        </w:tc>
        <w:tc>
          <w:tcPr>
            <w:tcW w:w="300" w:type="dxa"/>
            <w:vAlign w:val="bottom"/>
            <w:shd w:val="clear" w:color="auto" w:fill="D2D4D9"/>
          </w:tcPr>
          <w:p>
            <w:pPr>
              <w:spacing w:after="0"/>
              <w:rPr>
                <w:sz w:val="19"/>
                <w:szCs w:val="19"/>
                <w:color w:val="auto"/>
              </w:rPr>
            </w:pPr>
          </w:p>
        </w:tc>
        <w:tc>
          <w:tcPr>
            <w:tcW w:w="78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rPr>
              <w:t>71,869</w:t>
            </w:r>
          </w:p>
        </w:tc>
        <w:tc>
          <w:tcPr>
            <w:tcW w:w="220" w:type="dxa"/>
            <w:vAlign w:val="bottom"/>
            <w:shd w:val="clear" w:color="auto" w:fill="D2D4D9"/>
          </w:tcPr>
          <w:p>
            <w:pPr>
              <w:spacing w:after="0"/>
              <w:rPr>
                <w:sz w:val="19"/>
                <w:szCs w:val="19"/>
                <w:color w:val="auto"/>
              </w:rPr>
            </w:pPr>
          </w:p>
        </w:tc>
        <w:tc>
          <w:tcPr>
            <w:tcW w:w="78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rPr>
              <w:t>69,920</w:t>
            </w:r>
          </w:p>
        </w:tc>
        <w:tc>
          <w:tcPr>
            <w:tcW w:w="220" w:type="dxa"/>
            <w:vAlign w:val="bottom"/>
            <w:shd w:val="clear" w:color="auto" w:fill="D2D4D9"/>
          </w:tcPr>
          <w:p>
            <w:pPr>
              <w:spacing w:after="0"/>
              <w:rPr>
                <w:sz w:val="19"/>
                <w:szCs w:val="19"/>
                <w:color w:val="auto"/>
              </w:rPr>
            </w:pPr>
          </w:p>
        </w:tc>
        <w:tc>
          <w:tcPr>
            <w:tcW w:w="72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68,410</w:t>
            </w:r>
          </w:p>
        </w:tc>
        <w:tc>
          <w:tcPr>
            <w:tcW w:w="180" w:type="dxa"/>
            <w:vAlign w:val="bottom"/>
            <w:shd w:val="clear" w:color="auto" w:fill="D2D4D9"/>
          </w:tcPr>
          <w:p>
            <w:pPr>
              <w:spacing w:after="0"/>
              <w:rPr>
                <w:sz w:val="19"/>
                <w:szCs w:val="19"/>
                <w:color w:val="auto"/>
              </w:rPr>
            </w:pPr>
          </w:p>
        </w:tc>
        <w:tc>
          <w:tcPr>
            <w:tcW w:w="72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65,778</w:t>
            </w:r>
          </w:p>
        </w:tc>
      </w:tr>
      <w:tr>
        <w:trPr>
          <w:trHeight w:val="230"/>
        </w:trPr>
        <w:tc>
          <w:tcPr>
            <w:tcW w:w="610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6"/>
                <w:szCs w:val="16"/>
                <w:color w:val="auto"/>
              </w:rPr>
              <w:t>Funds from operations available for common shareholders, per diluted share</w:t>
            </w:r>
            <w:r>
              <w:rPr>
                <w:rFonts w:ascii="Arial" w:cs="Arial" w:eastAsia="Arial" w:hAnsi="Arial"/>
                <w:sz w:val="26"/>
                <w:szCs w:val="26"/>
                <w:color w:val="auto"/>
                <w:vertAlign w:val="superscript"/>
              </w:rPr>
              <w:t>(2)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-1946275</wp:posOffset>
            </wp:positionV>
            <wp:extent cx="29159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-2100580</wp:posOffset>
            </wp:positionV>
            <wp:extent cx="29159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jc w:val="both"/>
        <w:ind w:left="640" w:right="20" w:hanging="436"/>
        <w:spacing w:after="0" w:line="23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year ended December 31, 2017, dividends on our Series 1 preferred stock are not deducted in the calculation of FFO available to common shareholders, as the related shares are dilutive and included in “weighted average common shares, diluted.” The weighted average common shares used to compute FFO per diluted common share also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3"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$12.3 million early extinguishment of debt charge incurred in 2017 was excluded, our FFO available for common shareholders would have been $432.2 million and FFO available for common shareholders, per diluted share would have been $5.91.</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306310" cy="7031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6310" cy="70319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220345</wp:posOffset>
            </wp:positionV>
            <wp:extent cx="5866130" cy="7031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6130" cy="70319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220345</wp:posOffset>
            </wp:positionV>
            <wp:extent cx="5591175" cy="7031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91175" cy="70319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decimal"/>
      <w:start w:val="1"/>
    </w:lvl>
    <w:lvl w:ilvl="1">
      <w:lvlJc w:val="left"/>
      <w:lvlText w:val="(%2)"/>
      <w:numFmt w:val="lowerLetter"/>
      <w:start w:val="2"/>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4"/>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Ø"/>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Ø"/>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2019-12-05T05:04:04Z</dcterms:created>
  <dcterms:modified xsi:type="dcterms:W3CDTF">2019-12-05T05:04:04Z</dcterms:modified>
</cp:coreProperties>
</file>