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3"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172"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182"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Date of Report (Date of earliest event reported) August 1, 2007</w:t>
      </w:r>
    </w:p>
    <w:p>
      <w:pPr>
        <w:spacing w:after="0" w:line="136" w:lineRule="exact"/>
        <w:rPr>
          <w:sz w:val="24"/>
          <w:szCs w:val="24"/>
          <w:color w:val="auto"/>
        </w:rPr>
      </w:pPr>
    </w:p>
    <w:p>
      <w:pPr>
        <w:jc w:val="center"/>
        <w:ind w:right="-399"/>
        <w:spacing w:after="0"/>
        <w:rPr>
          <w:sz w:val="20"/>
          <w:szCs w:val="20"/>
          <w:color w:val="auto"/>
        </w:rPr>
      </w:pPr>
      <w:r>
        <w:rPr>
          <w:rFonts w:ascii="Arial" w:cs="Arial" w:eastAsia="Arial" w:hAnsi="Arial"/>
          <w:sz w:val="42"/>
          <w:szCs w:val="42"/>
          <w:b w:val="1"/>
          <w:bCs w:val="1"/>
          <w:color w:val="auto"/>
        </w:rPr>
        <w:t>Federal Realty Investment Trust</w:t>
      </w:r>
    </w:p>
    <w:p>
      <w:pPr>
        <w:spacing w:after="0" w:line="6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020"/>
          </w:cols>
          <w:pgMar w:left="240" w:top="584" w:right="639" w:bottom="1440" w:gutter="0" w:footer="0" w:header="0"/>
        </w:sectPr>
      </w:pPr>
    </w:p>
    <w:p>
      <w:pPr>
        <w:spacing w:after="0" w:line="175"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Maryland</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1-07533</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52-0782497</w:t>
      </w:r>
    </w:p>
    <w:p>
      <w:pPr>
        <w:spacing w:after="0" w:line="46" w:lineRule="exact"/>
        <w:rPr>
          <w:sz w:val="24"/>
          <w:szCs w:val="24"/>
          <w:color w:val="auto"/>
        </w:rPr>
      </w:pPr>
    </w:p>
    <w:p>
      <w:pPr>
        <w:sectPr>
          <w:pgSz w:w="11900" w:h="16838" w:orient="portrait"/>
          <w:cols w:equalWidth="0" w:num="3">
            <w:col w:w="4820" w:space="720"/>
            <w:col w:w="2920" w:space="720"/>
            <w:col w:w="1840"/>
          </w:cols>
          <w:pgMar w:left="240" w:top="584" w:right="63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740" w:space="720"/>
            <w:col w:w="2880" w:space="720"/>
            <w:col w:w="1960"/>
          </w:cols>
          <w:pgMar w:left="240" w:top="584" w:right="639" w:bottom="1440" w:gutter="0" w:footer="0" w:header="0"/>
          <w:type w:val="continuous"/>
        </w:sectPr>
      </w:pPr>
    </w:p>
    <w:p>
      <w:pPr>
        <w:ind w:left="1080"/>
        <w:spacing w:after="0"/>
        <w:rPr>
          <w:sz w:val="20"/>
          <w:szCs w:val="20"/>
          <w:color w:val="auto"/>
        </w:rPr>
      </w:pPr>
      <w:r>
        <w:rPr>
          <w:rFonts w:ascii="Arial" w:cs="Arial" w:eastAsia="Arial" w:hAnsi="Arial"/>
          <w:sz w:val="15"/>
          <w:szCs w:val="15"/>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20852-4041</w:t>
      </w:r>
    </w:p>
    <w:p>
      <w:pPr>
        <w:spacing w:after="0" w:line="56" w:lineRule="exact"/>
        <w:rPr>
          <w:sz w:val="24"/>
          <w:szCs w:val="24"/>
          <w:color w:val="auto"/>
        </w:rPr>
      </w:pPr>
    </w:p>
    <w:p>
      <w:pPr>
        <w:sectPr>
          <w:pgSz w:w="11900" w:h="16838" w:orient="portrait"/>
          <w:cols w:equalWidth="0" w:num="2">
            <w:col w:w="7540" w:space="720"/>
            <w:col w:w="2760"/>
          </w:cols>
          <w:pgMar w:left="240" w:top="584" w:right="639" w:bottom="1440" w:gutter="0" w:footer="0" w:header="0"/>
          <w:type w:val="continuous"/>
        </w:sectPr>
      </w:pPr>
    </w:p>
    <w:p>
      <w:pPr>
        <w:ind w:left="17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6" w:lineRule="exact"/>
        <w:rPr>
          <w:sz w:val="24"/>
          <w:szCs w:val="24"/>
          <w:color w:val="auto"/>
        </w:rPr>
      </w:pPr>
    </w:p>
    <w:p>
      <w:pPr>
        <w:sectPr>
          <w:pgSz w:w="11900" w:h="16838" w:orient="portrait"/>
          <w:cols w:equalWidth="0" w:num="2">
            <w:col w:w="7660" w:space="720"/>
            <w:col w:w="2640"/>
          </w:cols>
          <w:pgMar w:left="240" w:top="584" w:right="639" w:bottom="1440" w:gutter="0" w:footer="0" w:header="0"/>
          <w:type w:val="continuous"/>
        </w:sectPr>
      </w:pPr>
    </w:p>
    <w:p>
      <w:pPr>
        <w:ind w:left="3400"/>
        <w:spacing w:after="0"/>
        <w:rPr>
          <w:sz w:val="20"/>
          <w:szCs w:val="20"/>
          <w:color w:val="auto"/>
        </w:rPr>
      </w:pPr>
      <w:r>
        <w:rPr>
          <w:rFonts w:ascii="Arial" w:cs="Arial" w:eastAsia="Arial" w:hAnsi="Arial"/>
          <w:sz w:val="18"/>
          <w:szCs w:val="18"/>
          <w:color w:val="auto"/>
        </w:rPr>
        <w:t>Registrant’s telephone number including area code: 301/998-8100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131445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5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309245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584"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following information is being furnished under Item 12-Results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14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On August 1, 2007, Federal Realty Investment Trust issued supplemental data pertaining to its operations, as well as a press release, to report its financial results for the year-to-date and quarter ended June 30, 2007. The supplemental data and press release are furnished as Exhibit 99.1 hereto.</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2"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Supplemental information at June 30, 2007 (including press release dated August 1, 2007)</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1400"/>
          </w:cols>
          <w:pgMar w:left="240" w:top="274"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FEDERAL REALTY INVESTMENT TRUST</w:t>
      </w:r>
    </w:p>
    <w:p>
      <w:pPr>
        <w:spacing w:after="0" w:line="25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 Larry Finger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10795</wp:posOffset>
            </wp:positionV>
            <wp:extent cx="32327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Larry E. Finger</w:t>
      </w:r>
    </w:p>
    <w:p>
      <w:pPr>
        <w:spacing w:after="0" w:line="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2">
            <w:col w:w="5820" w:space="300"/>
            <w:col w:w="5280"/>
          </w:cols>
          <w:pgMar w:left="240" w:top="274" w:right="25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8"/>
              </w:rPr>
              <w:t>Exh No.</w:t>
            </w:r>
          </w:p>
        </w:tc>
        <w:tc>
          <w:tcPr>
            <w:tcW w:w="10940" w:type="dxa"/>
            <w:vAlign w:val="bottom"/>
            <w:gridSpan w:val="2"/>
          </w:tcPr>
          <w:p>
            <w:pPr>
              <w:ind w:left="560"/>
              <w:spacing w:after="0"/>
              <w:rPr>
                <w:sz w:val="20"/>
                <w:szCs w:val="20"/>
                <w:color w:val="auto"/>
              </w:rPr>
            </w:pPr>
            <w:r>
              <w:rPr>
                <w:rFonts w:ascii="Arial" w:cs="Arial" w:eastAsia="Arial" w:hAnsi="Arial"/>
                <w:sz w:val="14"/>
                <w:szCs w:val="14"/>
                <w:b w:val="1"/>
                <w:bCs w:val="1"/>
                <w:color w:val="auto"/>
              </w:rPr>
              <w:t>Exhibit</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380" w:type="dxa"/>
            <w:vAlign w:val="bottom"/>
            <w:shd w:val="clear" w:color="auto" w:fill="000000"/>
          </w:tcPr>
          <w:p>
            <w:pPr>
              <w:spacing w:after="0" w:line="20" w:lineRule="exact"/>
              <w:rPr>
                <w:sz w:val="1"/>
                <w:szCs w:val="1"/>
                <w:color w:val="auto"/>
              </w:rPr>
            </w:pPr>
          </w:p>
        </w:tc>
      </w:tr>
      <w:tr>
        <w:trPr>
          <w:trHeight w:val="209"/>
        </w:trPr>
        <w:tc>
          <w:tcPr>
            <w:tcW w:w="480" w:type="dxa"/>
            <w:vAlign w:val="bottom"/>
          </w:tcPr>
          <w:p>
            <w:pPr>
              <w:jc w:val="right"/>
              <w:ind w:right="2"/>
              <w:spacing w:after="0"/>
              <w:rPr>
                <w:sz w:val="20"/>
                <w:szCs w:val="20"/>
                <w:color w:val="auto"/>
              </w:rPr>
            </w:pPr>
            <w:r>
              <w:rPr>
                <w:rFonts w:ascii="Arial" w:cs="Arial" w:eastAsia="Arial" w:hAnsi="Arial"/>
                <w:sz w:val="18"/>
                <w:szCs w:val="18"/>
                <w:color w:val="auto"/>
              </w:rPr>
              <w:t>99.1</w:t>
            </w:r>
          </w:p>
        </w:tc>
        <w:tc>
          <w:tcPr>
            <w:tcW w:w="1094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Supplemental Information at June 30, 2007</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2007</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0" w:type="dxa"/>
            <w:vAlign w:val="bottom"/>
          </w:tcPr>
          <w:p>
            <w:pPr>
              <w:jc w:val="right"/>
              <w:ind w:right="132"/>
              <w:spacing w:after="0"/>
              <w:rPr>
                <w:sz w:val="20"/>
                <w:szCs w:val="20"/>
                <w:color w:val="auto"/>
              </w:rPr>
            </w:pPr>
            <w:r>
              <w:rPr>
                <w:rFonts w:ascii="Arial" w:cs="Arial" w:eastAsia="Arial" w:hAnsi="Arial"/>
                <w:sz w:val="18"/>
                <w:szCs w:val="18"/>
                <w:color w:val="auto"/>
                <w:w w:val="79"/>
              </w:rPr>
              <w:t>1.</w:t>
            </w:r>
          </w:p>
        </w:tc>
        <w:tc>
          <w:tcPr>
            <w:tcW w:w="7860" w:type="dxa"/>
            <w:vAlign w:val="bottom"/>
          </w:tcPr>
          <w:p>
            <w:pPr>
              <w:ind w:left="200"/>
              <w:spacing w:after="0"/>
              <w:rPr>
                <w:sz w:val="20"/>
                <w:szCs w:val="20"/>
                <w:color w:val="auto"/>
              </w:rPr>
            </w:pPr>
            <w:r>
              <w:rPr>
                <w:rFonts w:ascii="Arial" w:cs="Arial" w:eastAsia="Arial" w:hAnsi="Arial"/>
                <w:sz w:val="18"/>
                <w:szCs w:val="18"/>
                <w:color w:val="auto"/>
              </w:rPr>
              <w:t>Second Quarter 2007 Earnings Press Release</w:t>
            </w:r>
          </w:p>
        </w:tc>
        <w:tc>
          <w:tcPr>
            <w:tcW w:w="32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360" w:type="dxa"/>
            <w:vAlign w:val="bottom"/>
          </w:tcPr>
          <w:p>
            <w:pPr>
              <w:jc w:val="right"/>
              <w:ind w:right="132"/>
              <w:spacing w:after="0"/>
              <w:rPr>
                <w:sz w:val="20"/>
                <w:szCs w:val="20"/>
                <w:color w:val="auto"/>
              </w:rPr>
            </w:pPr>
            <w:r>
              <w:rPr>
                <w:rFonts w:ascii="Arial" w:cs="Arial" w:eastAsia="Arial" w:hAnsi="Arial"/>
                <w:sz w:val="18"/>
                <w:szCs w:val="18"/>
                <w:color w:val="auto"/>
                <w:w w:val="79"/>
              </w:rPr>
              <w:t>2.</w:t>
            </w:r>
          </w:p>
        </w:tc>
        <w:tc>
          <w:tcPr>
            <w:tcW w:w="7860" w:type="dxa"/>
            <w:vAlign w:val="bottom"/>
          </w:tcPr>
          <w:p>
            <w:pPr>
              <w:ind w:left="200"/>
              <w:spacing w:after="0"/>
              <w:rPr>
                <w:sz w:val="20"/>
                <w:szCs w:val="20"/>
                <w:color w:val="auto"/>
              </w:rPr>
            </w:pPr>
            <w:r>
              <w:rPr>
                <w:rFonts w:ascii="Arial" w:cs="Arial" w:eastAsia="Arial" w:hAnsi="Arial"/>
                <w:sz w:val="18"/>
                <w:szCs w:val="18"/>
                <w:color w:val="auto"/>
              </w:rPr>
              <w:t>Financial Highlights</w:t>
            </w:r>
          </w:p>
        </w:tc>
        <w:tc>
          <w:tcPr>
            <w:tcW w:w="3200" w:type="dxa"/>
            <w:vAlign w:val="bottom"/>
          </w:tcPr>
          <w:p>
            <w:pPr>
              <w:spacing w:after="0"/>
              <w:rPr>
                <w:sz w:val="24"/>
                <w:szCs w:val="24"/>
                <w:color w:val="auto"/>
              </w:rPr>
            </w:pPr>
          </w:p>
        </w:tc>
      </w:tr>
      <w:tr>
        <w:trPr>
          <w:trHeight w:val="324"/>
        </w:trPr>
        <w:tc>
          <w:tcPr>
            <w:tcW w:w="360" w:type="dxa"/>
            <w:vAlign w:val="bottom"/>
          </w:tcPr>
          <w:p>
            <w:pPr>
              <w:spacing w:after="0"/>
              <w:rPr>
                <w:sz w:val="24"/>
                <w:szCs w:val="24"/>
                <w:color w:val="auto"/>
              </w:rPr>
            </w:pPr>
          </w:p>
        </w:tc>
        <w:tc>
          <w:tcPr>
            <w:tcW w:w="7860" w:type="dxa"/>
            <w:vAlign w:val="bottom"/>
          </w:tcPr>
          <w:p>
            <w:pPr>
              <w:ind w:left="640"/>
              <w:spacing w:after="0"/>
              <w:rPr>
                <w:sz w:val="20"/>
                <w:szCs w:val="20"/>
                <w:color w:val="auto"/>
              </w:rPr>
            </w:pPr>
            <w:r>
              <w:rPr>
                <w:rFonts w:ascii="Arial" w:cs="Arial" w:eastAsia="Arial" w:hAnsi="Arial"/>
                <w:sz w:val="18"/>
                <w:szCs w:val="18"/>
                <w:color w:val="auto"/>
              </w:rPr>
              <w:t>Summarized Income Statements</w:t>
            </w:r>
          </w:p>
        </w:tc>
        <w:tc>
          <w:tcPr>
            <w:tcW w:w="32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360" w:type="dxa"/>
            <w:vAlign w:val="bottom"/>
          </w:tcPr>
          <w:p>
            <w:pPr>
              <w:spacing w:after="0"/>
              <w:rPr>
                <w:sz w:val="24"/>
                <w:szCs w:val="24"/>
                <w:color w:val="auto"/>
              </w:rPr>
            </w:pPr>
          </w:p>
        </w:tc>
        <w:tc>
          <w:tcPr>
            <w:tcW w:w="7860" w:type="dxa"/>
            <w:vAlign w:val="bottom"/>
          </w:tcPr>
          <w:p>
            <w:pPr>
              <w:ind w:left="640"/>
              <w:spacing w:after="0"/>
              <w:rPr>
                <w:sz w:val="20"/>
                <w:szCs w:val="20"/>
                <w:color w:val="auto"/>
              </w:rPr>
            </w:pPr>
            <w:r>
              <w:rPr>
                <w:rFonts w:ascii="Arial" w:cs="Arial" w:eastAsia="Arial" w:hAnsi="Arial"/>
                <w:sz w:val="18"/>
                <w:szCs w:val="18"/>
                <w:color w:val="auto"/>
              </w:rPr>
              <w:t>Summarized Balance Sheets</w:t>
            </w:r>
          </w:p>
        </w:tc>
        <w:tc>
          <w:tcPr>
            <w:tcW w:w="32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360" w:type="dxa"/>
            <w:vAlign w:val="bottom"/>
          </w:tcPr>
          <w:p>
            <w:pPr>
              <w:spacing w:after="0"/>
              <w:rPr>
                <w:sz w:val="24"/>
                <w:szCs w:val="24"/>
                <w:color w:val="auto"/>
              </w:rPr>
            </w:pPr>
          </w:p>
        </w:tc>
        <w:tc>
          <w:tcPr>
            <w:tcW w:w="7860" w:type="dxa"/>
            <w:vAlign w:val="bottom"/>
          </w:tcPr>
          <w:p>
            <w:pPr>
              <w:ind w:left="640"/>
              <w:spacing w:after="0"/>
              <w:rPr>
                <w:sz w:val="20"/>
                <w:szCs w:val="20"/>
                <w:color w:val="auto"/>
              </w:rPr>
            </w:pPr>
            <w:r>
              <w:rPr>
                <w:rFonts w:ascii="Arial" w:cs="Arial" w:eastAsia="Arial" w:hAnsi="Arial"/>
                <w:sz w:val="18"/>
                <w:szCs w:val="18"/>
                <w:color w:val="auto"/>
              </w:rPr>
              <w:t>Funds From Operations / Summary of Capital Expenditures</w:t>
            </w:r>
          </w:p>
        </w:tc>
        <w:tc>
          <w:tcPr>
            <w:tcW w:w="32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360" w:type="dxa"/>
            <w:vAlign w:val="bottom"/>
          </w:tcPr>
          <w:p>
            <w:pPr>
              <w:spacing w:after="0"/>
              <w:rPr>
                <w:sz w:val="24"/>
                <w:szCs w:val="24"/>
                <w:color w:val="auto"/>
              </w:rPr>
            </w:pPr>
          </w:p>
        </w:tc>
        <w:tc>
          <w:tcPr>
            <w:tcW w:w="7860" w:type="dxa"/>
            <w:vAlign w:val="bottom"/>
          </w:tcPr>
          <w:p>
            <w:pPr>
              <w:ind w:left="640"/>
              <w:spacing w:after="0"/>
              <w:rPr>
                <w:sz w:val="20"/>
                <w:szCs w:val="20"/>
                <w:color w:val="auto"/>
              </w:rPr>
            </w:pPr>
            <w:r>
              <w:rPr>
                <w:rFonts w:ascii="Arial" w:cs="Arial" w:eastAsia="Arial" w:hAnsi="Arial"/>
                <w:sz w:val="18"/>
                <w:szCs w:val="18"/>
                <w:color w:val="auto"/>
              </w:rPr>
              <w:t>Market Data</w:t>
            </w:r>
          </w:p>
        </w:tc>
        <w:tc>
          <w:tcPr>
            <w:tcW w:w="32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360" w:type="dxa"/>
            <w:vAlign w:val="bottom"/>
          </w:tcPr>
          <w:p>
            <w:pPr>
              <w:spacing w:after="0"/>
              <w:rPr>
                <w:sz w:val="24"/>
                <w:szCs w:val="24"/>
                <w:color w:val="auto"/>
              </w:rPr>
            </w:pPr>
          </w:p>
        </w:tc>
        <w:tc>
          <w:tcPr>
            <w:tcW w:w="7860" w:type="dxa"/>
            <w:vAlign w:val="bottom"/>
          </w:tcPr>
          <w:p>
            <w:pPr>
              <w:ind w:left="640"/>
              <w:spacing w:after="0"/>
              <w:rPr>
                <w:sz w:val="20"/>
                <w:szCs w:val="20"/>
                <w:color w:val="auto"/>
              </w:rPr>
            </w:pPr>
            <w:r>
              <w:rPr>
                <w:rFonts w:ascii="Arial" w:cs="Arial" w:eastAsia="Arial" w:hAnsi="Arial"/>
                <w:sz w:val="18"/>
                <w:szCs w:val="18"/>
                <w:color w:val="auto"/>
              </w:rPr>
              <w:t>Components of Rental Income</w:t>
            </w:r>
          </w:p>
        </w:tc>
        <w:tc>
          <w:tcPr>
            <w:tcW w:w="3200" w:type="dxa"/>
            <w:vAlign w:val="bottom"/>
          </w:tcPr>
          <w:p>
            <w:pPr>
              <w:jc w:val="right"/>
              <w:spacing w:after="0"/>
              <w:rPr>
                <w:sz w:val="20"/>
                <w:szCs w:val="20"/>
                <w:color w:val="auto"/>
              </w:rPr>
            </w:pPr>
            <w:r>
              <w:rPr>
                <w:rFonts w:ascii="Arial" w:cs="Arial" w:eastAsia="Arial" w:hAnsi="Arial"/>
                <w:sz w:val="18"/>
                <w:szCs w:val="18"/>
                <w:color w:val="auto"/>
              </w:rPr>
              <w:t>12</w:t>
            </w:r>
          </w:p>
        </w:tc>
      </w:tr>
    </w:tbl>
    <w:p>
      <w:pPr>
        <w:spacing w:after="0" w:line="210" w:lineRule="exact"/>
        <w:rPr>
          <w:sz w:val="20"/>
          <w:szCs w:val="20"/>
          <w:color w:val="auto"/>
        </w:rPr>
      </w:pPr>
    </w:p>
    <w:p>
      <w:pPr>
        <w:ind w:left="560" w:hanging="552"/>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Summary of Debt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 w:type="dxa"/>
            <w:vAlign w:val="bottom"/>
          </w:tcPr>
          <w:p>
            <w:pPr>
              <w:spacing w:after="0"/>
              <w:rPr>
                <w:sz w:val="19"/>
                <w:szCs w:val="19"/>
                <w:color w:val="auto"/>
              </w:rPr>
            </w:pPr>
          </w:p>
        </w:tc>
        <w:tc>
          <w:tcPr>
            <w:tcW w:w="7880" w:type="dxa"/>
            <w:vAlign w:val="bottom"/>
          </w:tcPr>
          <w:p>
            <w:pPr>
              <w:ind w:left="600"/>
              <w:spacing w:after="0"/>
              <w:rPr>
                <w:sz w:val="20"/>
                <w:szCs w:val="20"/>
                <w:color w:val="auto"/>
              </w:rPr>
            </w:pPr>
            <w:r>
              <w:rPr>
                <w:rFonts w:ascii="Arial" w:cs="Arial" w:eastAsia="Arial" w:hAnsi="Arial"/>
                <w:sz w:val="18"/>
                <w:szCs w:val="18"/>
                <w:color w:val="auto"/>
              </w:rPr>
              <w:t>Summary of Outstanding Debt and Capital Lease Obligations</w:t>
            </w:r>
          </w:p>
        </w:tc>
        <w:tc>
          <w:tcPr>
            <w:tcW w:w="31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400" w:type="dxa"/>
            <w:vAlign w:val="bottom"/>
          </w:tcPr>
          <w:p>
            <w:pPr>
              <w:spacing w:after="0"/>
              <w:rPr>
                <w:sz w:val="24"/>
                <w:szCs w:val="24"/>
                <w:color w:val="auto"/>
              </w:rPr>
            </w:pPr>
          </w:p>
        </w:tc>
        <w:tc>
          <w:tcPr>
            <w:tcW w:w="7880" w:type="dxa"/>
            <w:vAlign w:val="bottom"/>
          </w:tcPr>
          <w:p>
            <w:pPr>
              <w:ind w:left="600"/>
              <w:spacing w:after="0"/>
              <w:rPr>
                <w:sz w:val="20"/>
                <w:szCs w:val="20"/>
                <w:color w:val="auto"/>
              </w:rPr>
            </w:pPr>
            <w:r>
              <w:rPr>
                <w:rFonts w:ascii="Arial" w:cs="Arial" w:eastAsia="Arial" w:hAnsi="Arial"/>
                <w:sz w:val="18"/>
                <w:szCs w:val="18"/>
                <w:color w:val="auto"/>
              </w:rPr>
              <w:t>Summary of Debt Maturities</w:t>
            </w:r>
          </w:p>
        </w:tc>
        <w:tc>
          <w:tcPr>
            <w:tcW w:w="31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32"/>
        </w:trPr>
        <w:tc>
          <w:tcPr>
            <w:tcW w:w="400" w:type="dxa"/>
            <w:vAlign w:val="bottom"/>
          </w:tcPr>
          <w:p>
            <w:pPr>
              <w:spacing w:after="0"/>
              <w:rPr>
                <w:sz w:val="20"/>
                <w:szCs w:val="20"/>
                <w:color w:val="auto"/>
              </w:rPr>
            </w:pPr>
            <w:r>
              <w:rPr>
                <w:rFonts w:ascii="Arial" w:cs="Arial" w:eastAsia="Arial" w:hAnsi="Arial"/>
                <w:sz w:val="18"/>
                <w:szCs w:val="18"/>
                <w:color w:val="auto"/>
              </w:rPr>
              <w:t>4.</w:t>
            </w:r>
          </w:p>
        </w:tc>
        <w:tc>
          <w:tcPr>
            <w:tcW w:w="7880" w:type="dxa"/>
            <w:vAlign w:val="bottom"/>
          </w:tcPr>
          <w:p>
            <w:pPr>
              <w:ind w:left="160"/>
              <w:spacing w:after="0"/>
              <w:rPr>
                <w:sz w:val="20"/>
                <w:szCs w:val="20"/>
                <w:color w:val="auto"/>
              </w:rPr>
            </w:pPr>
            <w:r>
              <w:rPr>
                <w:rFonts w:ascii="Arial" w:cs="Arial" w:eastAsia="Arial" w:hAnsi="Arial"/>
                <w:sz w:val="18"/>
                <w:szCs w:val="18"/>
                <w:color w:val="auto"/>
              </w:rPr>
              <w:t>Summary of Redevelopment Opportunities</w:t>
            </w:r>
          </w:p>
        </w:tc>
        <w:tc>
          <w:tcPr>
            <w:tcW w:w="31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32"/>
        </w:trPr>
        <w:tc>
          <w:tcPr>
            <w:tcW w:w="400" w:type="dxa"/>
            <w:vAlign w:val="bottom"/>
          </w:tcPr>
          <w:p>
            <w:pPr>
              <w:spacing w:after="0"/>
              <w:rPr>
                <w:sz w:val="20"/>
                <w:szCs w:val="20"/>
                <w:color w:val="auto"/>
              </w:rPr>
            </w:pPr>
            <w:r>
              <w:rPr>
                <w:rFonts w:ascii="Arial" w:cs="Arial" w:eastAsia="Arial" w:hAnsi="Arial"/>
                <w:sz w:val="18"/>
                <w:szCs w:val="18"/>
                <w:color w:val="auto"/>
              </w:rPr>
              <w:t>5.</w:t>
            </w:r>
          </w:p>
        </w:tc>
        <w:tc>
          <w:tcPr>
            <w:tcW w:w="7880" w:type="dxa"/>
            <w:vAlign w:val="bottom"/>
          </w:tcPr>
          <w:p>
            <w:pPr>
              <w:ind w:left="160"/>
              <w:spacing w:after="0"/>
              <w:rPr>
                <w:sz w:val="20"/>
                <w:szCs w:val="20"/>
                <w:color w:val="auto"/>
              </w:rPr>
            </w:pPr>
            <w:r>
              <w:rPr>
                <w:rFonts w:ascii="Arial" w:cs="Arial" w:eastAsia="Arial" w:hAnsi="Arial"/>
                <w:sz w:val="18"/>
                <w:szCs w:val="18"/>
                <w:color w:val="auto"/>
              </w:rPr>
              <w:t>2007 Significant Acquisitions and Dispositions</w:t>
            </w:r>
          </w:p>
        </w:tc>
        <w:tc>
          <w:tcPr>
            <w:tcW w:w="31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32"/>
        </w:trPr>
        <w:tc>
          <w:tcPr>
            <w:tcW w:w="400" w:type="dxa"/>
            <w:vAlign w:val="bottom"/>
          </w:tcPr>
          <w:p>
            <w:pPr>
              <w:spacing w:after="0"/>
              <w:rPr>
                <w:sz w:val="20"/>
                <w:szCs w:val="20"/>
                <w:color w:val="auto"/>
              </w:rPr>
            </w:pPr>
            <w:r>
              <w:rPr>
                <w:rFonts w:ascii="Arial" w:cs="Arial" w:eastAsia="Arial" w:hAnsi="Arial"/>
                <w:sz w:val="18"/>
                <w:szCs w:val="18"/>
                <w:color w:val="auto"/>
              </w:rPr>
              <w:t>6.</w:t>
            </w:r>
          </w:p>
        </w:tc>
        <w:tc>
          <w:tcPr>
            <w:tcW w:w="7880" w:type="dxa"/>
            <w:vAlign w:val="bottom"/>
          </w:tcPr>
          <w:p>
            <w:pPr>
              <w:ind w:left="160"/>
              <w:spacing w:after="0"/>
              <w:rPr>
                <w:sz w:val="20"/>
                <w:szCs w:val="20"/>
                <w:color w:val="auto"/>
              </w:rPr>
            </w:pPr>
            <w:r>
              <w:rPr>
                <w:rFonts w:ascii="Arial" w:cs="Arial" w:eastAsia="Arial" w:hAnsi="Arial"/>
                <w:sz w:val="18"/>
                <w:szCs w:val="18"/>
                <w:color w:val="auto"/>
              </w:rPr>
              <w:t>Real Estate Status Report</w:t>
            </w:r>
          </w:p>
        </w:tc>
        <w:tc>
          <w:tcPr>
            <w:tcW w:w="31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400" w:type="dxa"/>
            <w:vAlign w:val="bottom"/>
          </w:tcPr>
          <w:p>
            <w:pPr>
              <w:spacing w:after="0"/>
              <w:rPr>
                <w:sz w:val="20"/>
                <w:szCs w:val="20"/>
                <w:color w:val="auto"/>
              </w:rPr>
            </w:pPr>
            <w:r>
              <w:rPr>
                <w:rFonts w:ascii="Arial" w:cs="Arial" w:eastAsia="Arial" w:hAnsi="Arial"/>
                <w:sz w:val="18"/>
                <w:szCs w:val="18"/>
                <w:color w:val="auto"/>
              </w:rPr>
              <w:t>7.</w:t>
            </w:r>
          </w:p>
        </w:tc>
        <w:tc>
          <w:tcPr>
            <w:tcW w:w="7880" w:type="dxa"/>
            <w:vAlign w:val="bottom"/>
          </w:tcPr>
          <w:p>
            <w:pPr>
              <w:ind w:left="160"/>
              <w:spacing w:after="0"/>
              <w:rPr>
                <w:sz w:val="20"/>
                <w:szCs w:val="20"/>
                <w:color w:val="auto"/>
              </w:rPr>
            </w:pPr>
            <w:r>
              <w:rPr>
                <w:rFonts w:ascii="Arial" w:cs="Arial" w:eastAsia="Arial" w:hAnsi="Arial"/>
                <w:sz w:val="18"/>
                <w:szCs w:val="18"/>
                <w:color w:val="auto"/>
              </w:rPr>
              <w:t>Retail Leasing Summary</w:t>
            </w:r>
          </w:p>
        </w:tc>
        <w:tc>
          <w:tcPr>
            <w:tcW w:w="31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32"/>
        </w:trPr>
        <w:tc>
          <w:tcPr>
            <w:tcW w:w="400" w:type="dxa"/>
            <w:vAlign w:val="bottom"/>
          </w:tcPr>
          <w:p>
            <w:pPr>
              <w:spacing w:after="0"/>
              <w:rPr>
                <w:sz w:val="20"/>
                <w:szCs w:val="20"/>
                <w:color w:val="auto"/>
              </w:rPr>
            </w:pPr>
            <w:r>
              <w:rPr>
                <w:rFonts w:ascii="Arial" w:cs="Arial" w:eastAsia="Arial" w:hAnsi="Arial"/>
                <w:sz w:val="18"/>
                <w:szCs w:val="18"/>
                <w:color w:val="auto"/>
              </w:rPr>
              <w:t>8.</w:t>
            </w:r>
          </w:p>
        </w:tc>
        <w:tc>
          <w:tcPr>
            <w:tcW w:w="7880" w:type="dxa"/>
            <w:vAlign w:val="bottom"/>
          </w:tcPr>
          <w:p>
            <w:pPr>
              <w:ind w:left="160"/>
              <w:spacing w:after="0"/>
              <w:rPr>
                <w:sz w:val="20"/>
                <w:szCs w:val="20"/>
                <w:color w:val="auto"/>
              </w:rPr>
            </w:pPr>
            <w:r>
              <w:rPr>
                <w:rFonts w:ascii="Arial" w:cs="Arial" w:eastAsia="Arial" w:hAnsi="Arial"/>
                <w:sz w:val="18"/>
                <w:szCs w:val="18"/>
                <w:color w:val="auto"/>
              </w:rPr>
              <w:t>Lease Expirations</w:t>
            </w:r>
          </w:p>
        </w:tc>
        <w:tc>
          <w:tcPr>
            <w:tcW w:w="31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32"/>
        </w:trPr>
        <w:tc>
          <w:tcPr>
            <w:tcW w:w="400" w:type="dxa"/>
            <w:vAlign w:val="bottom"/>
          </w:tcPr>
          <w:p>
            <w:pPr>
              <w:spacing w:after="0"/>
              <w:rPr>
                <w:sz w:val="20"/>
                <w:szCs w:val="20"/>
                <w:color w:val="auto"/>
              </w:rPr>
            </w:pPr>
            <w:r>
              <w:rPr>
                <w:rFonts w:ascii="Arial" w:cs="Arial" w:eastAsia="Arial" w:hAnsi="Arial"/>
                <w:sz w:val="18"/>
                <w:szCs w:val="18"/>
                <w:color w:val="auto"/>
              </w:rPr>
              <w:t>9.</w:t>
            </w:r>
          </w:p>
        </w:tc>
        <w:tc>
          <w:tcPr>
            <w:tcW w:w="7880" w:type="dxa"/>
            <w:vAlign w:val="bottom"/>
          </w:tcPr>
          <w:p>
            <w:pPr>
              <w:ind w:left="160"/>
              <w:spacing w:after="0"/>
              <w:rPr>
                <w:sz w:val="20"/>
                <w:szCs w:val="20"/>
                <w:color w:val="auto"/>
              </w:rPr>
            </w:pPr>
            <w:r>
              <w:rPr>
                <w:rFonts w:ascii="Arial" w:cs="Arial" w:eastAsia="Arial" w:hAnsi="Arial"/>
                <w:sz w:val="18"/>
                <w:szCs w:val="18"/>
                <w:color w:val="auto"/>
              </w:rPr>
              <w:t>Portfolio Leased Statistics</w:t>
            </w:r>
          </w:p>
        </w:tc>
        <w:tc>
          <w:tcPr>
            <w:tcW w:w="31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32"/>
        </w:trPr>
        <w:tc>
          <w:tcPr>
            <w:tcW w:w="400" w:type="dxa"/>
            <w:vAlign w:val="bottom"/>
          </w:tcPr>
          <w:p>
            <w:pPr>
              <w:spacing w:after="0"/>
              <w:rPr>
                <w:sz w:val="20"/>
                <w:szCs w:val="20"/>
                <w:color w:val="auto"/>
              </w:rPr>
            </w:pPr>
            <w:r>
              <w:rPr>
                <w:rFonts w:ascii="Arial" w:cs="Arial" w:eastAsia="Arial" w:hAnsi="Arial"/>
                <w:sz w:val="18"/>
                <w:szCs w:val="18"/>
                <w:color w:val="auto"/>
              </w:rPr>
              <w:t>10.</w:t>
            </w:r>
          </w:p>
        </w:tc>
        <w:tc>
          <w:tcPr>
            <w:tcW w:w="7880" w:type="dxa"/>
            <w:vAlign w:val="bottom"/>
          </w:tcPr>
          <w:p>
            <w:pPr>
              <w:ind w:left="160"/>
              <w:spacing w:after="0"/>
              <w:rPr>
                <w:sz w:val="20"/>
                <w:szCs w:val="20"/>
                <w:color w:val="auto"/>
              </w:rPr>
            </w:pPr>
            <w:r>
              <w:rPr>
                <w:rFonts w:ascii="Arial" w:cs="Arial" w:eastAsia="Arial" w:hAnsi="Arial"/>
                <w:sz w:val="18"/>
                <w:szCs w:val="18"/>
                <w:color w:val="auto"/>
              </w:rPr>
              <w:t>Summary of Top 25 Tenants</w:t>
            </w:r>
          </w:p>
        </w:tc>
        <w:tc>
          <w:tcPr>
            <w:tcW w:w="31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400" w:type="dxa"/>
            <w:vAlign w:val="bottom"/>
          </w:tcPr>
          <w:p>
            <w:pPr>
              <w:spacing w:after="0"/>
              <w:rPr>
                <w:sz w:val="20"/>
                <w:szCs w:val="20"/>
                <w:color w:val="auto"/>
              </w:rPr>
            </w:pPr>
            <w:r>
              <w:rPr>
                <w:rFonts w:ascii="Arial" w:cs="Arial" w:eastAsia="Arial" w:hAnsi="Arial"/>
                <w:sz w:val="18"/>
                <w:szCs w:val="18"/>
                <w:color w:val="auto"/>
              </w:rPr>
              <w:t>11.</w:t>
            </w:r>
          </w:p>
        </w:tc>
        <w:tc>
          <w:tcPr>
            <w:tcW w:w="7880" w:type="dxa"/>
            <w:vAlign w:val="bottom"/>
          </w:tcPr>
          <w:p>
            <w:pPr>
              <w:ind w:left="160"/>
              <w:spacing w:after="0"/>
              <w:rPr>
                <w:sz w:val="20"/>
                <w:szCs w:val="20"/>
                <w:color w:val="auto"/>
              </w:rPr>
            </w:pPr>
            <w:r>
              <w:rPr>
                <w:rFonts w:ascii="Arial" w:cs="Arial" w:eastAsia="Arial" w:hAnsi="Arial"/>
                <w:sz w:val="18"/>
                <w:szCs w:val="18"/>
                <w:color w:val="auto"/>
              </w:rPr>
              <w:t>Reconciliation of Net Income to FFO Guidance</w:t>
            </w:r>
          </w:p>
        </w:tc>
        <w:tc>
          <w:tcPr>
            <w:tcW w:w="3140" w:type="dxa"/>
            <w:vAlign w:val="bottom"/>
          </w:tcPr>
          <w:p>
            <w:pPr>
              <w:jc w:val="right"/>
              <w:spacing w:after="0"/>
              <w:rPr>
                <w:sz w:val="20"/>
                <w:szCs w:val="20"/>
                <w:color w:val="auto"/>
              </w:rPr>
            </w:pPr>
            <w:r>
              <w:rPr>
                <w:rFonts w:ascii="Arial" w:cs="Arial" w:eastAsia="Arial" w:hAnsi="Arial"/>
                <w:sz w:val="18"/>
                <w:szCs w:val="18"/>
                <w:color w:val="auto"/>
              </w:rPr>
              <w:t>24</w:t>
            </w:r>
          </w:p>
        </w:tc>
      </w:tr>
    </w:tbl>
    <w:p>
      <w:pPr>
        <w:spacing w:after="0" w:line="210" w:lineRule="exact"/>
        <w:rPr>
          <w:sz w:val="20"/>
          <w:szCs w:val="20"/>
          <w:color w:val="auto"/>
        </w:rPr>
      </w:pPr>
    </w:p>
    <w:p>
      <w:pPr>
        <w:ind w:left="560" w:hanging="552"/>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Joint Venture Disclosure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 w:type="dxa"/>
            <w:vAlign w:val="bottom"/>
          </w:tcPr>
          <w:p>
            <w:pPr>
              <w:spacing w:after="0"/>
              <w:rPr>
                <w:sz w:val="19"/>
                <w:szCs w:val="19"/>
                <w:color w:val="auto"/>
              </w:rPr>
            </w:pPr>
          </w:p>
        </w:tc>
        <w:tc>
          <w:tcPr>
            <w:tcW w:w="7560" w:type="dxa"/>
            <w:vAlign w:val="bottom"/>
          </w:tcPr>
          <w:p>
            <w:pPr>
              <w:ind w:left="600"/>
              <w:spacing w:after="0"/>
              <w:rPr>
                <w:sz w:val="20"/>
                <w:szCs w:val="20"/>
                <w:color w:val="auto"/>
              </w:rPr>
            </w:pPr>
            <w:r>
              <w:rPr>
                <w:rFonts w:ascii="Arial" w:cs="Arial" w:eastAsia="Arial" w:hAnsi="Arial"/>
                <w:sz w:val="18"/>
                <w:szCs w:val="18"/>
                <w:color w:val="auto"/>
              </w:rPr>
              <w:t>Summarized Income Statements and Balance Sheets</w:t>
            </w:r>
          </w:p>
        </w:tc>
        <w:tc>
          <w:tcPr>
            <w:tcW w:w="34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400" w:type="dxa"/>
            <w:vAlign w:val="bottom"/>
          </w:tcPr>
          <w:p>
            <w:pPr>
              <w:spacing w:after="0"/>
              <w:rPr>
                <w:sz w:val="24"/>
                <w:szCs w:val="24"/>
                <w:color w:val="auto"/>
              </w:rPr>
            </w:pPr>
          </w:p>
        </w:tc>
        <w:tc>
          <w:tcPr>
            <w:tcW w:w="7560" w:type="dxa"/>
            <w:vAlign w:val="bottom"/>
          </w:tcPr>
          <w:p>
            <w:pPr>
              <w:ind w:left="600"/>
              <w:spacing w:after="0"/>
              <w:rPr>
                <w:sz w:val="20"/>
                <w:szCs w:val="20"/>
                <w:color w:val="auto"/>
              </w:rPr>
            </w:pPr>
            <w:r>
              <w:rPr>
                <w:rFonts w:ascii="Arial" w:cs="Arial" w:eastAsia="Arial" w:hAnsi="Arial"/>
                <w:sz w:val="18"/>
                <w:szCs w:val="18"/>
                <w:color w:val="auto"/>
              </w:rPr>
              <w:t>Summary of Outstanding Debt and Debt Maturities</w:t>
            </w:r>
          </w:p>
        </w:tc>
        <w:tc>
          <w:tcPr>
            <w:tcW w:w="34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400" w:type="dxa"/>
            <w:vAlign w:val="bottom"/>
          </w:tcPr>
          <w:p>
            <w:pPr>
              <w:spacing w:after="0"/>
              <w:rPr>
                <w:sz w:val="24"/>
                <w:szCs w:val="24"/>
                <w:color w:val="auto"/>
              </w:rPr>
            </w:pPr>
          </w:p>
        </w:tc>
        <w:tc>
          <w:tcPr>
            <w:tcW w:w="7560" w:type="dxa"/>
            <w:vAlign w:val="bottom"/>
          </w:tcPr>
          <w:p>
            <w:pPr>
              <w:ind w:left="600"/>
              <w:spacing w:after="0"/>
              <w:rPr>
                <w:sz w:val="20"/>
                <w:szCs w:val="20"/>
                <w:color w:val="auto"/>
              </w:rPr>
            </w:pPr>
            <w:r>
              <w:rPr>
                <w:rFonts w:ascii="Arial" w:cs="Arial" w:eastAsia="Arial" w:hAnsi="Arial"/>
                <w:sz w:val="18"/>
                <w:szCs w:val="18"/>
                <w:color w:val="auto"/>
              </w:rPr>
              <w:t>Current Year Acquisitions and Dispositions</w:t>
            </w:r>
          </w:p>
        </w:tc>
        <w:tc>
          <w:tcPr>
            <w:tcW w:w="34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400" w:type="dxa"/>
            <w:vAlign w:val="bottom"/>
          </w:tcPr>
          <w:p>
            <w:pPr>
              <w:spacing w:after="0"/>
              <w:rPr>
                <w:sz w:val="24"/>
                <w:szCs w:val="24"/>
                <w:color w:val="auto"/>
              </w:rPr>
            </w:pPr>
          </w:p>
        </w:tc>
        <w:tc>
          <w:tcPr>
            <w:tcW w:w="7560" w:type="dxa"/>
            <w:vAlign w:val="bottom"/>
          </w:tcPr>
          <w:p>
            <w:pPr>
              <w:ind w:left="600"/>
              <w:spacing w:after="0"/>
              <w:rPr>
                <w:sz w:val="20"/>
                <w:szCs w:val="20"/>
                <w:color w:val="auto"/>
              </w:rPr>
            </w:pPr>
            <w:r>
              <w:rPr>
                <w:rFonts w:ascii="Arial" w:cs="Arial" w:eastAsia="Arial" w:hAnsi="Arial"/>
                <w:sz w:val="18"/>
                <w:szCs w:val="18"/>
                <w:color w:val="auto"/>
              </w:rPr>
              <w:t>Real Estate Status Report</w:t>
            </w:r>
          </w:p>
        </w:tc>
        <w:tc>
          <w:tcPr>
            <w:tcW w:w="34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32"/>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13.</w:t>
            </w:r>
          </w:p>
        </w:tc>
        <w:tc>
          <w:tcPr>
            <w:tcW w:w="7560" w:type="dxa"/>
            <w:vAlign w:val="bottom"/>
          </w:tcPr>
          <w:p>
            <w:pPr>
              <w:ind w:left="160"/>
              <w:spacing w:after="0"/>
              <w:rPr>
                <w:sz w:val="20"/>
                <w:szCs w:val="20"/>
                <w:color w:val="auto"/>
              </w:rPr>
            </w:pPr>
            <w:r>
              <w:rPr>
                <w:rFonts w:ascii="Arial" w:cs="Arial" w:eastAsia="Arial" w:hAnsi="Arial"/>
                <w:sz w:val="18"/>
                <w:szCs w:val="18"/>
                <w:color w:val="auto"/>
              </w:rPr>
              <w:t>Glossary of Terms</w:t>
            </w:r>
          </w:p>
        </w:tc>
        <w:tc>
          <w:tcPr>
            <w:tcW w:w="3460" w:type="dxa"/>
            <w:vAlign w:val="bottom"/>
          </w:tcPr>
          <w:p>
            <w:pPr>
              <w:jc w:val="right"/>
              <w:spacing w:after="0"/>
              <w:rPr>
                <w:sz w:val="20"/>
                <w:szCs w:val="20"/>
                <w:color w:val="auto"/>
              </w:rPr>
            </w:pPr>
            <w:r>
              <w:rPr>
                <w:rFonts w:ascii="Arial" w:cs="Arial" w:eastAsia="Arial" w:hAnsi="Arial"/>
                <w:sz w:val="18"/>
                <w:szCs w:val="18"/>
                <w:color w:val="auto"/>
              </w:rPr>
              <w:t>30</w:t>
            </w: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1626 East Jefferson Street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Rockville, Maryland 20852-4041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301/998-8100</w:t>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Safe Harbor Language</w:t>
      </w:r>
    </w:p>
    <w:p>
      <w:pPr>
        <w:spacing w:after="0" w:line="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March 1, 2007, and include the following:</w:t>
      </w:r>
    </w:p>
    <w:p>
      <w:pPr>
        <w:spacing w:after="0" w:line="62"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our tenants will not pay rent or that we may be unable to renew leases or re-let space at favorable rents as leases expire;</w:t>
      </w:r>
    </w:p>
    <w:p>
      <w:pPr>
        <w:spacing w:after="0" w:line="15" w:lineRule="exact"/>
        <w:rPr>
          <w:rFonts w:ascii="Arial" w:cs="Arial" w:eastAsia="Arial" w:hAnsi="Arial"/>
          <w:sz w:val="18"/>
          <w:szCs w:val="18"/>
          <w:i w:val="1"/>
          <w:iCs w:val="1"/>
          <w:color w:val="auto"/>
        </w:rPr>
      </w:pPr>
    </w:p>
    <w:p>
      <w:pPr>
        <w:ind w:left="900" w:right="300" w:hanging="325"/>
        <w:spacing w:after="0" w:line="281" w:lineRule="auto"/>
        <w:tabs>
          <w:tab w:leader="none" w:pos="90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risks that we may not be able to proceed with or obtain necessary approvals for any redevelopment or renovation project, and that completion of anticipated or ongoing property redevelopments or renovations may cost more, take more time to complete, or fail to perform as expected;</w:t>
      </w:r>
    </w:p>
    <w:p>
      <w:pPr>
        <w:spacing w:after="0" w:line="1" w:lineRule="exact"/>
        <w:rPr>
          <w:rFonts w:ascii="Arial" w:cs="Arial" w:eastAsia="Arial" w:hAnsi="Arial"/>
          <w:sz w:val="16"/>
          <w:szCs w:val="16"/>
          <w:i w:val="1"/>
          <w:iCs w:val="1"/>
          <w:color w:val="auto"/>
        </w:rPr>
      </w:pPr>
    </w:p>
    <w:p>
      <w:pPr>
        <w:ind w:left="900" w:right="140" w:hanging="325"/>
        <w:spacing w:after="0" w:line="250" w:lineRule="auto"/>
        <w:tabs>
          <w:tab w:leader="none" w:pos="9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the number of properties we acquire for our own account, and therefore the amount of capital we invest in acquisitions, may be impacted by our real estate partnership;</w:t>
      </w:r>
    </w:p>
    <w:p>
      <w:pPr>
        <w:ind w:left="900" w:hanging="325"/>
        <w:spacing w:after="0" w:line="281" w:lineRule="auto"/>
        <w:tabs>
          <w:tab w:leader="none" w:pos="90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environmental issues may develop at our properties and result in unanticipated costs, and, because real estate is illiquid, that we may not be able to sell properties when appropriate;</w:t>
      </w:r>
    </w:p>
    <w:p>
      <w:pPr>
        <w:spacing w:after="0" w:line="2" w:lineRule="exact"/>
        <w:rPr>
          <w:rFonts w:ascii="Arial" w:cs="Arial" w:eastAsia="Arial" w:hAnsi="Arial"/>
          <w:sz w:val="16"/>
          <w:szCs w:val="16"/>
          <w:i w:val="1"/>
          <w:iCs w:val="1"/>
          <w:color w:val="auto"/>
        </w:rPr>
      </w:pPr>
    </w:p>
    <w:p>
      <w:pPr>
        <w:ind w:left="900" w:hanging="325"/>
        <w:spacing w:after="0"/>
        <w:tabs>
          <w:tab w:leader="none" w:pos="9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our growth will be limited if we cannot obtain additional capital;</w:t>
      </w:r>
    </w:p>
    <w:p>
      <w:pPr>
        <w:spacing w:after="0" w:line="9" w:lineRule="exact"/>
        <w:rPr>
          <w:rFonts w:ascii="Arial" w:cs="Arial" w:eastAsia="Arial" w:hAnsi="Arial"/>
          <w:sz w:val="18"/>
          <w:szCs w:val="18"/>
          <w:i w:val="1"/>
          <w:iCs w:val="1"/>
          <w:color w:val="auto"/>
        </w:rPr>
      </w:pPr>
    </w:p>
    <w:p>
      <w:pPr>
        <w:ind w:left="900" w:hanging="325"/>
        <w:spacing w:after="0" w:line="250" w:lineRule="auto"/>
        <w:tabs>
          <w:tab w:leader="none" w:pos="9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1" w:lineRule="exact"/>
        <w:rPr>
          <w:rFonts w:ascii="Arial" w:cs="Arial" w:eastAsia="Arial" w:hAnsi="Arial"/>
          <w:sz w:val="18"/>
          <w:szCs w:val="18"/>
          <w:i w:val="1"/>
          <w:iCs w:val="1"/>
          <w:color w:val="auto"/>
        </w:rPr>
      </w:pPr>
    </w:p>
    <w:p>
      <w:pPr>
        <w:ind w:left="900" w:right="20" w:hanging="325"/>
        <w:spacing w:after="0" w:line="255" w:lineRule="auto"/>
        <w:tabs>
          <w:tab w:leader="none" w:pos="9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4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March 1, 2007.</w:t>
      </w:r>
    </w:p>
    <w:p>
      <w:pPr>
        <w:sectPr>
          <w:pgSz w:w="11900" w:h="16838" w:orient="portrait"/>
          <w:cols w:equalWidth="0" w:num="1">
            <w:col w:w="11360"/>
          </w:cols>
          <w:pgMar w:left="240" w:top="274" w:right="29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5831840" cy="12522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31840" cy="125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FOR IMMEDIATE RELEASE</w:t>
            </w:r>
          </w:p>
        </w:tc>
        <w:tc>
          <w:tcPr>
            <w:tcW w:w="4560" w:type="dxa"/>
            <w:vAlign w:val="bottom"/>
          </w:tcPr>
          <w:p>
            <w:pPr>
              <w:spacing w:after="0"/>
              <w:rPr>
                <w:sz w:val="19"/>
                <w:szCs w:val="19"/>
                <w:color w:val="auto"/>
              </w:rPr>
            </w:pPr>
          </w:p>
        </w:tc>
      </w:tr>
      <w:tr>
        <w:trPr>
          <w:trHeight w:val="380"/>
        </w:trPr>
        <w:tc>
          <w:tcPr>
            <w:tcW w:w="4300" w:type="dxa"/>
            <w:vAlign w:val="bottom"/>
            <w:gridSpan w:val="2"/>
          </w:tcPr>
          <w:p>
            <w:pPr>
              <w:spacing w:after="0"/>
              <w:rPr>
                <w:sz w:val="20"/>
                <w:szCs w:val="20"/>
                <w:color w:val="auto"/>
              </w:rPr>
            </w:pPr>
            <w:r>
              <w:rPr>
                <w:rFonts w:ascii="Arial" w:cs="Arial" w:eastAsia="Arial" w:hAnsi="Arial"/>
                <w:sz w:val="18"/>
                <w:szCs w:val="18"/>
                <w:i w:val="1"/>
                <w:iCs w:val="1"/>
                <w:color w:val="auto"/>
              </w:rPr>
              <w:t>Investor and Media Inquiries</w:t>
            </w:r>
          </w:p>
        </w:tc>
        <w:tc>
          <w:tcPr>
            <w:tcW w:w="4560" w:type="dxa"/>
            <w:vAlign w:val="bottom"/>
          </w:tcPr>
          <w:p>
            <w:pPr>
              <w:spacing w:after="0"/>
              <w:rPr>
                <w:sz w:val="24"/>
                <w:szCs w:val="24"/>
                <w:color w:val="auto"/>
              </w:rPr>
            </w:pPr>
          </w:p>
        </w:tc>
      </w:tr>
      <w:tr>
        <w:trPr>
          <w:trHeight w:val="228"/>
        </w:trPr>
        <w:tc>
          <w:tcPr>
            <w:tcW w:w="2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Andrew Blocher</w:t>
            </w:r>
          </w:p>
        </w:tc>
        <w:tc>
          <w:tcPr>
            <w:tcW w:w="2240" w:type="dxa"/>
            <w:vAlign w:val="bottom"/>
          </w:tcPr>
          <w:p>
            <w:pPr>
              <w:spacing w:after="0"/>
              <w:rPr>
                <w:sz w:val="19"/>
                <w:szCs w:val="19"/>
                <w:color w:val="auto"/>
              </w:rPr>
            </w:pPr>
          </w:p>
        </w:tc>
        <w:tc>
          <w:tcPr>
            <w:tcW w:w="4560" w:type="dxa"/>
            <w:vAlign w:val="bottom"/>
          </w:tcPr>
          <w:p>
            <w:pPr>
              <w:ind w:left="1660"/>
              <w:spacing w:after="0"/>
              <w:rPr>
                <w:sz w:val="20"/>
                <w:szCs w:val="20"/>
                <w:color w:val="auto"/>
              </w:rPr>
            </w:pPr>
            <w:r>
              <w:rPr>
                <w:rFonts w:ascii="Arial" w:cs="Arial" w:eastAsia="Arial" w:hAnsi="Arial"/>
                <w:sz w:val="18"/>
                <w:szCs w:val="18"/>
                <w:color w:val="auto"/>
              </w:rPr>
              <w:t>Vikki Kayne</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Senior Vice President,</w:t>
            </w:r>
          </w:p>
        </w:tc>
        <w:tc>
          <w:tcPr>
            <w:tcW w:w="4560" w:type="dxa"/>
            <w:vAlign w:val="bottom"/>
          </w:tcPr>
          <w:p>
            <w:pPr>
              <w:ind w:left="1660"/>
              <w:spacing w:after="0"/>
              <w:rPr>
                <w:sz w:val="20"/>
                <w:szCs w:val="20"/>
                <w:color w:val="auto"/>
              </w:rPr>
            </w:pPr>
            <w:r>
              <w:rPr>
                <w:rFonts w:ascii="Arial" w:cs="Arial" w:eastAsia="Arial" w:hAnsi="Arial"/>
                <w:sz w:val="18"/>
                <w:szCs w:val="18"/>
                <w:color w:val="auto"/>
              </w:rPr>
              <w:t>Vice President,</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Capital Markets &amp; Investor Relations</w:t>
            </w:r>
          </w:p>
        </w:tc>
        <w:tc>
          <w:tcPr>
            <w:tcW w:w="4560" w:type="dxa"/>
            <w:vAlign w:val="bottom"/>
          </w:tcPr>
          <w:p>
            <w:pPr>
              <w:ind w:left="1660"/>
              <w:spacing w:after="0"/>
              <w:rPr>
                <w:sz w:val="20"/>
                <w:szCs w:val="20"/>
                <w:color w:val="auto"/>
              </w:rPr>
            </w:pPr>
            <w:r>
              <w:rPr>
                <w:rFonts w:ascii="Arial" w:cs="Arial" w:eastAsia="Arial" w:hAnsi="Arial"/>
                <w:sz w:val="18"/>
                <w:szCs w:val="18"/>
                <w:color w:val="auto"/>
                <w:w w:val="89"/>
              </w:rPr>
              <w:t>Marketing &amp; Corporate Communications</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301/998-8166</w:t>
            </w:r>
          </w:p>
        </w:tc>
        <w:tc>
          <w:tcPr>
            <w:tcW w:w="2240" w:type="dxa"/>
            <w:vAlign w:val="bottom"/>
          </w:tcPr>
          <w:p>
            <w:pPr>
              <w:spacing w:after="0"/>
              <w:rPr>
                <w:sz w:val="18"/>
                <w:szCs w:val="18"/>
                <w:color w:val="auto"/>
              </w:rPr>
            </w:pPr>
          </w:p>
        </w:tc>
        <w:tc>
          <w:tcPr>
            <w:tcW w:w="4560" w:type="dxa"/>
            <w:vAlign w:val="bottom"/>
          </w:tcPr>
          <w:p>
            <w:pPr>
              <w:ind w:left="1660"/>
              <w:spacing w:after="0"/>
              <w:rPr>
                <w:sz w:val="20"/>
                <w:szCs w:val="20"/>
                <w:color w:val="auto"/>
              </w:rPr>
            </w:pPr>
            <w:r>
              <w:rPr>
                <w:rFonts w:ascii="Arial" w:cs="Arial" w:eastAsia="Arial" w:hAnsi="Arial"/>
                <w:sz w:val="18"/>
                <w:szCs w:val="18"/>
                <w:color w:val="auto"/>
              </w:rPr>
              <w:t>301/998-8178</w:t>
            </w:r>
          </w:p>
        </w:tc>
      </w:tr>
      <w:tr>
        <w:trPr>
          <w:trHeight w:val="222"/>
        </w:trPr>
        <w:tc>
          <w:tcPr>
            <w:tcW w:w="4300" w:type="dxa"/>
            <w:vAlign w:val="bottom"/>
            <w:gridSpan w:val="2"/>
          </w:tcPr>
          <w:p>
            <w:pPr>
              <w:spacing w:after="0"/>
              <w:rPr>
                <w:sz w:val="20"/>
                <w:szCs w:val="20"/>
                <w:color w:val="auto"/>
              </w:rPr>
            </w:pPr>
            <w:r>
              <w:rPr>
                <w:rFonts w:ascii="Arial" w:cs="Arial" w:eastAsia="Arial" w:hAnsi="Arial"/>
                <w:sz w:val="18"/>
                <w:szCs w:val="18"/>
                <w:i w:val="1"/>
                <w:iCs w:val="1"/>
                <w:color w:val="auto"/>
              </w:rPr>
              <w:t>ablocher@federalrealty.com</w:t>
            </w:r>
          </w:p>
        </w:tc>
        <w:tc>
          <w:tcPr>
            <w:tcW w:w="4560" w:type="dxa"/>
            <w:vAlign w:val="bottom"/>
          </w:tcPr>
          <w:p>
            <w:pPr>
              <w:ind w:left="1660"/>
              <w:spacing w:after="0"/>
              <w:rPr>
                <w:sz w:val="20"/>
                <w:szCs w:val="20"/>
                <w:color w:val="auto"/>
              </w:rPr>
            </w:pPr>
            <w:r>
              <w:rPr>
                <w:rFonts w:ascii="Arial" w:cs="Arial" w:eastAsia="Arial" w:hAnsi="Arial"/>
                <w:sz w:val="18"/>
                <w:szCs w:val="18"/>
                <w:i w:val="1"/>
                <w:iCs w:val="1"/>
                <w:color w:val="auto"/>
              </w:rPr>
              <w:t>vkayne@federalrealty.com</w:t>
            </w:r>
          </w:p>
        </w:tc>
      </w:tr>
    </w:tbl>
    <w:p>
      <w:pPr>
        <w:spacing w:after="0" w:line="231" w:lineRule="exact"/>
        <w:rPr>
          <w:sz w:val="20"/>
          <w:szCs w:val="20"/>
          <w:color w:val="auto"/>
        </w:rPr>
      </w:pPr>
    </w:p>
    <w:p>
      <w:pPr>
        <w:ind w:right="4720"/>
        <w:spacing w:after="0" w:line="275" w:lineRule="auto"/>
        <w:rPr>
          <w:sz w:val="20"/>
          <w:szCs w:val="20"/>
          <w:color w:val="auto"/>
        </w:rPr>
      </w:pPr>
      <w:r>
        <w:rPr>
          <w:rFonts w:ascii="Arial" w:cs="Arial" w:eastAsia="Arial" w:hAnsi="Arial"/>
          <w:sz w:val="18"/>
          <w:szCs w:val="18"/>
          <w:b w:val="1"/>
          <w:bCs w:val="1"/>
          <w:color w:val="auto"/>
        </w:rPr>
        <w:t>FEDERAL REALTY INVESTMENT TRUST ANNOUNCES SECOND QUARTER 2007 OPERATING RESULTS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Common Dividend Increased for 40</w:t>
      </w:r>
      <w:r>
        <w:rPr>
          <w:rFonts w:ascii="Arial" w:cs="Arial" w:eastAsia="Arial" w:hAnsi="Arial"/>
          <w:sz w:val="22"/>
          <w:szCs w:val="22"/>
          <w:i w:val="1"/>
          <w:iCs w:val="1"/>
          <w:color w:val="auto"/>
          <w:vertAlign w:val="superscript"/>
        </w:rPr>
        <w:t>th</w:t>
      </w:r>
      <w:r>
        <w:rPr>
          <w:rFonts w:ascii="Arial" w:cs="Arial" w:eastAsia="Arial" w:hAnsi="Arial"/>
          <w:sz w:val="18"/>
          <w:szCs w:val="18"/>
          <w:i w:val="1"/>
          <w:iCs w:val="1"/>
          <w:color w:val="auto"/>
        </w:rPr>
        <w:t xml:space="preserve"> Consecutive Year -</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ROCKVILLE, Md. (August 1, 2007) – Federal Realty Investment Trust (NYSE:FRT) today reported operating results for its second quarter ended June 30, 2007.</w:t>
      </w:r>
    </w:p>
    <w:p>
      <w:pPr>
        <w:spacing w:after="0" w:line="113" w:lineRule="exact"/>
        <w:rPr>
          <w:sz w:val="20"/>
          <w:szCs w:val="20"/>
          <w:color w:val="auto"/>
        </w:rPr>
      </w:pPr>
    </w:p>
    <w:p>
      <w:pPr>
        <w:ind w:left="900" w:right="14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Funds from operations available for common shareholders (FFO) per diluted share was $0.91 and earnings per diluted common share was $0.47 for the quarter ended June 30, 2007, versus $0.83 and $0.66, respectively, for second quarter 2006.</w:t>
      </w:r>
    </w:p>
    <w:p>
      <w:pPr>
        <w:spacing w:after="0" w:line="5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FFO per diluted share was $1.79 and earnings per diluted common share was $0.88 for the six months ended June 30, 2007, versus $1.64 and $1.19, respectively, for the six months ended June 30, 2006.</w:t>
      </w:r>
    </w:p>
    <w:p>
      <w:pPr>
        <w:spacing w:after="0" w:line="5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When compared to second quarter 2006, same-center property operating income increased 5.8% including redevelopments and expansions, and 3.7% excluding redevelopments and expansions.</w:t>
      </w:r>
    </w:p>
    <w:p>
      <w:pPr>
        <w:spacing w:after="0" w:line="50"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Rent increases on lease rollovers for retail space for which there was a prior tenant were 19% on a cash-basis and 29% on a GAAP-basis for the quarter ended June 30, 2007.</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Trust’s portfolio was 96.1% leased and 94.7% occupied as of June 30, 2007.</w:t>
      </w:r>
    </w:p>
    <w:p>
      <w:pPr>
        <w:spacing w:after="0" w:line="90" w:lineRule="exact"/>
        <w:rPr>
          <w:rFonts w:ascii="Arial" w:cs="Arial" w:eastAsia="Arial" w:hAnsi="Arial"/>
          <w:sz w:val="18"/>
          <w:szCs w:val="18"/>
          <w:color w:val="auto"/>
        </w:rPr>
      </w:pPr>
    </w:p>
    <w:p>
      <w:pPr>
        <w:ind w:left="900" w:right="340" w:hanging="446"/>
        <w:spacing w:after="0" w:line="221"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Federal Realty increased its common dividend for the 40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consecutive year from an annualized rate of $2.30 per share to $2.44 per share, a 6.1% increase.</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Guidance for 2007 FFO per diluted share was narrowed to a range of $3.62 to $3.65.</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Results</w:t>
      </w:r>
    </w:p>
    <w:p>
      <w:pPr>
        <w:spacing w:after="0" w:line="9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 second quarter 2007, Federal Realty reported FFO of $51.9 million, or $0.91 per diluted share. This compares to FFO of $44.6 million, or $0.83 per diluted share, reported in second quarter 2006. For the six months ended June 30, 2007, Federal Realty reported FFO of $101.5 million, or $1.79 per diluted share compared to FFO of $88.0 million, or $1.64 per diluted share, for the same six-month period in 2006.</w:t>
      </w:r>
    </w:p>
    <w:p>
      <w:pPr>
        <w:spacing w:after="0" w:line="14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Net income available for common shareholders was $26.6 million and earnings per diluted common share was $0.47 for the quarter ended June 30, 2007, versus $35.4 million and $0.66, respectively, for second quarter 2006. Year-to-date, Federal Realty reported net income available for common shareholders of $49.7 million, or $0.88 per diluted</w:t>
      </w:r>
    </w:p>
    <w:p>
      <w:pPr>
        <w:sectPr>
          <w:pgSz w:w="11900" w:h="16838" w:orient="portrait"/>
          <w:cols w:equalWidth="0" w:num="1">
            <w:col w:w="11420"/>
          </w:cols>
          <w:pgMar w:left="240" w:top="27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 ANNOUNCES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2007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share. This compares to net income available for common shareholders of $63.5 million, or $1.19 per diluted share, for the six months ended June 30, 2006. The declines in net income available for common shareholders reflect a decrease in gain on sale of real estate for the comparative periods of 2007 versus 2006 of $13.2 million ($0.25 per diluted share) for the second quarter, and $21.9 million ($0.41 per diluted share) on a year-to-date basis.</w:t>
      </w:r>
    </w:p>
    <w:p>
      <w:pPr>
        <w:spacing w:after="0" w:line="1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FFO is a non-GAAP supplemental earnings measure which the Trust considers meaningful in measuring its operating performance. A reconciliation of FFO to net income is attached to this press release.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Portfolio Results</w:t>
      </w:r>
    </w:p>
    <w:p>
      <w:pPr>
        <w:spacing w:after="0" w:line="96"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On a same-center basis, including redevelopments and expansions, property operating income increased 5.8% over second quarter 2006. When redevelopments and expansions are excluded from the same-center results, property operating income increased 3.7% from second quarter 2006.</w:t>
      </w:r>
    </w:p>
    <w:p>
      <w:pPr>
        <w:spacing w:after="0" w:line="85" w:lineRule="exact"/>
        <w:rPr>
          <w:sz w:val="20"/>
          <w:szCs w:val="20"/>
          <w:color w:val="auto"/>
        </w:rPr>
      </w:pPr>
    </w:p>
    <w:p>
      <w:pPr>
        <w:ind w:right="140"/>
        <w:spacing w:after="0" w:line="370" w:lineRule="auto"/>
        <w:rPr>
          <w:sz w:val="20"/>
          <w:szCs w:val="20"/>
          <w:color w:val="auto"/>
        </w:rPr>
      </w:pPr>
      <w:r>
        <w:rPr>
          <w:rFonts w:ascii="Arial" w:cs="Arial" w:eastAsia="Arial" w:hAnsi="Arial"/>
          <w:sz w:val="15"/>
          <w:szCs w:val="15"/>
          <w:color w:val="auto"/>
        </w:rPr>
        <w:t>Overall, the Trust’s portfolio was 96.1% leased and 94.7% occupied as of June 30, 2007, compared to 96.7% and 94.7%, respectively, on June 30, 2006. Federal Realty’s same-center portfolio was 96.4% leased and 95.8% occupied on June 30, 2007, compared to 97.7% and 96.2%, respectively, on June 30, 2006.</w:t>
      </w:r>
    </w:p>
    <w:p>
      <w:pPr>
        <w:spacing w:after="0" w:line="62"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During second quarter 2006, the Trust signed 90 leases for approximately 378,000 square feet of retail space. On a comparable space basis (</w:t>
      </w:r>
      <w:r>
        <w:rPr>
          <w:rFonts w:ascii="Arial" w:cs="Arial" w:eastAsia="Arial" w:hAnsi="Arial"/>
          <w:sz w:val="16"/>
          <w:szCs w:val="16"/>
          <w:i w:val="1"/>
          <w:iCs w:val="1"/>
          <w:color w:val="auto"/>
        </w:rPr>
        <w:t>i.e.</w:t>
      </w:r>
      <w:r>
        <w:rPr>
          <w:rFonts w:ascii="Arial" w:cs="Arial" w:eastAsia="Arial" w:hAnsi="Arial"/>
          <w:sz w:val="16"/>
          <w:szCs w:val="16"/>
          <w:color w:val="auto"/>
        </w:rPr>
        <w:t>, spaces for which there was a former tenant), the Trust leased 341,000 square feet at an average cash-basis contractual rent increase per square foot (</w:t>
      </w:r>
      <w:r>
        <w:rPr>
          <w:rFonts w:ascii="Arial" w:cs="Arial" w:eastAsia="Arial" w:hAnsi="Arial"/>
          <w:sz w:val="16"/>
          <w:szCs w:val="16"/>
          <w:i w:val="1"/>
          <w:iCs w:val="1"/>
          <w:color w:val="auto"/>
        </w:rPr>
        <w:t>i.e.</w:t>
      </w:r>
      <w:r>
        <w:rPr>
          <w:rFonts w:ascii="Arial" w:cs="Arial" w:eastAsia="Arial" w:hAnsi="Arial"/>
          <w:sz w:val="16"/>
          <w:szCs w:val="16"/>
          <w:color w:val="auto"/>
        </w:rPr>
        <w:t>, excluding the impact of straight-line rents) of 19%. The average contractual rent on this comparable space for the first year of the new lease is $26.70 per square foot compared to the average contractual rent of $22.52 per square foot for the last year of the prior lease. The previous average contractual rent is calculated by including both the minimum rent and the percentage rent actually paid during the last year of the lease term for the re-leased space. On a GAAP basis (</w:t>
      </w:r>
      <w:r>
        <w:rPr>
          <w:rFonts w:ascii="Arial" w:cs="Arial" w:eastAsia="Arial" w:hAnsi="Arial"/>
          <w:sz w:val="16"/>
          <w:szCs w:val="16"/>
          <w:i w:val="1"/>
          <w:iCs w:val="1"/>
          <w:color w:val="auto"/>
        </w:rPr>
        <w:t>i.e.</w:t>
      </w:r>
      <w:r>
        <w:rPr>
          <w:rFonts w:ascii="Arial" w:cs="Arial" w:eastAsia="Arial" w:hAnsi="Arial"/>
          <w:sz w:val="16"/>
          <w:szCs w:val="16"/>
          <w:color w:val="auto"/>
        </w:rPr>
        <w:t>, including the impact of straight-line rents), rent increases per square foot for comparable retail space averaged 29% for second quarter 2007. As of June 30, 2007, Federal Realty’s average contractual, cash basis minimum rent for retail and commercial space in its portfolio is $19.51 per square foot.</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“Our strong and consistent operating performance is a continuing confirmation of the quality of our real estate and operating platform,” commented Donald 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Wood, president and chief executive officer of Federal Realty Investment Trust.</w:t>
      </w:r>
    </w:p>
    <w:p>
      <w:pPr>
        <w:sectPr>
          <w:pgSz w:w="11900" w:h="16838" w:orient="portrait"/>
          <w:cols w:equalWidth="0" w:num="1">
            <w:col w:w="11420"/>
          </w:cols>
          <w:pgMar w:left="240" w:top="2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 ANNOUNCES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2007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Chief Financial Officer Succession</w:t>
      </w:r>
    </w:p>
    <w:p>
      <w:pPr>
        <w:spacing w:after="0" w:line="9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Federal Realty announced that Joseph Squeri will join the Trust on October 1, 2007, and will succeed Larry Finger as Executive Vice President, Chief Financial Officer and Treasurer. Mr. Squeri served in a variety of positions at Choice Hotels International, from 1997 through 2007, including chief financial officer beginning in 1999, and then more significant operations roles culminating in his position as president and chief operating officer. Prior to his experience at Choice Hotels, Joseph held positions at Arthur Andersen and The Carlyle Group, a leading investment firm in Washington, DC. Mr. Squeri is a graduate of the University of Virginia, and is a certified public accountant.</w:t>
      </w:r>
    </w:p>
    <w:p>
      <w:pPr>
        <w:spacing w:after="0" w:line="14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“We’re extremely pleased to have attracted someone with the operating and financial experience and proven track record that Joe possesses,” commented Donald Wood. “The transition period from October of this year through Larry’s retirement in March 2008, allows us to optimize the impact that Joe can have on our business after working along side Larry and the rest of our senior operating team.”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Regular Quarterly Dividends</w:t>
      </w:r>
    </w:p>
    <w:p>
      <w:pPr>
        <w:spacing w:after="0" w:line="9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Federal Realty also announced today that its Board of Trustees increased the regular dividend on its common shares, declaring a regular quarterly cash dividend of $0.61 per share on its common shares, resulting in an indicated annual rate of $2.44 per share, an increase of $0.14 annually or 6.1%. The regular common dividend will be payable on October 15, 2007, to common shareholders of record as of September 21, 2007.</w:t>
      </w:r>
    </w:p>
    <w:p>
      <w:pPr>
        <w:spacing w:after="0" w:line="134" w:lineRule="exact"/>
        <w:rPr>
          <w:sz w:val="20"/>
          <w:szCs w:val="20"/>
          <w:color w:val="auto"/>
        </w:rPr>
      </w:pPr>
    </w:p>
    <w:p>
      <w:pPr>
        <w:ind w:right="480"/>
        <w:spacing w:after="0" w:line="221" w:lineRule="auto"/>
        <w:rPr>
          <w:sz w:val="20"/>
          <w:szCs w:val="20"/>
          <w:color w:val="auto"/>
        </w:rPr>
      </w:pPr>
      <w:r>
        <w:rPr>
          <w:rFonts w:ascii="Arial" w:cs="Arial" w:eastAsia="Arial" w:hAnsi="Arial"/>
          <w:sz w:val="18"/>
          <w:szCs w:val="18"/>
          <w:color w:val="auto"/>
        </w:rPr>
        <w:t>This increase represents the 40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consecutive year that Federal Realty has increased its common dividend, the longest record of consecutive annual dividend increases in the REIT sector.</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thrilled to be increasing our common dividend rate for the 40th consecutive year,” said Andrew Blocher, senior vice president, capital markets and investor relations. “Our dividend record is a testament to the ability of the Trust’s high quality real estate to produce consistent results over a sustained time period despite volatility in the market and the economy.”</w:t>
      </w:r>
    </w:p>
    <w:p>
      <w:pPr>
        <w:sectPr>
          <w:pgSz w:w="11900" w:h="16838" w:orient="portrait"/>
          <w:cols w:equalWidth="0" w:num="1">
            <w:col w:w="11420"/>
          </w:cols>
          <w:pgMar w:left="240" w:top="2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 ANNOUNCES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2007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Guidance</w:t>
      </w:r>
    </w:p>
    <w:p>
      <w:pPr>
        <w:spacing w:after="0" w:line="9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Federal Realty’s guidance for 2007 FFO per diluted share was narrowed to a range of $3.62 to $3.65, and its 2007 earnings per diluted common share guidance increased to a range of $2.12 to $2.15.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Other Quarterly Activities and Recent Developments</w:t>
      </w:r>
    </w:p>
    <w:p>
      <w:pPr>
        <w:spacing w:after="0" w:line="96" w:lineRule="exact"/>
        <w:rPr>
          <w:sz w:val="20"/>
          <w:szCs w:val="20"/>
          <w:color w:val="auto"/>
        </w:rPr>
      </w:pPr>
    </w:p>
    <w:p>
      <w:pPr>
        <w:ind w:left="460" w:right="120" w:hanging="452"/>
        <w:spacing w:after="0" w:line="259"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June 4, 2007 – Federal Realty acquired Shoppers’ World, a 169,000 square foot Whole Foods-anchored neighborhood shopping center located on U.S. 29 in Charlottesville, Virginia, in an off-market transaction from a private owner. This acquisition further enhances Federal Realty’s ownership in Charlottesville, Virginia, as the Trust now owns and operates 650,000 square feet of retail space.</w:t>
      </w:r>
    </w:p>
    <w:p>
      <w:pPr>
        <w:spacing w:after="0" w:line="59" w:lineRule="exact"/>
        <w:rPr>
          <w:rFonts w:ascii="Arial" w:cs="Arial" w:eastAsia="Arial" w:hAnsi="Arial"/>
          <w:sz w:val="18"/>
          <w:szCs w:val="18"/>
          <w:color w:val="auto"/>
        </w:rPr>
      </w:pPr>
    </w:p>
    <w:p>
      <w:pPr>
        <w:ind w:left="460" w:hanging="452"/>
        <w:spacing w:after="0" w:line="256"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June 25, 2007- Federal Realty completed the sale of three non-core properties in suburban New England for $63.0 million. All three properties – Riverside Plaza and Key Road Plaza in Keene, N.H., and Bath Shopping Center in Bath, Maine—were acquired in August 2006 to facilitate the purchase of $150 million of high-quality assets in the Boston metropolitan area. The $63.0 million sales price for the three properties generated a book gain of approximately $2 million.</w:t>
      </w:r>
    </w:p>
    <w:p>
      <w:pPr>
        <w:spacing w:after="0" w:line="62" w:lineRule="exact"/>
        <w:rPr>
          <w:rFonts w:ascii="Arial" w:cs="Arial" w:eastAsia="Arial" w:hAnsi="Arial"/>
          <w:sz w:val="18"/>
          <w:szCs w:val="18"/>
          <w:color w:val="auto"/>
        </w:rPr>
      </w:pPr>
    </w:p>
    <w:p>
      <w:pPr>
        <w:ind w:left="460" w:right="140" w:hanging="452"/>
        <w:spacing w:after="0" w:line="306"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July 17, 2007 – Federal Realty announced that Warren M. Thompson, president and chairman of Thompson Hospitality Corporation, was nominated and appointed to serve on Federal Realty’s board of trustees. Mr. Thompson’s term will run until the Trust’s annual meeting of shareholders in May 2008, and he will serve on the Trust’s audit committee and nominating and corporate governance committee.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Information</w:t>
      </w:r>
    </w:p>
    <w:p>
      <w:pPr>
        <w:spacing w:after="0" w:line="9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Federal Realty’s management team will present an in-depth discussion of the Trust’s operating performance on its second quarter 2007 earnings conference call, which is scheduled for August 2, 2007, at 11 a.m. Eastern Daylight Time. To participate, please call (866) 383-8119 five to ten minutes prior to the call’s start time and use the passcode EARNINGS (required). The conference leader is Andrew Blocher. Federal Realty will also provide an online Web Simulcast on the Company’s Web site, www.federalrealty.com, which will remain available for 30 days following the call. A telephone recording of the call will also be available through August 31, 2007, by dialing (888) 286-8010 and entering the passcode 24455828.</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Federal Realty</w:t>
      </w:r>
    </w:p>
    <w:p>
      <w:pPr>
        <w:spacing w:after="0" w:line="9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Federal Realty Investment Trust is an equity real estate investment trust specializing in the ownership, management, development, and redevelopment of high quality retail assets. Federal Realty’s portfolio (excluding joint venture properties) contains approximately 19.5 million square feet located primarily in strategic metropolitan markets in the Northeast, Mid-Atlantic, and California. In addition, the Trust has an ownership interest in approximately 1.0 million square feet of retail space through its joint venture with Clarion Lion Properties Fund in which the Trust has a 30%</w:t>
      </w:r>
    </w:p>
    <w:p>
      <w:pPr>
        <w:sectPr>
          <w:pgSz w:w="11900" w:h="16838" w:orient="portrait"/>
          <w:cols w:equalWidth="0" w:num="1">
            <w:col w:w="11380"/>
          </w:cols>
          <w:pgMar w:left="240" w:top="280" w:right="27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 ANNOUNCES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2007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interest. Our operating portfolio (excluding joint venture properties) was 96.1% leased to national, regional, and local retailers as of June 30, 2007, with no single tenant accounting for more than approximately 2.9% of annualized base rent. Federal Realty has paid quarterly dividends to its shareholders continuously since its founding in 1962, and has increased its dividend rate for 40 consecutive years, the longest record in the REIT industry. Shares of Federal Realty are traded on the NYSE under the symbol FRT.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9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March 1, 2007 and include the following:</w:t>
      </w:r>
    </w:p>
    <w:p>
      <w:pPr>
        <w:spacing w:after="0" w:line="62"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that our tenants will not pay rent or that we may be unable to renew leases or re-let space at favorable rents as leases expire;</w:t>
      </w:r>
    </w:p>
    <w:p>
      <w:pPr>
        <w:spacing w:after="0" w:line="90" w:lineRule="exact"/>
        <w:rPr>
          <w:rFonts w:ascii="Arial" w:cs="Arial" w:eastAsia="Arial" w:hAnsi="Arial"/>
          <w:sz w:val="18"/>
          <w:szCs w:val="18"/>
          <w:color w:val="auto"/>
        </w:rPr>
      </w:pPr>
    </w:p>
    <w:p>
      <w:pPr>
        <w:ind w:left="900" w:right="380" w:hanging="446"/>
        <w:spacing w:after="0" w:line="33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risks that we may not be able to proceed with or obtain necessary approvals for any redevelopment or renovation project, and that completion of anticipated or ongoing property redevelopments or renovations may cost more, take more time to complete, or fail to perform as expected;</w:t>
      </w:r>
    </w:p>
    <w:p>
      <w:pPr>
        <w:spacing w:after="0" w:line="4" w:lineRule="exact"/>
        <w:rPr>
          <w:rFonts w:ascii="Arial" w:cs="Arial" w:eastAsia="Arial" w:hAnsi="Arial"/>
          <w:sz w:val="16"/>
          <w:szCs w:val="16"/>
          <w:color w:val="auto"/>
        </w:rPr>
      </w:pPr>
    </w:p>
    <w:p>
      <w:pPr>
        <w:ind w:left="90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that the number of properties we acquire for our own account, and therefore the amount of capital we invest in acquisitions, may be impacted by our real estate partnership;</w:t>
      </w:r>
    </w:p>
    <w:p>
      <w:pPr>
        <w:spacing w:after="0" w:line="50" w:lineRule="exact"/>
        <w:rPr>
          <w:rFonts w:ascii="Arial" w:cs="Arial" w:eastAsia="Arial" w:hAnsi="Arial"/>
          <w:sz w:val="18"/>
          <w:szCs w:val="18"/>
          <w:color w:val="auto"/>
        </w:rPr>
      </w:pPr>
    </w:p>
    <w:p>
      <w:pPr>
        <w:ind w:left="900" w:right="40" w:hanging="446"/>
        <w:spacing w:after="0" w:line="298"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environmental issues may develop at our properties and result in unanticipated costs, and, because real estate is illiquid, that we may not be able to sell properties when appropriate;</w:t>
      </w:r>
    </w:p>
    <w:p>
      <w:pPr>
        <w:spacing w:after="0" w:line="31" w:lineRule="exact"/>
        <w:rPr>
          <w:rFonts w:ascii="Arial" w:cs="Arial" w:eastAsia="Arial" w:hAnsi="Arial"/>
          <w:sz w:val="16"/>
          <w:szCs w:val="16"/>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90"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59" w:lineRule="exact"/>
        <w:rPr>
          <w:rFonts w:ascii="Arial" w:cs="Arial" w:eastAsia="Arial" w:hAnsi="Arial"/>
          <w:sz w:val="18"/>
          <w:szCs w:val="18"/>
          <w:color w:val="auto"/>
        </w:rPr>
      </w:pPr>
    </w:p>
    <w:p>
      <w:pPr>
        <w:ind w:left="900" w:right="120" w:hanging="446"/>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40"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i w:val="1"/>
          <w:iCs w:val="1"/>
          <w:color w:val="auto"/>
        </w:rPr>
        <w:t>Given these uncertainties, readers are cautioned not to place undue reliance on any forward-looking statements that we make, including those in this press release. Except as may be required by law, we make no promise to update any of the forward-looking statements as a result of new information, future events or otherwise. You should carefully review the risks and risk factors included in our Annual Report on Form 10-K filed March 1, 2007.</w:t>
      </w:r>
    </w:p>
    <w:p>
      <w:pPr>
        <w:sectPr>
          <w:pgSz w:w="11900" w:h="16838" w:orient="portrait"/>
          <w:cols w:equalWidth="0" w:num="1">
            <w:col w:w="11420"/>
          </w:cols>
          <w:pgMar w:left="240" w:top="28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Income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2007</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4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w w:val="86"/>
              </w:rPr>
              <w:t>Three months ended June 30,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84"/>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(in</w:t>
            </w: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2080" w:type="dxa"/>
            <w:vAlign w:val="bottom"/>
            <w:gridSpan w:val="7"/>
          </w:tcPr>
          <w:p>
            <w:pPr>
              <w:ind w:left="20"/>
              <w:spacing w:after="0" w:line="129" w:lineRule="exact"/>
              <w:rPr>
                <w:sz w:val="20"/>
                <w:szCs w:val="20"/>
                <w:color w:val="auto"/>
              </w:rPr>
            </w:pPr>
            <w:r>
              <w:rPr>
                <w:rFonts w:ascii="Arial" w:cs="Arial" w:eastAsia="Arial" w:hAnsi="Arial"/>
                <w:sz w:val="14"/>
                <w:szCs w:val="14"/>
                <w:b w:val="1"/>
                <w:bCs w:val="1"/>
                <w:color w:val="auto"/>
                <w:w w:val="89"/>
              </w:rPr>
              <w:t>thousands, except per share data)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Rental income</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119,920</w:t>
            </w:r>
          </w:p>
        </w:tc>
        <w:tc>
          <w:tcPr>
            <w:tcW w:w="60" w:type="dxa"/>
            <w:vAlign w:val="bottom"/>
          </w:tcPr>
          <w:p>
            <w:pPr>
              <w:spacing w:after="0"/>
              <w:rPr>
                <w:sz w:val="18"/>
                <w:szCs w:val="18"/>
                <w:color w:val="auto"/>
              </w:rPr>
            </w:pP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105,329</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237,096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210,302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property income</w:t>
            </w: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4,995</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Mortgage interest income</w:t>
            </w:r>
          </w:p>
        </w:tc>
        <w:tc>
          <w:tcPr>
            <w:tcW w:w="2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2,257</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123,604</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108,544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244,348</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216,933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2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2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Rental</w:t>
            </w: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49,498</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Real estate taxes</w:t>
            </w: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11,991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10,503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23,335</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21,049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11,640</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26,526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24,176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52,472</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68,923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59,965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136,945</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121,092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54,681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48,579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107,403</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95,841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interest income</w:t>
            </w: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680</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(29,728)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(24,754)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(59,044)</w:t>
            </w: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(49,034)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real estate partnership</w:t>
            </w:r>
          </w:p>
        </w:tc>
        <w:tc>
          <w:tcPr>
            <w:tcW w:w="2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2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minority interests</w:t>
            </w:r>
          </w:p>
        </w:tc>
        <w:tc>
          <w:tcPr>
            <w:tcW w:w="2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25,646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24,346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49,686</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47,738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Minority interests</w:t>
            </w: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(2,681)</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(2,397)</w:t>
            </w:r>
          </w:p>
        </w:tc>
        <w:tc>
          <w:tcPr>
            <w:tcW w:w="0" w:type="dxa"/>
            <w:vAlign w:val="bottom"/>
          </w:tcPr>
          <w:p>
            <w:pPr>
              <w:spacing w:after="0"/>
              <w:rPr>
                <w:sz w:val="1"/>
                <w:szCs w:val="1"/>
                <w:color w:val="auto"/>
              </w:rPr>
            </w:pPr>
          </w:p>
        </w:tc>
      </w:tr>
      <w:tr>
        <w:trPr>
          <w:trHeight w:val="221"/>
        </w:trPr>
        <w:tc>
          <w:tcPr>
            <w:tcW w:w="502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2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24,262</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23,022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47,005</w:t>
            </w: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Income from discontinued operations</w:t>
            </w: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 of real estate from discontinued operations</w:t>
            </w:r>
          </w:p>
        </w:tc>
        <w:tc>
          <w:tcPr>
            <w:tcW w:w="2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Results from discontinued operations</w:t>
            </w:r>
          </w:p>
        </w:tc>
        <w:tc>
          <w:tcPr>
            <w:tcW w:w="2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2,456</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2,849</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gain on sale of real estate</w:t>
            </w: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49,854</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Gain on sale of real estate</w:t>
            </w:r>
          </w:p>
        </w:tc>
        <w:tc>
          <w:tcPr>
            <w:tcW w:w="2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38,256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49,854</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Dividends on preferred stock</w:t>
            </w: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(2,869)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(5,738)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w:t>
            </w: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26,583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35,387</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49,683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 BASIC</w:t>
            </w:r>
          </w:p>
        </w:tc>
        <w:tc>
          <w:tcPr>
            <w:tcW w:w="2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20" w:type="dxa"/>
            <w:vAlign w:val="bottom"/>
            <w:gridSpan w:val="2"/>
            <w:vMerge w:val="continue"/>
          </w:tcPr>
          <w:p>
            <w:pPr>
              <w:spacing w:after="0"/>
              <w:rPr>
                <w:sz w:val="18"/>
                <w:szCs w:val="18"/>
                <w:color w:val="auto"/>
              </w:rPr>
            </w:pP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0.84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Discontinued operations</w:t>
            </w: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0.04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 of real estate</w:t>
            </w:r>
          </w:p>
        </w:tc>
        <w:tc>
          <w:tcPr>
            <w:tcW w:w="2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0.47</w:t>
            </w:r>
          </w:p>
        </w:tc>
        <w:tc>
          <w:tcPr>
            <w:tcW w:w="60" w:type="dxa"/>
            <w:vAlign w:val="bottom"/>
          </w:tcPr>
          <w:p>
            <w:pPr>
              <w:spacing w:after="0"/>
              <w:rPr>
                <w:sz w:val="19"/>
                <w:szCs w:val="19"/>
                <w:color w:val="auto"/>
              </w:rPr>
            </w:pP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0.67</w:t>
            </w:r>
          </w:p>
        </w:tc>
        <w:tc>
          <w:tcPr>
            <w:tcW w:w="1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0.89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basic</w:t>
            </w: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56,168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55,797</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 DILUTED</w:t>
            </w:r>
          </w:p>
        </w:tc>
        <w:tc>
          <w:tcPr>
            <w:tcW w:w="2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20" w:type="dxa"/>
            <w:vAlign w:val="bottom"/>
            <w:gridSpan w:val="2"/>
            <w:vMerge w:val="continue"/>
          </w:tcPr>
          <w:p>
            <w:pPr>
              <w:spacing w:after="0"/>
              <w:rPr>
                <w:sz w:val="18"/>
                <w:szCs w:val="18"/>
                <w:color w:val="auto"/>
              </w:rPr>
            </w:pP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0.83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Discontinued operations</w:t>
            </w: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0.04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 of real estate</w:t>
            </w:r>
          </w:p>
        </w:tc>
        <w:tc>
          <w:tcPr>
            <w:tcW w:w="2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0.47</w:t>
            </w:r>
          </w:p>
        </w:tc>
        <w:tc>
          <w:tcPr>
            <w:tcW w:w="60" w:type="dxa"/>
            <w:vAlign w:val="bottom"/>
          </w:tcPr>
          <w:p>
            <w:pPr>
              <w:spacing w:after="0"/>
              <w:rPr>
                <w:sz w:val="19"/>
                <w:szCs w:val="19"/>
                <w:color w:val="auto"/>
              </w:rPr>
            </w:pP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0.66</w:t>
            </w:r>
          </w:p>
        </w:tc>
        <w:tc>
          <w:tcPr>
            <w:tcW w:w="1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0.88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diluted</w:t>
            </w: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56,591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56,258</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460" w:type="dxa"/>
            <w:vAlign w:val="bottom"/>
            <w:vMerge w:val="restart"/>
          </w:tcPr>
          <w:p>
            <w:pPr>
              <w:jc w:val="right"/>
              <w:ind w:right="1632"/>
              <w:spacing w:after="0"/>
              <w:rPr>
                <w:sz w:val="20"/>
                <w:szCs w:val="20"/>
                <w:color w:val="auto"/>
              </w:rPr>
            </w:pPr>
            <w:r>
              <w:rPr>
                <w:rFonts w:ascii="Arial" w:cs="Arial" w:eastAsia="Arial" w:hAnsi="Arial"/>
                <w:sz w:val="18"/>
                <w:szCs w:val="18"/>
                <w:color w:val="auto"/>
              </w:rPr>
              <w:t>8</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78"/>
              <w:spacing w:after="0"/>
              <w:rPr>
                <w:sz w:val="20"/>
                <w:szCs w:val="20"/>
                <w:color w:val="auto"/>
              </w:rPr>
            </w:pPr>
            <w:r>
              <w:rPr>
                <w:rFonts w:ascii="Arial" w:cs="Arial" w:eastAsia="Arial" w:hAnsi="Arial"/>
                <w:sz w:val="14"/>
                <w:szCs w:val="14"/>
                <w:b w:val="1"/>
                <w:bCs w:val="1"/>
                <w:color w:val="auto"/>
                <w:w w:val="85"/>
              </w:rPr>
              <w:t>June 30,</w:t>
            </w:r>
          </w:p>
        </w:tc>
        <w:tc>
          <w:tcPr>
            <w:tcW w:w="1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3"/>
              </w:rPr>
              <w:t>2007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ind w:right="35"/>
              <w:spacing w:after="0" w:line="129" w:lineRule="exact"/>
              <w:rPr>
                <w:sz w:val="20"/>
                <w:szCs w:val="20"/>
                <w:color w:val="auto"/>
              </w:rPr>
            </w:pPr>
            <w:r>
              <w:rPr>
                <w:rFonts w:ascii="Arial" w:cs="Arial" w:eastAsia="Arial" w:hAnsi="Arial"/>
                <w:sz w:val="14"/>
                <w:szCs w:val="14"/>
                <w:b w:val="1"/>
                <w:bCs w:val="1"/>
                <w:color w:val="auto"/>
              </w:rPr>
              <w:t>(in</w:t>
            </w:r>
          </w:p>
        </w:tc>
        <w:tc>
          <w:tcPr>
            <w:tcW w:w="1080" w:type="dxa"/>
            <w:vAlign w:val="bottom"/>
            <w:gridSpan w:val="4"/>
          </w:tcPr>
          <w:p>
            <w:pPr>
              <w:jc w:val="right"/>
              <w:ind w:right="453"/>
              <w:spacing w:after="0" w:line="129" w:lineRule="exact"/>
              <w:rPr>
                <w:sz w:val="20"/>
                <w:szCs w:val="20"/>
                <w:color w:val="auto"/>
              </w:rPr>
            </w:pPr>
            <w:r>
              <w:rPr>
                <w:rFonts w:ascii="Arial" w:cs="Arial" w:eastAsia="Arial" w:hAnsi="Arial"/>
                <w:sz w:val="12"/>
                <w:szCs w:val="12"/>
                <w:b w:val="1"/>
                <w:bCs w:val="1"/>
                <w:color w:val="auto"/>
                <w:w w:val="80"/>
              </w:rPr>
              <w:t>thousands)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960" w:type="dxa"/>
            <w:vAlign w:val="bottom"/>
            <w:gridSpan w:val="3"/>
          </w:tcPr>
          <w:p>
            <w:pPr>
              <w:jc w:val="center"/>
              <w:ind w:right="98"/>
              <w:spacing w:after="0"/>
              <w:rPr>
                <w:sz w:val="20"/>
                <w:szCs w:val="20"/>
                <w:color w:val="auto"/>
              </w:rPr>
            </w:pPr>
            <w:r>
              <w:rPr>
                <w:rFonts w:ascii="Arial" w:cs="Arial" w:eastAsia="Arial" w:hAnsi="Arial"/>
                <w:sz w:val="14"/>
                <w:szCs w:val="14"/>
                <w:b w:val="1"/>
                <w:bCs w:val="1"/>
                <w:color w:val="auto"/>
                <w:w w:val="89"/>
              </w:rPr>
              <w:t>(unaudited)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4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Real estate, at cost</w:t>
            </w:r>
          </w:p>
        </w:tc>
        <w:tc>
          <w:tcPr>
            <w:tcW w:w="4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3,316,513</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3,025,210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Construction-in-progress</w:t>
            </w:r>
          </w:p>
        </w:tc>
        <w:tc>
          <w:tcPr>
            <w:tcW w:w="4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109,215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99,774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Assets held for sale (discontinued operations)</w:t>
            </w:r>
          </w:p>
        </w:tc>
        <w:tc>
          <w:tcPr>
            <w:tcW w:w="4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3,441,715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3,204,258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4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w w:val="98"/>
              </w:rPr>
              <w:t>(785,291)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(740,507)</w:t>
            </w:r>
          </w:p>
        </w:tc>
        <w:tc>
          <w:tcPr>
            <w:tcW w:w="0" w:type="dxa"/>
            <w:vAlign w:val="bottom"/>
          </w:tcPr>
          <w:p>
            <w:pPr>
              <w:spacing w:after="0"/>
              <w:rPr>
                <w:sz w:val="1"/>
                <w:szCs w:val="1"/>
                <w:color w:val="auto"/>
              </w:rPr>
            </w:pPr>
          </w:p>
        </w:tc>
      </w:tr>
      <w:tr>
        <w:trPr>
          <w:trHeight w:val="221"/>
        </w:trPr>
        <w:tc>
          <w:tcPr>
            <w:tcW w:w="5000" w:type="dxa"/>
            <w:vAlign w:val="bottom"/>
            <w:gridSpan w:val="2"/>
          </w:tcPr>
          <w:p>
            <w:pPr>
              <w:spacing w:after="0"/>
              <w:rPr>
                <w:sz w:val="20"/>
                <w:szCs w:val="20"/>
                <w:color w:val="auto"/>
              </w:rPr>
            </w:pPr>
            <w:r>
              <w:rPr>
                <w:rFonts w:ascii="Arial" w:cs="Arial" w:eastAsia="Arial" w:hAnsi="Arial"/>
                <w:sz w:val="18"/>
                <w:szCs w:val="18"/>
                <w:color w:val="auto"/>
              </w:rPr>
              <w:t>Net real estate</w:t>
            </w:r>
          </w:p>
        </w:tc>
        <w:tc>
          <w:tcPr>
            <w:tcW w:w="44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2,656,424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2,463,751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Accounts and notes receivable</w:t>
            </w:r>
          </w:p>
        </w:tc>
        <w:tc>
          <w:tcPr>
            <w:tcW w:w="4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52,753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47,493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Mortgage notes receivable</w:t>
            </w:r>
          </w:p>
        </w:tc>
        <w:tc>
          <w:tcPr>
            <w:tcW w:w="4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40,775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Investment in real estate partnership</w:t>
            </w:r>
          </w:p>
        </w:tc>
        <w:tc>
          <w:tcPr>
            <w:tcW w:w="4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30,191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10,322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4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109,294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4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2,901,155</w:t>
            </w:r>
          </w:p>
        </w:tc>
        <w:tc>
          <w:tcPr>
            <w:tcW w:w="160" w:type="dxa"/>
            <w:vAlign w:val="bottom"/>
          </w:tcPr>
          <w:p>
            <w:pPr>
              <w:spacing w:after="0"/>
              <w:rPr>
                <w:sz w:val="19"/>
                <w:szCs w:val="19"/>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2,688,606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4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Liabilities</w:t>
            </w:r>
          </w:p>
        </w:tc>
        <w:tc>
          <w:tcPr>
            <w:tcW w:w="4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Obligations under capital leases and mortgages payable</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528,002</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460,398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Notes payable, including revolving credit facility</w:t>
            </w:r>
          </w:p>
        </w:tc>
        <w:tc>
          <w:tcPr>
            <w:tcW w:w="4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157,925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109,024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Senior notes and debentures</w:t>
            </w:r>
          </w:p>
        </w:tc>
        <w:tc>
          <w:tcPr>
            <w:tcW w:w="4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1,127,548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1,127,508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Accounts payable and other liabilities</w:t>
            </w:r>
          </w:p>
        </w:tc>
        <w:tc>
          <w:tcPr>
            <w:tcW w:w="4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184,693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185,407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4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1,998,168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1,882,337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Minority interests</w:t>
            </w:r>
          </w:p>
        </w:tc>
        <w:tc>
          <w:tcPr>
            <w:tcW w:w="4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38,033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22,191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4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Preferred stock</w:t>
            </w:r>
          </w:p>
        </w:tc>
        <w:tc>
          <w:tcPr>
            <w:tcW w:w="4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shares and other shareholders’ equity</w:t>
            </w:r>
          </w:p>
        </w:tc>
        <w:tc>
          <w:tcPr>
            <w:tcW w:w="4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854,957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784,078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Arial" w:cs="Arial" w:eastAsia="Arial" w:hAnsi="Arial"/>
                <w:sz w:val="18"/>
                <w:szCs w:val="18"/>
                <w:color w:val="auto"/>
              </w:rPr>
              <w:t>Total shareholders’ equity</w:t>
            </w:r>
          </w:p>
        </w:tc>
        <w:tc>
          <w:tcPr>
            <w:tcW w:w="44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864,954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784,078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2,901,155</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2,688,606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4480" w:type="dxa"/>
            <w:vAlign w:val="bottom"/>
            <w:vMerge w:val="restart"/>
          </w:tcPr>
          <w:p>
            <w:pPr>
              <w:jc w:val="right"/>
              <w:ind w:right="3632"/>
              <w:spacing w:after="0"/>
              <w:rPr>
                <w:sz w:val="20"/>
                <w:szCs w:val="20"/>
                <w:color w:val="auto"/>
              </w:rPr>
            </w:pPr>
            <w:r>
              <w:rPr>
                <w:rFonts w:ascii="Arial" w:cs="Arial" w:eastAsia="Arial" w:hAnsi="Arial"/>
                <w:sz w:val="18"/>
                <w:szCs w:val="18"/>
                <w:color w:val="auto"/>
              </w:rPr>
              <w:t>9</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44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 / Summary of Capital Expenditures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2007</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w w:val="98"/>
              </w:rPr>
              <w:t>Three months ended June 30,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2007</w:t>
            </w:r>
          </w:p>
        </w:tc>
        <w:tc>
          <w:tcPr>
            <w:tcW w:w="60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2007</w:t>
            </w:r>
          </w:p>
        </w:tc>
        <w:tc>
          <w:tcPr>
            <w:tcW w:w="60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5"/>
              </w:rPr>
              <w:t>(in thousands,</w:t>
            </w:r>
          </w:p>
        </w:tc>
        <w:tc>
          <w:tcPr>
            <w:tcW w:w="1600" w:type="dxa"/>
            <w:vAlign w:val="bottom"/>
            <w:gridSpan w:val="3"/>
          </w:tcPr>
          <w:p>
            <w:pPr>
              <w:jc w:val="right"/>
              <w:ind w:right="93"/>
              <w:spacing w:after="0" w:line="142" w:lineRule="exact"/>
              <w:rPr>
                <w:sz w:val="20"/>
                <w:szCs w:val="20"/>
                <w:color w:val="auto"/>
              </w:rPr>
            </w:pPr>
            <w:r>
              <w:rPr>
                <w:rFonts w:ascii="Arial" w:cs="Arial" w:eastAsia="Arial" w:hAnsi="Arial"/>
                <w:sz w:val="14"/>
                <w:szCs w:val="14"/>
                <w:b w:val="1"/>
                <w:bCs w:val="1"/>
                <w:color w:val="auto"/>
                <w:w w:val="94"/>
              </w:rPr>
              <w:t>except per share data)</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1"/>
              </w:rPr>
              <w:t>(in thousands,</w:t>
            </w:r>
          </w:p>
        </w:tc>
        <w:tc>
          <w:tcPr>
            <w:tcW w:w="1540" w:type="dxa"/>
            <w:vAlign w:val="bottom"/>
            <w:gridSpan w:val="3"/>
          </w:tcPr>
          <w:p>
            <w:pPr>
              <w:jc w:val="right"/>
              <w:ind w:right="93"/>
              <w:spacing w:after="0" w:line="142" w:lineRule="exact"/>
              <w:rPr>
                <w:sz w:val="20"/>
                <w:szCs w:val="20"/>
                <w:color w:val="auto"/>
              </w:rPr>
            </w:pPr>
            <w:r>
              <w:rPr>
                <w:rFonts w:ascii="Arial" w:cs="Arial" w:eastAsia="Arial" w:hAnsi="Arial"/>
                <w:sz w:val="14"/>
                <w:szCs w:val="14"/>
                <w:b w:val="1"/>
                <w:bCs w:val="1"/>
                <w:color w:val="auto"/>
                <w:w w:val="90"/>
              </w:rPr>
              <w:t>except per share data)</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w w:val="96"/>
              </w:rPr>
              <w:t>Funds from Operations available for common shareholders (FFO) (1)</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Net income</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26,718</w:t>
            </w:r>
          </w:p>
        </w:tc>
        <w:tc>
          <w:tcPr>
            <w:tcW w:w="60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38,256</w:t>
            </w:r>
          </w:p>
        </w:tc>
        <w:tc>
          <w:tcPr>
            <w:tcW w:w="30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32"/>
              <w:spacing w:after="0"/>
              <w:rPr>
                <w:sz w:val="20"/>
                <w:szCs w:val="20"/>
                <w:color w:val="auto"/>
              </w:rPr>
            </w:pPr>
            <w:r>
              <w:rPr>
                <w:rFonts w:ascii="Arial" w:cs="Arial" w:eastAsia="Arial" w:hAnsi="Arial"/>
                <w:sz w:val="18"/>
                <w:szCs w:val="18"/>
                <w:color w:val="auto"/>
              </w:rPr>
              <w:t>49,854</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69,287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real estate</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(1,849)</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(15,034)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(1,849)</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Depreciation and amortization of real estate assets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24,317</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22,010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532"/>
              <w:spacing w:after="0"/>
              <w:rPr>
                <w:sz w:val="20"/>
                <w:szCs w:val="20"/>
                <w:color w:val="auto"/>
              </w:rPr>
            </w:pPr>
            <w:r>
              <w:rPr>
                <w:rFonts w:ascii="Arial" w:cs="Arial" w:eastAsia="Arial" w:hAnsi="Arial"/>
                <w:sz w:val="18"/>
                <w:szCs w:val="18"/>
                <w:color w:val="auto"/>
              </w:rPr>
              <w:t>48,259</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43,884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initial direct costs of leases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4,177</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Depreciation of real estate partnership assets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323</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532"/>
              <w:spacing w:after="0"/>
              <w:rPr>
                <w:sz w:val="20"/>
                <w:szCs w:val="20"/>
                <w:color w:val="auto"/>
              </w:rPr>
            </w:pPr>
            <w:r>
              <w:rPr>
                <w:rFonts w:ascii="Arial" w:cs="Arial" w:eastAsia="Arial" w:hAnsi="Arial"/>
                <w:sz w:val="18"/>
                <w:szCs w:val="18"/>
                <w:color w:val="auto"/>
              </w:rPr>
              <w:t>591</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Funds from operations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51,616</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101,032</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Dividends on preferred stock</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72"/>
              <w:spacing w:after="0"/>
              <w:rPr>
                <w:sz w:val="20"/>
                <w:szCs w:val="20"/>
                <w:color w:val="auto"/>
              </w:rPr>
            </w:pPr>
            <w:r>
              <w:rPr>
                <w:rFonts w:ascii="Arial" w:cs="Arial" w:eastAsia="Arial" w:hAnsi="Arial"/>
                <w:sz w:val="18"/>
                <w:szCs w:val="18"/>
                <w:color w:val="auto"/>
              </w:rPr>
              <w:t>(135)</w:t>
            </w:r>
          </w:p>
        </w:tc>
        <w:tc>
          <w:tcPr>
            <w:tcW w:w="2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(2,869)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472"/>
              <w:spacing w:after="0"/>
              <w:rPr>
                <w:sz w:val="20"/>
                <w:szCs w:val="20"/>
                <w:color w:val="auto"/>
              </w:rPr>
            </w:pPr>
            <w:r>
              <w:rPr>
                <w:rFonts w:ascii="Arial" w:cs="Arial" w:eastAsia="Arial" w:hAnsi="Arial"/>
                <w:sz w:val="18"/>
                <w:szCs w:val="18"/>
                <w:color w:val="auto"/>
              </w:rPr>
              <w:t>(171)</w:t>
            </w:r>
          </w:p>
        </w:tc>
        <w:tc>
          <w:tcPr>
            <w:tcW w:w="2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Income attributable to operating partnership units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644</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vMerge w:val="restart"/>
          </w:tcPr>
          <w:p>
            <w:pPr>
              <w:ind w:left="420"/>
              <w:spacing w:after="0"/>
              <w:rPr>
                <w:sz w:val="20"/>
                <w:szCs w:val="20"/>
                <w:color w:val="auto"/>
              </w:rPr>
            </w:pPr>
            <w:r>
              <w:rPr>
                <w:rFonts w:ascii="Arial" w:cs="Arial" w:eastAsia="Arial" w:hAnsi="Arial"/>
                <w:sz w:val="18"/>
                <w:szCs w:val="18"/>
                <w:color w:val="auto"/>
              </w:rPr>
              <w:t>FFO</w:t>
            </w: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vMerge w:val="continue"/>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51,880</w:t>
            </w:r>
          </w:p>
        </w:tc>
        <w:tc>
          <w:tcPr>
            <w:tcW w:w="6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44,584</w:t>
            </w:r>
          </w:p>
        </w:tc>
        <w:tc>
          <w:tcPr>
            <w:tcW w:w="300" w:type="dxa"/>
            <w:vAlign w:val="bottom"/>
          </w:tcPr>
          <w:p>
            <w:pPr>
              <w:spacing w:after="0"/>
              <w:rPr>
                <w:sz w:val="19"/>
                <w:szCs w:val="19"/>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32"/>
              <w:spacing w:after="0"/>
              <w:rPr>
                <w:sz w:val="20"/>
                <w:szCs w:val="20"/>
                <w:color w:val="auto"/>
              </w:rPr>
            </w:pPr>
            <w:r>
              <w:rPr>
                <w:rFonts w:ascii="Arial" w:cs="Arial" w:eastAsia="Arial" w:hAnsi="Arial"/>
                <w:sz w:val="18"/>
                <w:szCs w:val="18"/>
                <w:color w:val="auto"/>
              </w:rPr>
              <w:t>101,505</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88,019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FFO per diluted share</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1.79</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vMerge w:val="restart"/>
          </w:tcPr>
          <w:p>
            <w:pPr>
              <w:ind w:left="860"/>
              <w:spacing w:after="0"/>
              <w:rPr>
                <w:sz w:val="20"/>
                <w:szCs w:val="20"/>
                <w:color w:val="auto"/>
              </w:rPr>
            </w:pPr>
            <w:r>
              <w:rPr>
                <w:rFonts w:ascii="Arial" w:cs="Arial" w:eastAsia="Arial" w:hAnsi="Arial"/>
                <w:sz w:val="18"/>
                <w:szCs w:val="18"/>
                <w:color w:val="auto"/>
              </w:rPr>
              <w:t>Weighted average number of common shares, diluted</w:t>
            </w: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57,149</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53,710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532"/>
              <w:spacing w:after="0"/>
              <w:rPr>
                <w:sz w:val="20"/>
                <w:szCs w:val="20"/>
                <w:color w:val="auto"/>
              </w:rPr>
            </w:pPr>
            <w:r>
              <w:rPr>
                <w:rFonts w:ascii="Arial" w:cs="Arial" w:eastAsia="Arial" w:hAnsi="Arial"/>
                <w:sz w:val="18"/>
                <w:szCs w:val="18"/>
                <w:color w:val="auto"/>
              </w:rPr>
              <w:t>56,750</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53,688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Summary of Capital Expenditures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Non-maintenance capital expenditures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Development, redevelopment and expansions</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33,991</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17,685</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55,342</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860"/>
              <w:spacing w:after="0"/>
              <w:rPr>
                <w:sz w:val="20"/>
                <w:szCs w:val="20"/>
                <w:color w:val="auto"/>
              </w:rPr>
            </w:pPr>
            <w:r>
              <w:rPr>
                <w:rFonts w:ascii="Arial" w:cs="Arial" w:eastAsia="Arial" w:hAnsi="Arial"/>
                <w:sz w:val="18"/>
                <w:szCs w:val="18"/>
                <w:color w:val="auto"/>
              </w:rPr>
              <w:t>Tenant improvements and incentives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3,701</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4,521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532"/>
              <w:spacing w:after="0"/>
              <w:rPr>
                <w:sz w:val="20"/>
                <w:szCs w:val="20"/>
                <w:color w:val="auto"/>
              </w:rPr>
            </w:pPr>
            <w:r>
              <w:rPr>
                <w:rFonts w:ascii="Arial" w:cs="Arial" w:eastAsia="Arial" w:hAnsi="Arial"/>
                <w:sz w:val="18"/>
                <w:szCs w:val="18"/>
                <w:color w:val="auto"/>
              </w:rPr>
              <w:t>6,734</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6,454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non-maintenance capital expenditures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37,692</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62,076</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Maintenance capital expenditures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1,946</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532"/>
              <w:spacing w:after="0"/>
              <w:rPr>
                <w:sz w:val="20"/>
                <w:szCs w:val="20"/>
                <w:color w:val="auto"/>
              </w:rPr>
            </w:pPr>
            <w:r>
              <w:rPr>
                <w:rFonts w:ascii="Arial" w:cs="Arial" w:eastAsia="Arial" w:hAnsi="Arial"/>
                <w:sz w:val="18"/>
                <w:szCs w:val="18"/>
                <w:color w:val="auto"/>
              </w:rPr>
              <w:t>3,099</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capital expenditures</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39,638</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22,998</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65,175</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46,204</w:t>
            </w: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8"/>
                <w:szCs w:val="18"/>
                <w:color w:val="auto"/>
              </w:rPr>
              <w:t>Dividends and Payout Ratios</w:t>
            </w: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534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Regular common dividends declared</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32,422</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29,451</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64,805</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58,882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Special common dividends declared (2)</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dividends declared</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32,422</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29,451</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64,805</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69,488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20" w:type="dxa"/>
            <w:vAlign w:val="bottom"/>
          </w:tcPr>
          <w:p>
            <w:pPr>
              <w:jc w:val="right"/>
              <w:ind w:right="492"/>
              <w:spacing w:after="0"/>
              <w:rPr>
                <w:sz w:val="20"/>
                <w:szCs w:val="20"/>
                <w:color w:val="auto"/>
              </w:rPr>
            </w:pPr>
            <w:r>
              <w:rPr>
                <w:rFonts w:ascii="Arial" w:cs="Arial" w:eastAsia="Arial" w:hAnsi="Arial"/>
                <w:sz w:val="18"/>
                <w:szCs w:val="18"/>
                <w:color w:val="auto"/>
                <w:w w:val="88"/>
              </w:rPr>
              <w:t>Dividend payout ratio as a percentage of FFO (excluding special dividends)</w:t>
            </w:r>
          </w:p>
        </w:tc>
        <w:tc>
          <w:tcPr>
            <w:tcW w:w="1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2"/>
        </w:trPr>
        <w:tc>
          <w:tcPr>
            <w:tcW w:w="5920" w:type="dxa"/>
            <w:vAlign w:val="bottom"/>
          </w:tcPr>
          <w:p>
            <w:pPr>
              <w:jc w:val="right"/>
              <w:ind w:right="5412"/>
              <w:spacing w:after="0"/>
              <w:rPr>
                <w:sz w:val="20"/>
                <w:szCs w:val="20"/>
                <w:color w:val="auto"/>
              </w:rPr>
            </w:pPr>
            <w:r>
              <w:rPr>
                <w:rFonts w:ascii="Arial" w:cs="Arial" w:eastAsia="Arial" w:hAnsi="Arial"/>
                <w:sz w:val="18"/>
                <w:szCs w:val="18"/>
                <w:color w:val="auto"/>
              </w:rPr>
              <w:t>(2)</w:t>
            </w:r>
          </w:p>
        </w:tc>
        <w:tc>
          <w:tcPr>
            <w:tcW w:w="1540" w:type="dxa"/>
            <w:vAlign w:val="bottom"/>
          </w:tcPr>
          <w:p>
            <w:pPr>
              <w:jc w:val="right"/>
              <w:ind w:right="552"/>
              <w:spacing w:after="0"/>
              <w:rPr>
                <w:sz w:val="20"/>
                <w:szCs w:val="20"/>
                <w:color w:val="auto"/>
              </w:rPr>
            </w:pPr>
            <w:r>
              <w:rPr>
                <w:rFonts w:ascii="Arial" w:cs="Arial" w:eastAsia="Arial" w:hAnsi="Arial"/>
                <w:sz w:val="18"/>
                <w:szCs w:val="18"/>
                <w:color w:val="auto"/>
              </w:rPr>
              <w:t>62%</w:t>
            </w:r>
          </w:p>
        </w:tc>
        <w:tc>
          <w:tcPr>
            <w:tcW w:w="1540" w:type="dxa"/>
            <w:vAlign w:val="bottom"/>
          </w:tcPr>
          <w:p>
            <w:pPr>
              <w:jc w:val="right"/>
              <w:ind w:right="492"/>
              <w:spacing w:after="0"/>
              <w:rPr>
                <w:sz w:val="20"/>
                <w:szCs w:val="20"/>
                <w:color w:val="auto"/>
              </w:rPr>
            </w:pPr>
            <w:r>
              <w:rPr>
                <w:rFonts w:ascii="Arial" w:cs="Arial" w:eastAsia="Arial" w:hAnsi="Arial"/>
                <w:sz w:val="18"/>
                <w:szCs w:val="18"/>
                <w:color w:val="auto"/>
              </w:rPr>
              <w:t>66%</w:t>
            </w:r>
          </w:p>
        </w:tc>
        <w:tc>
          <w:tcPr>
            <w:tcW w:w="1500" w:type="dxa"/>
            <w:vAlign w:val="bottom"/>
          </w:tcPr>
          <w:p>
            <w:pPr>
              <w:jc w:val="right"/>
              <w:ind w:right="512"/>
              <w:spacing w:after="0"/>
              <w:rPr>
                <w:sz w:val="20"/>
                <w:szCs w:val="20"/>
                <w:color w:val="auto"/>
              </w:rPr>
            </w:pPr>
            <w:r>
              <w:rPr>
                <w:rFonts w:ascii="Arial" w:cs="Arial" w:eastAsia="Arial" w:hAnsi="Arial"/>
                <w:sz w:val="18"/>
                <w:szCs w:val="18"/>
                <w:color w:val="auto"/>
              </w:rPr>
              <w:t>64%</w:t>
            </w:r>
          </w:p>
        </w:tc>
        <w:tc>
          <w:tcPr>
            <w:tcW w:w="920" w:type="dxa"/>
            <w:vAlign w:val="bottom"/>
          </w:tcPr>
          <w:p>
            <w:pPr>
              <w:jc w:val="right"/>
              <w:spacing w:after="0"/>
              <w:rPr>
                <w:sz w:val="20"/>
                <w:szCs w:val="20"/>
                <w:color w:val="auto"/>
              </w:rPr>
            </w:pPr>
            <w:r>
              <w:rPr>
                <w:rFonts w:ascii="Arial" w:cs="Arial" w:eastAsia="Arial" w:hAnsi="Arial"/>
                <w:sz w:val="18"/>
                <w:szCs w:val="18"/>
                <w:color w:val="auto"/>
              </w:rPr>
              <w:t>67%</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9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 Glossary of Terms. FFO available for common shareholders excludes the gain on sale of condominiums at Santana Row.</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sale of condominiums at Santana Row resulted in special dividends in the first quarter of 2006.</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Data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2007</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June 30, 2007</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83"/>
              </w:rPr>
              <w:t>June 30, 2006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80" w:type="dxa"/>
            <w:vAlign w:val="bottom"/>
            <w:gridSpan w:val="6"/>
          </w:tcPr>
          <w:p>
            <w:pPr>
              <w:jc w:val="right"/>
              <w:ind w:right="440"/>
              <w:spacing w:after="0" w:line="142" w:lineRule="exact"/>
              <w:rPr>
                <w:sz w:val="20"/>
                <w:szCs w:val="20"/>
                <w:color w:val="auto"/>
              </w:rPr>
            </w:pPr>
            <w:r>
              <w:rPr>
                <w:rFonts w:ascii="Arial" w:cs="Arial" w:eastAsia="Arial" w:hAnsi="Arial"/>
                <w:sz w:val="14"/>
                <w:szCs w:val="14"/>
                <w:b w:val="1"/>
                <w:bCs w:val="1"/>
                <w:color w:val="auto"/>
                <w:w w:val="89"/>
              </w:rPr>
              <w:t>(in thousands, except per share data)</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Market data</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440"/>
              <w:spacing w:after="0"/>
              <w:rPr>
                <w:sz w:val="20"/>
                <w:szCs w:val="20"/>
                <w:color w:val="auto"/>
              </w:rPr>
            </w:pPr>
            <w:r>
              <w:rPr>
                <w:rFonts w:ascii="Arial" w:cs="Arial" w:eastAsia="Arial" w:hAnsi="Arial"/>
                <w:sz w:val="18"/>
                <w:szCs w:val="18"/>
                <w:color w:val="auto"/>
              </w:rPr>
              <w:t>Common shares outstanding (1)</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56,387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53,065</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Market price per common share</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77.26</w:t>
            </w:r>
          </w:p>
        </w:tc>
        <w:tc>
          <w:tcPr>
            <w:tcW w:w="4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0"/>
        </w:trPr>
        <w:tc>
          <w:tcPr>
            <w:tcW w:w="7200" w:type="dxa"/>
            <w:vAlign w:val="bottom"/>
            <w:vMerge w:val="restart"/>
          </w:tcPr>
          <w:p>
            <w:pPr>
              <w:ind w:left="880"/>
              <w:spacing w:after="0"/>
              <w:rPr>
                <w:sz w:val="20"/>
                <w:szCs w:val="20"/>
                <w:color w:val="auto"/>
              </w:rPr>
            </w:pPr>
            <w:r>
              <w:rPr>
                <w:rFonts w:ascii="Arial" w:cs="Arial" w:eastAsia="Arial" w:hAnsi="Arial"/>
                <w:sz w:val="18"/>
                <w:szCs w:val="18"/>
                <w:color w:val="auto"/>
              </w:rPr>
              <w:t>Common equity market capitalization</w:t>
            </w:r>
          </w:p>
        </w:tc>
        <w:tc>
          <w:tcPr>
            <w:tcW w:w="1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200" w:type="dxa"/>
            <w:vAlign w:val="bottom"/>
            <w:vMerge w:val="continue"/>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4,356,460</w:t>
            </w:r>
          </w:p>
        </w:tc>
        <w:tc>
          <w:tcPr>
            <w:tcW w:w="460" w:type="dxa"/>
            <w:vAlign w:val="bottom"/>
          </w:tcPr>
          <w:p>
            <w:pPr>
              <w:spacing w:after="0"/>
              <w:rPr>
                <w:sz w:val="20"/>
                <w:szCs w:val="20"/>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3,714,550</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Series 1 preferred shares outstanding (2)</w:t>
            </w:r>
          </w:p>
        </w:tc>
        <w:tc>
          <w:tcPr>
            <w:tcW w:w="1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440"/>
              <w:spacing w:after="0"/>
              <w:rPr>
                <w:sz w:val="20"/>
                <w:szCs w:val="20"/>
                <w:color w:val="auto"/>
              </w:rPr>
            </w:pPr>
            <w:r>
              <w:rPr>
                <w:rFonts w:ascii="Arial" w:cs="Arial" w:eastAsia="Arial" w:hAnsi="Arial"/>
                <w:sz w:val="18"/>
                <w:szCs w:val="18"/>
                <w:color w:val="auto"/>
              </w:rPr>
              <w:t>Liquidation price per Series 1 preferred share</w:t>
            </w:r>
          </w:p>
        </w:tc>
        <w:tc>
          <w:tcPr>
            <w:tcW w:w="13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25.00</w:t>
            </w:r>
          </w:p>
        </w:tc>
        <w:tc>
          <w:tcPr>
            <w:tcW w:w="46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Series 1 preferred equity market capitalization</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4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tcPr>
          <w:p>
            <w:pPr>
              <w:ind w:left="440"/>
              <w:spacing w:after="0"/>
              <w:rPr>
                <w:sz w:val="20"/>
                <w:szCs w:val="20"/>
                <w:color w:val="auto"/>
              </w:rPr>
            </w:pPr>
            <w:r>
              <w:rPr>
                <w:rFonts w:ascii="Arial" w:cs="Arial" w:eastAsia="Arial" w:hAnsi="Arial"/>
                <w:sz w:val="18"/>
                <w:szCs w:val="18"/>
                <w:color w:val="auto"/>
              </w:rPr>
              <w:t>Series B preferred shares outstanding (3)</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5,400</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Market price per Series B preferred share</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25.47</w:t>
            </w:r>
          </w:p>
        </w:tc>
        <w:tc>
          <w:tcPr>
            <w:tcW w:w="0" w:type="dxa"/>
            <w:vAlign w:val="bottom"/>
          </w:tcPr>
          <w:p>
            <w:pPr>
              <w:spacing w:after="0"/>
              <w:rPr>
                <w:sz w:val="1"/>
                <w:szCs w:val="1"/>
                <w:color w:val="auto"/>
              </w:rPr>
            </w:pPr>
          </w:p>
        </w:tc>
      </w:tr>
      <w:tr>
        <w:trPr>
          <w:trHeight w:val="20"/>
        </w:trPr>
        <w:tc>
          <w:tcPr>
            <w:tcW w:w="7200" w:type="dxa"/>
            <w:vAlign w:val="bottom"/>
            <w:vMerge w:val="restart"/>
          </w:tcPr>
          <w:p>
            <w:pPr>
              <w:ind w:left="880"/>
              <w:spacing w:after="0"/>
              <w:rPr>
                <w:sz w:val="20"/>
                <w:szCs w:val="20"/>
                <w:color w:val="auto"/>
              </w:rPr>
            </w:pPr>
            <w:r>
              <w:rPr>
                <w:rFonts w:ascii="Arial" w:cs="Arial" w:eastAsia="Arial" w:hAnsi="Arial"/>
                <w:sz w:val="18"/>
                <w:szCs w:val="18"/>
                <w:color w:val="auto"/>
              </w:rPr>
              <w:t>Series B preferred equity market capitalization</w:t>
            </w:r>
          </w:p>
        </w:tc>
        <w:tc>
          <w:tcPr>
            <w:tcW w:w="1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00" w:type="dxa"/>
            <w:vAlign w:val="bottom"/>
            <w:vMerge w:val="continue"/>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137,538</w:t>
            </w:r>
          </w:p>
        </w:tc>
        <w:tc>
          <w:tcPr>
            <w:tcW w:w="0" w:type="dxa"/>
            <w:vAlign w:val="bottom"/>
          </w:tcPr>
          <w:p>
            <w:pPr>
              <w:spacing w:after="0"/>
              <w:rPr>
                <w:sz w:val="1"/>
                <w:szCs w:val="1"/>
                <w:color w:val="auto"/>
              </w:rPr>
            </w:pPr>
          </w:p>
        </w:tc>
      </w:tr>
      <w:tr>
        <w:trPr>
          <w:trHeight w:val="28"/>
        </w:trPr>
        <w:tc>
          <w:tcPr>
            <w:tcW w:w="7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Preferred equity market capitalization</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4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137,538</w:t>
            </w:r>
          </w:p>
        </w:tc>
        <w:tc>
          <w:tcPr>
            <w:tcW w:w="0" w:type="dxa"/>
            <w:vAlign w:val="bottom"/>
          </w:tcPr>
          <w:p>
            <w:pPr>
              <w:spacing w:after="0"/>
              <w:rPr>
                <w:sz w:val="1"/>
                <w:szCs w:val="1"/>
                <w:color w:val="auto"/>
              </w:rPr>
            </w:pPr>
          </w:p>
        </w:tc>
      </w:tr>
      <w:tr>
        <w:trPr>
          <w:trHeight w:val="20"/>
        </w:trPr>
        <w:tc>
          <w:tcPr>
            <w:tcW w:w="7200" w:type="dxa"/>
            <w:vAlign w:val="bottom"/>
            <w:vMerge w:val="restart"/>
          </w:tcPr>
          <w:p>
            <w:pPr>
              <w:ind w:left="440"/>
              <w:spacing w:after="0"/>
              <w:rPr>
                <w:sz w:val="20"/>
                <w:szCs w:val="20"/>
                <w:color w:val="auto"/>
              </w:rPr>
            </w:pPr>
            <w:r>
              <w:rPr>
                <w:rFonts w:ascii="Arial" w:cs="Arial" w:eastAsia="Arial" w:hAnsi="Arial"/>
                <w:sz w:val="18"/>
                <w:szCs w:val="18"/>
                <w:color w:val="auto"/>
              </w:rPr>
              <w:t>Equity market capitalization</w:t>
            </w:r>
          </w:p>
        </w:tc>
        <w:tc>
          <w:tcPr>
            <w:tcW w:w="1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00" w:type="dxa"/>
            <w:vAlign w:val="bottom"/>
            <w:vMerge w:val="continue"/>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4,366,460</w:t>
            </w:r>
          </w:p>
        </w:tc>
        <w:tc>
          <w:tcPr>
            <w:tcW w:w="46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3,852,088</w:t>
            </w:r>
          </w:p>
        </w:tc>
        <w:tc>
          <w:tcPr>
            <w:tcW w:w="0" w:type="dxa"/>
            <w:vAlign w:val="bottom"/>
          </w:tcPr>
          <w:p>
            <w:pPr>
              <w:spacing w:after="0"/>
              <w:rPr>
                <w:sz w:val="1"/>
                <w:szCs w:val="1"/>
                <w:color w:val="auto"/>
              </w:rPr>
            </w:pPr>
          </w:p>
        </w:tc>
      </w:tr>
      <w:tr>
        <w:trPr>
          <w:trHeight w:val="217"/>
        </w:trPr>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debt (4)</w:t>
            </w:r>
          </w:p>
        </w:tc>
        <w:tc>
          <w:tcPr>
            <w:tcW w:w="13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1,813,475</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1,393,766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00" w:type="dxa"/>
            <w:vAlign w:val="bottom"/>
          </w:tcPr>
          <w:p>
            <w:pPr>
              <w:ind w:left="440"/>
              <w:spacing w:after="0"/>
              <w:rPr>
                <w:sz w:val="20"/>
                <w:szCs w:val="20"/>
                <w:color w:val="auto"/>
              </w:rPr>
            </w:pPr>
            <w:r>
              <w:rPr>
                <w:rFonts w:ascii="Arial" w:cs="Arial" w:eastAsia="Arial" w:hAnsi="Arial"/>
                <w:sz w:val="18"/>
                <w:szCs w:val="18"/>
                <w:color w:val="auto"/>
              </w:rPr>
              <w:t>Total market capitalization</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w w:val="94"/>
              </w:rPr>
              <w:t>6,179,935</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5,245,854</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debt to market capitalization at then current market price</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7200" w:type="dxa"/>
            <w:vAlign w:val="bottom"/>
          </w:tcPr>
          <w:p>
            <w:pPr>
              <w:ind w:left="440"/>
              <w:spacing w:after="0"/>
              <w:rPr>
                <w:sz w:val="20"/>
                <w:szCs w:val="20"/>
                <w:color w:val="auto"/>
              </w:rPr>
            </w:pPr>
            <w:r>
              <w:rPr>
                <w:rFonts w:ascii="Arial" w:cs="Arial" w:eastAsia="Arial" w:hAnsi="Arial"/>
                <w:sz w:val="18"/>
                <w:szCs w:val="18"/>
                <w:color w:val="auto"/>
              </w:rPr>
              <w:t>Total debt to market capitalization at constant common share price of $70.00</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Fixed rate debt ratio:</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880"/>
              <w:spacing w:after="0"/>
              <w:rPr>
                <w:sz w:val="20"/>
                <w:szCs w:val="20"/>
                <w:color w:val="auto"/>
              </w:rPr>
            </w:pPr>
            <w:r>
              <w:rPr>
                <w:rFonts w:ascii="Arial" w:cs="Arial" w:eastAsia="Arial" w:hAnsi="Arial"/>
                <w:sz w:val="18"/>
                <w:szCs w:val="18"/>
                <w:color w:val="auto"/>
              </w:rPr>
              <w:t>Fixed rate debt and capital lease obligations</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91%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Variable rate debt</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100%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90" w:lineRule="exact"/>
        <w:rPr>
          <w:sz w:val="20"/>
          <w:szCs w:val="20"/>
          <w:color w:val="auto"/>
        </w:rPr>
      </w:pPr>
    </w:p>
    <w:p>
      <w:pPr>
        <w:ind w:left="460" w:right="300" w:hanging="452"/>
        <w:spacing w:after="0" w:line="259"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Consists of 57,873,340 shares issued net of 1,486,803 shares held in Treasury as of June 30, 2007. As of June 30, 2006, consists of 54,546,427 shares issued net of 1,481,189 shares held in Treasury. Amounts do not include 557,694 and 402,210 Operating Partnership Units outstanding at June 30, 2007 and 2006, respectively.</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These shares, issued March 8, 2007, are unregistered.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November 27, 2006, the Trust redeemed the Series B preferred shares.</w:t>
      </w:r>
    </w:p>
    <w:p>
      <w:pPr>
        <w:spacing w:after="0" w:line="90" w:lineRule="exact"/>
        <w:rPr>
          <w:rFonts w:ascii="Arial" w:cs="Arial" w:eastAsia="Arial" w:hAnsi="Arial"/>
          <w:sz w:val="18"/>
          <w:szCs w:val="18"/>
          <w:color w:val="auto"/>
        </w:rPr>
      </w:pPr>
    </w:p>
    <w:p>
      <w:pPr>
        <w:ind w:left="460" w:right="320" w:hanging="452"/>
        <w:spacing w:after="0" w:line="259"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Total debt includes capital leases, mortgages payable, notes payable, senior notes and debentures, net of premiums and discounts from our consolidated balance sheet. It does not include the $24.5 million which is the Trust’s 30% share of the total $81.6 million debt of the partnership with Clarion Lion Properties Fund.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Rental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6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4"/>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16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60"/>
              <w:spacing w:after="0" w:line="142" w:lineRule="exact"/>
              <w:rPr>
                <w:sz w:val="20"/>
                <w:szCs w:val="20"/>
                <w:color w:val="auto"/>
              </w:rPr>
            </w:pPr>
            <w:r>
              <w:rPr>
                <w:rFonts w:ascii="Arial" w:cs="Arial" w:eastAsia="Arial" w:hAnsi="Arial"/>
                <w:sz w:val="14"/>
                <w:szCs w:val="14"/>
                <w:b w:val="1"/>
                <w:bCs w:val="1"/>
                <w:color w:val="auto"/>
              </w:rPr>
              <w:t>(in</w:t>
            </w:r>
          </w:p>
        </w:tc>
        <w:tc>
          <w:tcPr>
            <w:tcW w:w="900" w:type="dxa"/>
            <w:vAlign w:val="bottom"/>
            <w:gridSpan w:val="4"/>
          </w:tcPr>
          <w:p>
            <w:pPr>
              <w:jc w:val="center"/>
              <w:ind w:right="295"/>
              <w:spacing w:after="0"/>
              <w:rPr>
                <w:sz w:val="20"/>
                <w:szCs w:val="20"/>
                <w:color w:val="auto"/>
              </w:rPr>
            </w:pPr>
            <w:r>
              <w:rPr>
                <w:rFonts w:ascii="Arial" w:cs="Arial" w:eastAsia="Arial" w:hAnsi="Arial"/>
                <w:sz w:val="12"/>
                <w:szCs w:val="12"/>
                <w:b w:val="1"/>
                <w:bCs w:val="1"/>
                <w:color w:val="auto"/>
                <w:w w:val="80"/>
              </w:rPr>
              <w:t>thousands)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rPr>
              <w:t>(in</w:t>
            </w:r>
          </w:p>
        </w:tc>
        <w:tc>
          <w:tcPr>
            <w:tcW w:w="940" w:type="dxa"/>
            <w:vAlign w:val="bottom"/>
            <w:gridSpan w:val="2"/>
          </w:tcPr>
          <w:p>
            <w:pPr>
              <w:jc w:val="right"/>
              <w:ind w:right="332"/>
              <w:spacing w:after="0"/>
              <w:rPr>
                <w:sz w:val="20"/>
                <w:szCs w:val="20"/>
                <w:color w:val="auto"/>
              </w:rPr>
            </w:pPr>
            <w:r>
              <w:rPr>
                <w:rFonts w:ascii="Arial" w:cs="Arial" w:eastAsia="Arial" w:hAnsi="Arial"/>
                <w:sz w:val="12"/>
                <w:szCs w:val="12"/>
                <w:b w:val="1"/>
                <w:bCs w:val="1"/>
                <w:color w:val="auto"/>
                <w:w w:val="80"/>
              </w:rPr>
              <w:t>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Minimum rents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Retail and commercial properties (1)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38"/>
              <w:spacing w:after="0"/>
              <w:rPr>
                <w:sz w:val="20"/>
                <w:szCs w:val="20"/>
                <w:color w:val="auto"/>
              </w:rPr>
            </w:pPr>
            <w:r>
              <w:rPr>
                <w:rFonts w:ascii="Arial" w:cs="Arial" w:eastAsia="Arial" w:hAnsi="Arial"/>
                <w:sz w:val="18"/>
                <w:szCs w:val="18"/>
                <w:color w:val="auto"/>
              </w:rPr>
              <w:t>90,875</w:t>
            </w:r>
          </w:p>
        </w:tc>
        <w:tc>
          <w:tcPr>
            <w:tcW w:w="2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80,054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$ 177,610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$ 158,955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Residential (2)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3,733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3,120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7,342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Cost reimbursements</w:t>
            </w:r>
          </w:p>
        </w:tc>
        <w:tc>
          <w:tcPr>
            <w:tcW w:w="100" w:type="dxa"/>
            <w:vAlign w:val="bottom"/>
          </w:tcPr>
          <w:p>
            <w:pPr>
              <w:spacing w:after="0"/>
              <w:rPr>
                <w:sz w:val="18"/>
                <w:szCs w:val="18"/>
                <w:color w:val="auto"/>
              </w:rPr>
            </w:pPr>
          </w:p>
        </w:tc>
        <w:tc>
          <w:tcPr>
            <w:tcW w:w="680" w:type="dxa"/>
            <w:vAlign w:val="bottom"/>
            <w:gridSpan w:val="2"/>
          </w:tcPr>
          <w:p>
            <w:pPr>
              <w:jc w:val="right"/>
              <w:ind w:right="38"/>
              <w:spacing w:after="0"/>
              <w:rPr>
                <w:sz w:val="20"/>
                <w:szCs w:val="20"/>
                <w:color w:val="auto"/>
              </w:rPr>
            </w:pPr>
            <w:r>
              <w:rPr>
                <w:rFonts w:ascii="Arial" w:cs="Arial" w:eastAsia="Arial" w:hAnsi="Arial"/>
                <w:sz w:val="18"/>
                <w:szCs w:val="18"/>
                <w:color w:val="auto"/>
              </w:rPr>
              <w:t>22,121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19,429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45,668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39,834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Percentage rents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1,700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Other rental income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1,510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2,824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2,749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Total rental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119,920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105,329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$ 237,096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$ 210,302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90" w:lineRule="exact"/>
        <w:rPr>
          <w:sz w:val="20"/>
          <w:szCs w:val="20"/>
          <w:color w:val="auto"/>
        </w:rPr>
      </w:pPr>
    </w:p>
    <w:p>
      <w:pPr>
        <w:ind w:left="460" w:right="60" w:hanging="452"/>
        <w:spacing w:after="0" w:line="298"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Minimum rents include $2.7 million and $1.7 million for the three months ended June 30, 2007 and 2006, respectively, and $4.7 million and $3.1 million for the six months ended June 30, 2007 and 2006, respectively, to recognize minimum rents on a straight-line basis as required by GAAP. In addition, minimum rents include $0.4 million and $0.5 million for the three months ended June 30, 2007 and 2006, respectively, and $1.2 million and $1.0 million for the six months ended June 30, 2007 and 2006, respectively, to recognize income from the amortization of in-place leases in accordance with SFAS 141.</w:t>
      </w:r>
    </w:p>
    <w:p>
      <w:pPr>
        <w:spacing w:after="0" w:line="31" w:lineRule="exact"/>
        <w:rPr>
          <w:rFonts w:ascii="Arial" w:cs="Arial" w:eastAsia="Arial" w:hAnsi="Arial"/>
          <w:sz w:val="16"/>
          <w:szCs w:val="16"/>
          <w:color w:val="auto"/>
        </w:rPr>
      </w:pPr>
    </w:p>
    <w:p>
      <w:pPr>
        <w:ind w:left="460" w:right="4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Residential minimum rents consist of the entire rental amounts at Rollingwood Apartments, the Crest at Congressional Apartments and the residential units at Santana Row.</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Outstanding Debt and Capital Lease Obligations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4"/>
              </w:rPr>
              <w:t>Stated</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6"/>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Interest rate as</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8"/>
          </w:tcPr>
          <w:p>
            <w:pPr>
              <w:ind w:left="20"/>
              <w:spacing w:after="0" w:line="149" w:lineRule="exact"/>
              <w:rPr>
                <w:sz w:val="20"/>
                <w:szCs w:val="20"/>
                <w:color w:val="auto"/>
              </w:rPr>
            </w:pPr>
            <w:r>
              <w:rPr>
                <w:rFonts w:ascii="Arial" w:cs="Arial" w:eastAsia="Arial" w:hAnsi="Arial"/>
                <w:sz w:val="14"/>
                <w:szCs w:val="14"/>
                <w:b w:val="1"/>
                <w:bCs w:val="1"/>
                <w:color w:val="auto"/>
              </w:rPr>
              <w:t>Balance as of</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1620" w:type="dxa"/>
            <w:vAlign w:val="bottom"/>
            <w:gridSpan w:val="4"/>
          </w:tcPr>
          <w:p>
            <w:pPr>
              <w:ind w:left="360"/>
              <w:spacing w:after="0"/>
              <w:rPr>
                <w:sz w:val="20"/>
                <w:szCs w:val="20"/>
                <w:color w:val="auto"/>
              </w:rPr>
            </w:pPr>
            <w:r>
              <w:rPr>
                <w:rFonts w:ascii="Arial" w:cs="Arial" w:eastAsia="Arial" w:hAnsi="Arial"/>
                <w:sz w:val="14"/>
                <w:szCs w:val="14"/>
                <w:b w:val="1"/>
                <w:bCs w:val="1"/>
                <w:color w:val="auto"/>
              </w:rPr>
              <w:t>Maturity date</w:t>
            </w:r>
          </w:p>
        </w:tc>
        <w:tc>
          <w:tcPr>
            <w:tcW w:w="118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85"/>
              </w:rPr>
              <w:t>of June 30, 2007</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8"/>
          </w:tcPr>
          <w:p>
            <w:pPr>
              <w:ind w:left="20"/>
              <w:spacing w:after="0"/>
              <w:rPr>
                <w:sz w:val="20"/>
                <w:szCs w:val="20"/>
                <w:color w:val="auto"/>
              </w:rPr>
            </w:pPr>
            <w:r>
              <w:rPr>
                <w:rFonts w:ascii="Arial" w:cs="Arial" w:eastAsia="Arial" w:hAnsi="Arial"/>
                <w:sz w:val="14"/>
                <w:szCs w:val="14"/>
                <w:b w:val="1"/>
                <w:bCs w:val="1"/>
                <w:color w:val="auto"/>
              </w:rPr>
              <w:t>June 30, 2007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top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Mortgage loans (a)</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20"/>
              <w:spacing w:after="0"/>
              <w:rPr>
                <w:sz w:val="20"/>
                <w:szCs w:val="20"/>
                <w:color w:val="auto"/>
              </w:rPr>
            </w:pPr>
            <w:r>
              <w:rPr>
                <w:rFonts w:ascii="Arial" w:cs="Arial" w:eastAsia="Arial" w:hAnsi="Arial"/>
                <w:sz w:val="18"/>
                <w:szCs w:val="18"/>
                <w:color w:val="auto"/>
              </w:rPr>
              <w:t>Secured fixed rate</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Leesburg Plaza</w:t>
            </w:r>
          </w:p>
        </w:tc>
        <w:tc>
          <w:tcPr>
            <w:tcW w:w="1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10/01/08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6.510%</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9,696</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20"/>
              <w:spacing w:after="0"/>
              <w:rPr>
                <w:sz w:val="20"/>
                <w:szCs w:val="20"/>
                <w:color w:val="auto"/>
              </w:rPr>
            </w:pPr>
            <w:r>
              <w:rPr>
                <w:rFonts w:ascii="Arial" w:cs="Arial" w:eastAsia="Arial" w:hAnsi="Arial"/>
                <w:sz w:val="18"/>
                <w:szCs w:val="18"/>
                <w:color w:val="auto"/>
              </w:rPr>
              <w:t>164 E Houston Street</w:t>
            </w:r>
          </w:p>
        </w:tc>
        <w:tc>
          <w:tcPr>
            <w:tcW w:w="1620" w:type="dxa"/>
            <w:vAlign w:val="bottom"/>
            <w:gridSpan w:val="4"/>
          </w:tcPr>
          <w:p>
            <w:pPr>
              <w:jc w:val="right"/>
              <w:ind w:right="100"/>
              <w:spacing w:after="0"/>
              <w:rPr>
                <w:sz w:val="20"/>
                <w:szCs w:val="20"/>
                <w:color w:val="auto"/>
              </w:rPr>
            </w:pPr>
            <w:r>
              <w:rPr>
                <w:rFonts w:ascii="Arial" w:cs="Arial" w:eastAsia="Arial" w:hAnsi="Arial"/>
                <w:sz w:val="18"/>
                <w:szCs w:val="18"/>
                <w:color w:val="auto"/>
              </w:rPr>
              <w:t>10/06/08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88"/>
              </w:rPr>
              <w:t>7.500%</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White Marsh Other</w:t>
            </w:r>
          </w:p>
        </w:tc>
        <w:tc>
          <w:tcPr>
            <w:tcW w:w="1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12/31/08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6.060%</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1,170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20"/>
              <w:spacing w:after="0"/>
              <w:rPr>
                <w:sz w:val="20"/>
                <w:szCs w:val="20"/>
                <w:color w:val="auto"/>
              </w:rPr>
            </w:pPr>
            <w:r>
              <w:rPr>
                <w:rFonts w:ascii="Arial" w:cs="Arial" w:eastAsia="Arial" w:hAnsi="Arial"/>
                <w:sz w:val="18"/>
                <w:szCs w:val="18"/>
                <w:color w:val="auto"/>
              </w:rPr>
              <w:t>Mercer Mall</w:t>
            </w:r>
          </w:p>
        </w:tc>
        <w:tc>
          <w:tcPr>
            <w:tcW w:w="1620" w:type="dxa"/>
            <w:vAlign w:val="bottom"/>
            <w:gridSpan w:val="4"/>
          </w:tcPr>
          <w:p>
            <w:pPr>
              <w:jc w:val="right"/>
              <w:ind w:right="100"/>
              <w:spacing w:after="0"/>
              <w:rPr>
                <w:sz w:val="20"/>
                <w:szCs w:val="20"/>
                <w:color w:val="auto"/>
              </w:rPr>
            </w:pPr>
            <w:r>
              <w:rPr>
                <w:rFonts w:ascii="Arial" w:cs="Arial" w:eastAsia="Arial" w:hAnsi="Arial"/>
                <w:sz w:val="18"/>
                <w:szCs w:val="18"/>
                <w:color w:val="auto"/>
              </w:rPr>
              <w:t>04/01/09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88"/>
              </w:rPr>
              <w:t>8.375%</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4,476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Federal Plaza</w:t>
            </w:r>
          </w:p>
        </w:tc>
        <w:tc>
          <w:tcPr>
            <w:tcW w:w="1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06/01/11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6.750%</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33,929</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20"/>
              <w:spacing w:after="0"/>
              <w:rPr>
                <w:sz w:val="20"/>
                <w:szCs w:val="20"/>
                <w:color w:val="auto"/>
              </w:rPr>
            </w:pPr>
            <w:r>
              <w:rPr>
                <w:rFonts w:ascii="Arial" w:cs="Arial" w:eastAsia="Arial" w:hAnsi="Arial"/>
                <w:sz w:val="18"/>
                <w:szCs w:val="18"/>
                <w:color w:val="auto"/>
              </w:rPr>
              <w:t>Tysons Station</w:t>
            </w:r>
          </w:p>
        </w:tc>
        <w:tc>
          <w:tcPr>
            <w:tcW w:w="1620" w:type="dxa"/>
            <w:vAlign w:val="bottom"/>
            <w:gridSpan w:val="4"/>
          </w:tcPr>
          <w:p>
            <w:pPr>
              <w:jc w:val="right"/>
              <w:ind w:right="100"/>
              <w:spacing w:after="0"/>
              <w:rPr>
                <w:sz w:val="20"/>
                <w:szCs w:val="20"/>
                <w:color w:val="auto"/>
              </w:rPr>
            </w:pPr>
            <w:r>
              <w:rPr>
                <w:rFonts w:ascii="Arial" w:cs="Arial" w:eastAsia="Arial" w:hAnsi="Arial"/>
                <w:sz w:val="18"/>
                <w:szCs w:val="18"/>
                <w:color w:val="auto"/>
              </w:rPr>
              <w:t>09/01/11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88"/>
              </w:rPr>
              <w:t>7.400%</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6,293</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White Marsh Plaza</w:t>
            </w:r>
          </w:p>
        </w:tc>
        <w:tc>
          <w:tcPr>
            <w:tcW w:w="1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04/01/13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6.040%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(b)</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10,469</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20"/>
              <w:spacing w:after="0"/>
              <w:rPr>
                <w:sz w:val="20"/>
                <w:szCs w:val="20"/>
                <w:color w:val="auto"/>
              </w:rPr>
            </w:pPr>
            <w:r>
              <w:rPr>
                <w:rFonts w:ascii="Arial" w:cs="Arial" w:eastAsia="Arial" w:hAnsi="Arial"/>
                <w:sz w:val="18"/>
                <w:szCs w:val="18"/>
                <w:color w:val="auto"/>
              </w:rPr>
              <w:t>Crow Canyon</w:t>
            </w:r>
          </w:p>
        </w:tc>
        <w:tc>
          <w:tcPr>
            <w:tcW w:w="1620" w:type="dxa"/>
            <w:vAlign w:val="bottom"/>
            <w:gridSpan w:val="4"/>
          </w:tcPr>
          <w:p>
            <w:pPr>
              <w:jc w:val="right"/>
              <w:ind w:right="100"/>
              <w:spacing w:after="0"/>
              <w:rPr>
                <w:sz w:val="20"/>
                <w:szCs w:val="20"/>
                <w:color w:val="auto"/>
              </w:rPr>
            </w:pPr>
            <w:r>
              <w:rPr>
                <w:rFonts w:ascii="Arial" w:cs="Arial" w:eastAsia="Arial" w:hAnsi="Arial"/>
                <w:sz w:val="18"/>
                <w:szCs w:val="18"/>
                <w:color w:val="auto"/>
              </w:rPr>
              <w:t>08/11/13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88"/>
              </w:rPr>
              <w:t>5.400%</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21,767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Melville Mall</w:t>
            </w:r>
          </w:p>
        </w:tc>
        <w:tc>
          <w:tcPr>
            <w:tcW w:w="1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09/01/14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5.250%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(c)</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25,403</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20"/>
              <w:spacing w:after="0"/>
              <w:rPr>
                <w:sz w:val="20"/>
                <w:szCs w:val="20"/>
                <w:color w:val="auto"/>
              </w:rPr>
            </w:pPr>
            <w:r>
              <w:rPr>
                <w:rFonts w:ascii="Arial" w:cs="Arial" w:eastAsia="Arial" w:hAnsi="Arial"/>
                <w:sz w:val="18"/>
                <w:szCs w:val="18"/>
                <w:color w:val="auto"/>
              </w:rPr>
              <w:t>THE AVENUE at White Marsh</w:t>
            </w:r>
          </w:p>
        </w:tc>
        <w:tc>
          <w:tcPr>
            <w:tcW w:w="1620" w:type="dxa"/>
            <w:vAlign w:val="bottom"/>
            <w:gridSpan w:val="4"/>
          </w:tcPr>
          <w:p>
            <w:pPr>
              <w:jc w:val="right"/>
              <w:ind w:right="100"/>
              <w:spacing w:after="0"/>
              <w:rPr>
                <w:sz w:val="20"/>
                <w:szCs w:val="20"/>
                <w:color w:val="auto"/>
              </w:rPr>
            </w:pPr>
            <w:r>
              <w:rPr>
                <w:rFonts w:ascii="Arial" w:cs="Arial" w:eastAsia="Arial" w:hAnsi="Arial"/>
                <w:sz w:val="18"/>
                <w:szCs w:val="18"/>
                <w:color w:val="auto"/>
              </w:rPr>
              <w:t>01/01/15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88"/>
              </w:rPr>
              <w:t>5.460%</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61,524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Barracks Road</w:t>
            </w:r>
          </w:p>
        </w:tc>
        <w:tc>
          <w:tcPr>
            <w:tcW w:w="1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11/01/15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7.950%</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42,307</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20"/>
              <w:spacing w:after="0"/>
              <w:rPr>
                <w:sz w:val="20"/>
                <w:szCs w:val="20"/>
                <w:color w:val="auto"/>
              </w:rPr>
            </w:pPr>
            <w:r>
              <w:rPr>
                <w:rFonts w:ascii="Arial" w:cs="Arial" w:eastAsia="Arial" w:hAnsi="Arial"/>
                <w:sz w:val="18"/>
                <w:szCs w:val="18"/>
                <w:color w:val="auto"/>
              </w:rPr>
              <w:t>Hauppauge</w:t>
            </w:r>
          </w:p>
        </w:tc>
        <w:tc>
          <w:tcPr>
            <w:tcW w:w="1620" w:type="dxa"/>
            <w:vAlign w:val="bottom"/>
            <w:gridSpan w:val="4"/>
          </w:tcPr>
          <w:p>
            <w:pPr>
              <w:jc w:val="right"/>
              <w:ind w:right="100"/>
              <w:spacing w:after="0"/>
              <w:rPr>
                <w:sz w:val="20"/>
                <w:szCs w:val="20"/>
                <w:color w:val="auto"/>
              </w:rPr>
            </w:pPr>
            <w:r>
              <w:rPr>
                <w:rFonts w:ascii="Arial" w:cs="Arial" w:eastAsia="Arial" w:hAnsi="Arial"/>
                <w:sz w:val="18"/>
                <w:szCs w:val="18"/>
                <w:color w:val="auto"/>
              </w:rPr>
              <w:t>11/01/15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88"/>
              </w:rPr>
              <w:t>7.950%</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15,949</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Lawrence Park</w:t>
            </w:r>
          </w:p>
        </w:tc>
        <w:tc>
          <w:tcPr>
            <w:tcW w:w="1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11/01/15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7.950%</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29,987</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20"/>
              <w:spacing w:after="0"/>
              <w:rPr>
                <w:sz w:val="20"/>
                <w:szCs w:val="20"/>
                <w:color w:val="auto"/>
              </w:rPr>
            </w:pPr>
            <w:r>
              <w:rPr>
                <w:rFonts w:ascii="Arial" w:cs="Arial" w:eastAsia="Arial" w:hAnsi="Arial"/>
                <w:sz w:val="18"/>
                <w:szCs w:val="18"/>
                <w:color w:val="auto"/>
              </w:rPr>
              <w:t>Wildwood</w:t>
            </w:r>
          </w:p>
        </w:tc>
        <w:tc>
          <w:tcPr>
            <w:tcW w:w="1620" w:type="dxa"/>
            <w:vAlign w:val="bottom"/>
            <w:gridSpan w:val="4"/>
          </w:tcPr>
          <w:p>
            <w:pPr>
              <w:jc w:val="right"/>
              <w:ind w:right="100"/>
              <w:spacing w:after="0"/>
              <w:rPr>
                <w:sz w:val="20"/>
                <w:szCs w:val="20"/>
                <w:color w:val="auto"/>
              </w:rPr>
            </w:pPr>
            <w:r>
              <w:rPr>
                <w:rFonts w:ascii="Arial" w:cs="Arial" w:eastAsia="Arial" w:hAnsi="Arial"/>
                <w:sz w:val="18"/>
                <w:szCs w:val="18"/>
                <w:color w:val="auto"/>
              </w:rPr>
              <w:t>11/01/15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88"/>
              </w:rPr>
              <w:t>7.950%</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26,358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Wynnewood</w:t>
            </w:r>
          </w:p>
        </w:tc>
        <w:tc>
          <w:tcPr>
            <w:tcW w:w="1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11/01/15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7.950%</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30,560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20"/>
              <w:spacing w:after="0"/>
              <w:rPr>
                <w:sz w:val="20"/>
                <w:szCs w:val="20"/>
                <w:color w:val="auto"/>
              </w:rPr>
            </w:pPr>
            <w:r>
              <w:rPr>
                <w:rFonts w:ascii="Arial" w:cs="Arial" w:eastAsia="Arial" w:hAnsi="Arial"/>
                <w:sz w:val="18"/>
                <w:szCs w:val="18"/>
                <w:color w:val="auto"/>
              </w:rPr>
              <w:t>Brick Plaza</w:t>
            </w:r>
          </w:p>
        </w:tc>
        <w:tc>
          <w:tcPr>
            <w:tcW w:w="1620" w:type="dxa"/>
            <w:vAlign w:val="bottom"/>
            <w:gridSpan w:val="4"/>
          </w:tcPr>
          <w:p>
            <w:pPr>
              <w:jc w:val="right"/>
              <w:ind w:right="100"/>
              <w:spacing w:after="0"/>
              <w:rPr>
                <w:sz w:val="20"/>
                <w:szCs w:val="20"/>
                <w:color w:val="auto"/>
              </w:rPr>
            </w:pPr>
            <w:r>
              <w:rPr>
                <w:rFonts w:ascii="Arial" w:cs="Arial" w:eastAsia="Arial" w:hAnsi="Arial"/>
                <w:sz w:val="18"/>
                <w:szCs w:val="18"/>
                <w:color w:val="auto"/>
              </w:rPr>
              <w:t>11/01/15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88"/>
              </w:rPr>
              <w:t>7.415%</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31,384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Shoppers’ World</w:t>
            </w:r>
          </w:p>
        </w:tc>
        <w:tc>
          <w:tcPr>
            <w:tcW w:w="1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01/31/21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5.910%</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6,049</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20"/>
              <w:spacing w:after="0"/>
              <w:rPr>
                <w:sz w:val="20"/>
                <w:szCs w:val="20"/>
                <w:color w:val="auto"/>
              </w:rPr>
            </w:pPr>
            <w:r>
              <w:rPr>
                <w:rFonts w:ascii="Arial" w:cs="Arial" w:eastAsia="Arial" w:hAnsi="Arial"/>
                <w:sz w:val="18"/>
                <w:szCs w:val="18"/>
                <w:color w:val="auto"/>
              </w:rPr>
              <w:t>Mount Vernon</w:t>
            </w:r>
          </w:p>
        </w:tc>
        <w:tc>
          <w:tcPr>
            <w:tcW w:w="1620" w:type="dxa"/>
            <w:vAlign w:val="bottom"/>
            <w:gridSpan w:val="4"/>
          </w:tcPr>
          <w:p>
            <w:pPr>
              <w:jc w:val="right"/>
              <w:ind w:right="100"/>
              <w:spacing w:after="0"/>
              <w:rPr>
                <w:sz w:val="20"/>
                <w:szCs w:val="20"/>
                <w:color w:val="auto"/>
              </w:rPr>
            </w:pPr>
            <w:r>
              <w:rPr>
                <w:rFonts w:ascii="Arial" w:cs="Arial" w:eastAsia="Arial" w:hAnsi="Arial"/>
                <w:sz w:val="18"/>
                <w:szCs w:val="18"/>
                <w:color w:val="auto"/>
              </w:rPr>
              <w:t>04/15/28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88"/>
              </w:rPr>
              <w:t>5.660%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12,117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Chelsea</w:t>
            </w:r>
          </w:p>
        </w:tc>
        <w:tc>
          <w:tcPr>
            <w:tcW w:w="1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01/15/31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5.360%</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8,318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80" w:type="dxa"/>
            <w:vAlign w:val="bottom"/>
          </w:tcPr>
          <w:p>
            <w:pPr>
              <w:ind w:left="860"/>
              <w:spacing w:after="0"/>
              <w:rPr>
                <w:sz w:val="20"/>
                <w:szCs w:val="20"/>
                <w:color w:val="auto"/>
              </w:rPr>
            </w:pPr>
            <w:r>
              <w:rPr>
                <w:rFonts w:ascii="Arial" w:cs="Arial" w:eastAsia="Arial" w:hAnsi="Arial"/>
                <w:sz w:val="18"/>
                <w:szCs w:val="18"/>
                <w:color w:val="auto"/>
              </w:rPr>
              <w:t>Subtotal</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gridSpan w:val="6"/>
          </w:tcPr>
          <w:p>
            <w:pPr>
              <w:jc w:val="right"/>
              <w:ind w:right="20"/>
              <w:spacing w:after="0"/>
              <w:rPr>
                <w:sz w:val="20"/>
                <w:szCs w:val="20"/>
                <w:color w:val="auto"/>
              </w:rPr>
            </w:pPr>
            <w:r>
              <w:rPr>
                <w:rFonts w:ascii="Arial" w:cs="Arial" w:eastAsia="Arial" w:hAnsi="Arial"/>
                <w:sz w:val="18"/>
                <w:szCs w:val="18"/>
                <w:color w:val="auto"/>
              </w:rPr>
              <w:t>377,829</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unamortized discount</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(640)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80" w:type="dxa"/>
            <w:vAlign w:val="bottom"/>
          </w:tcPr>
          <w:p>
            <w:pPr>
              <w:ind w:left="860"/>
              <w:spacing w:after="0"/>
              <w:rPr>
                <w:sz w:val="20"/>
                <w:szCs w:val="20"/>
                <w:color w:val="auto"/>
              </w:rPr>
            </w:pPr>
            <w:r>
              <w:rPr>
                <w:rFonts w:ascii="Arial" w:cs="Arial" w:eastAsia="Arial" w:hAnsi="Arial"/>
                <w:sz w:val="18"/>
                <w:szCs w:val="18"/>
                <w:color w:val="auto"/>
              </w:rPr>
              <w:t>Total mortgage loans</w:t>
            </w: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377,189</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Notes payable</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20"/>
              <w:spacing w:after="0"/>
              <w:rPr>
                <w:sz w:val="20"/>
                <w:szCs w:val="20"/>
                <w:color w:val="auto"/>
              </w:rPr>
            </w:pPr>
            <w:r>
              <w:rPr>
                <w:rFonts w:ascii="Arial" w:cs="Arial" w:eastAsia="Arial" w:hAnsi="Arial"/>
                <w:sz w:val="18"/>
                <w:szCs w:val="18"/>
                <w:color w:val="auto"/>
              </w:rPr>
              <w:t>Unsecured fixed rate</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Perring Plaza renovation</w:t>
            </w:r>
          </w:p>
        </w:tc>
        <w:tc>
          <w:tcPr>
            <w:tcW w:w="1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01/31/13</w:t>
            </w:r>
          </w:p>
        </w:tc>
        <w:tc>
          <w:tcPr>
            <w:tcW w:w="11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1,525</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20"/>
              <w:spacing w:after="0"/>
              <w:rPr>
                <w:sz w:val="20"/>
                <w:szCs w:val="20"/>
                <w:color w:val="auto"/>
              </w:rPr>
            </w:pPr>
            <w:r>
              <w:rPr>
                <w:rFonts w:ascii="Arial" w:cs="Arial" w:eastAsia="Arial" w:hAnsi="Arial"/>
                <w:sz w:val="18"/>
                <w:szCs w:val="18"/>
                <w:color w:val="auto"/>
              </w:rPr>
              <w:t>Unsecured variable rate</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Revolving credit facility</w:t>
            </w:r>
          </w:p>
        </w:tc>
        <w:tc>
          <w:tcPr>
            <w:tcW w:w="1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07/27/10</w:t>
            </w:r>
          </w:p>
        </w:tc>
        <w:tc>
          <w:tcPr>
            <w:tcW w:w="11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w w:val="92"/>
              </w:rPr>
              <w:t>LIBOR + .425%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(e)</w:t>
            </w:r>
          </w:p>
        </w:tc>
        <w:tc>
          <w:tcPr>
            <w:tcW w:w="96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147,000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Pr>
          <w:p>
            <w:pPr>
              <w:ind w:left="420"/>
              <w:spacing w:after="0"/>
              <w:rPr>
                <w:sz w:val="20"/>
                <w:szCs w:val="20"/>
                <w:color w:val="auto"/>
              </w:rPr>
            </w:pPr>
            <w:r>
              <w:rPr>
                <w:rFonts w:ascii="Arial" w:cs="Arial" w:eastAsia="Arial" w:hAnsi="Arial"/>
                <w:sz w:val="18"/>
                <w:szCs w:val="18"/>
                <w:color w:val="auto"/>
              </w:rPr>
              <w:t>Escondido (municipal bonds)</w:t>
            </w:r>
          </w:p>
        </w:tc>
        <w:tc>
          <w:tcPr>
            <w:tcW w:w="1620" w:type="dxa"/>
            <w:vAlign w:val="bottom"/>
            <w:gridSpan w:val="4"/>
          </w:tcPr>
          <w:p>
            <w:pPr>
              <w:jc w:val="right"/>
              <w:ind w:right="100"/>
              <w:spacing w:after="0"/>
              <w:rPr>
                <w:sz w:val="20"/>
                <w:szCs w:val="20"/>
                <w:color w:val="auto"/>
              </w:rPr>
            </w:pPr>
            <w:r>
              <w:rPr>
                <w:rFonts w:ascii="Arial" w:cs="Arial" w:eastAsia="Arial" w:hAnsi="Arial"/>
                <w:sz w:val="18"/>
                <w:szCs w:val="18"/>
                <w:color w:val="auto"/>
              </w:rPr>
              <w:t>10/01/16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88"/>
              </w:rPr>
              <w:t>3.730%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(f)</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9,400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notes payable</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157,925</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0" w:type="dxa"/>
            <w:vAlign w:val="bottom"/>
            <w:gridSpan w:val="2"/>
          </w:tcPr>
          <w:p>
            <w:pPr>
              <w:spacing w:after="0"/>
              <w:rPr>
                <w:sz w:val="20"/>
                <w:szCs w:val="20"/>
                <w:color w:val="auto"/>
              </w:rPr>
            </w:pPr>
            <w:r>
              <w:rPr>
                <w:rFonts w:ascii="Arial" w:cs="Arial" w:eastAsia="Arial" w:hAnsi="Arial"/>
                <w:sz w:val="18"/>
                <w:szCs w:val="18"/>
                <w:color w:val="auto"/>
              </w:rPr>
              <w:t>Senior notes and debentures</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Unsecured fixed rate</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20"/>
              <w:spacing w:after="0"/>
              <w:rPr>
                <w:sz w:val="20"/>
                <w:szCs w:val="20"/>
                <w:color w:val="auto"/>
              </w:rPr>
            </w:pPr>
            <w:r>
              <w:rPr>
                <w:rFonts w:ascii="Arial" w:cs="Arial" w:eastAsia="Arial" w:hAnsi="Arial"/>
                <w:sz w:val="18"/>
                <w:szCs w:val="18"/>
                <w:color w:val="auto"/>
              </w:rPr>
              <w:t>6.125% notes</w:t>
            </w:r>
          </w:p>
        </w:tc>
        <w:tc>
          <w:tcPr>
            <w:tcW w:w="1620" w:type="dxa"/>
            <w:vAlign w:val="bottom"/>
            <w:gridSpan w:val="4"/>
          </w:tcPr>
          <w:p>
            <w:pPr>
              <w:jc w:val="right"/>
              <w:ind w:right="100"/>
              <w:spacing w:after="0"/>
              <w:rPr>
                <w:sz w:val="20"/>
                <w:szCs w:val="20"/>
                <w:color w:val="auto"/>
              </w:rPr>
            </w:pPr>
            <w:r>
              <w:rPr>
                <w:rFonts w:ascii="Arial" w:cs="Arial" w:eastAsia="Arial" w:hAnsi="Arial"/>
                <w:sz w:val="18"/>
                <w:szCs w:val="18"/>
                <w:color w:val="auto"/>
              </w:rPr>
              <w:t>11/15/07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88"/>
              </w:rPr>
              <w:t>6.325%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(g)</w:t>
            </w:r>
          </w:p>
        </w:tc>
        <w:tc>
          <w:tcPr>
            <w:tcW w:w="960" w:type="dxa"/>
            <w:vAlign w:val="bottom"/>
            <w:gridSpan w:val="6"/>
          </w:tcPr>
          <w:p>
            <w:pPr>
              <w:jc w:val="right"/>
              <w:ind w:right="20"/>
              <w:spacing w:after="0"/>
              <w:rPr>
                <w:sz w:val="20"/>
                <w:szCs w:val="20"/>
                <w:color w:val="auto"/>
              </w:rPr>
            </w:pPr>
            <w:r>
              <w:rPr>
                <w:rFonts w:ascii="Arial" w:cs="Arial" w:eastAsia="Arial" w:hAnsi="Arial"/>
                <w:sz w:val="18"/>
                <w:szCs w:val="18"/>
                <w:color w:val="auto"/>
              </w:rPr>
              <w:t>150,000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8.75% notes</w:t>
            </w:r>
          </w:p>
        </w:tc>
        <w:tc>
          <w:tcPr>
            <w:tcW w:w="1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12/01/09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8.750%</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175,000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20"/>
              <w:spacing w:after="0"/>
              <w:rPr>
                <w:sz w:val="20"/>
                <w:szCs w:val="20"/>
                <w:color w:val="auto"/>
              </w:rPr>
            </w:pPr>
            <w:r>
              <w:rPr>
                <w:rFonts w:ascii="Arial" w:cs="Arial" w:eastAsia="Arial" w:hAnsi="Arial"/>
                <w:sz w:val="18"/>
                <w:szCs w:val="18"/>
                <w:color w:val="auto"/>
              </w:rPr>
              <w:t>4.50% notes</w:t>
            </w:r>
          </w:p>
        </w:tc>
        <w:tc>
          <w:tcPr>
            <w:tcW w:w="1620" w:type="dxa"/>
            <w:vAlign w:val="bottom"/>
            <w:gridSpan w:val="4"/>
          </w:tcPr>
          <w:p>
            <w:pPr>
              <w:jc w:val="right"/>
              <w:ind w:right="100"/>
              <w:spacing w:after="0"/>
              <w:rPr>
                <w:sz w:val="20"/>
                <w:szCs w:val="20"/>
                <w:color w:val="auto"/>
              </w:rPr>
            </w:pPr>
            <w:r>
              <w:rPr>
                <w:rFonts w:ascii="Arial" w:cs="Arial" w:eastAsia="Arial" w:hAnsi="Arial"/>
                <w:sz w:val="18"/>
                <w:szCs w:val="18"/>
                <w:color w:val="auto"/>
              </w:rPr>
              <w:t>02/15/11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88"/>
              </w:rPr>
              <w:t>4.500%</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75,000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6.00% notes</w:t>
            </w:r>
          </w:p>
        </w:tc>
        <w:tc>
          <w:tcPr>
            <w:tcW w:w="1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07/15/12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6.000%</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175,000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20"/>
              <w:spacing w:after="0"/>
              <w:rPr>
                <w:sz w:val="20"/>
                <w:szCs w:val="20"/>
                <w:color w:val="auto"/>
              </w:rPr>
            </w:pPr>
            <w:r>
              <w:rPr>
                <w:rFonts w:ascii="Arial" w:cs="Arial" w:eastAsia="Arial" w:hAnsi="Arial"/>
                <w:sz w:val="18"/>
                <w:szCs w:val="18"/>
                <w:color w:val="auto"/>
              </w:rPr>
              <w:t>5.40% notes</w:t>
            </w:r>
          </w:p>
        </w:tc>
        <w:tc>
          <w:tcPr>
            <w:tcW w:w="1620" w:type="dxa"/>
            <w:vAlign w:val="bottom"/>
            <w:gridSpan w:val="4"/>
          </w:tcPr>
          <w:p>
            <w:pPr>
              <w:jc w:val="right"/>
              <w:ind w:right="100"/>
              <w:spacing w:after="0"/>
              <w:rPr>
                <w:sz w:val="20"/>
                <w:szCs w:val="20"/>
                <w:color w:val="auto"/>
              </w:rPr>
            </w:pPr>
            <w:r>
              <w:rPr>
                <w:rFonts w:ascii="Arial" w:cs="Arial" w:eastAsia="Arial" w:hAnsi="Arial"/>
                <w:sz w:val="18"/>
                <w:szCs w:val="18"/>
                <w:color w:val="auto"/>
              </w:rPr>
              <w:t>12/01/13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88"/>
              </w:rPr>
              <w:t>5.400%</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6"/>
          </w:tcPr>
          <w:p>
            <w:pPr>
              <w:jc w:val="right"/>
              <w:ind w:right="20"/>
              <w:spacing w:after="0"/>
              <w:rPr>
                <w:sz w:val="20"/>
                <w:szCs w:val="20"/>
                <w:color w:val="auto"/>
              </w:rPr>
            </w:pPr>
            <w:r>
              <w:rPr>
                <w:rFonts w:ascii="Arial" w:cs="Arial" w:eastAsia="Arial" w:hAnsi="Arial"/>
                <w:sz w:val="18"/>
                <w:szCs w:val="18"/>
                <w:color w:val="auto"/>
              </w:rPr>
              <w:t>135,000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5.65% notes</w:t>
            </w:r>
          </w:p>
        </w:tc>
        <w:tc>
          <w:tcPr>
            <w:tcW w:w="1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06/01/16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5.650%</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125,000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20"/>
              <w:spacing w:after="0"/>
              <w:rPr>
                <w:sz w:val="20"/>
                <w:szCs w:val="20"/>
                <w:color w:val="auto"/>
              </w:rPr>
            </w:pPr>
            <w:r>
              <w:rPr>
                <w:rFonts w:ascii="Arial" w:cs="Arial" w:eastAsia="Arial" w:hAnsi="Arial"/>
                <w:sz w:val="18"/>
                <w:szCs w:val="18"/>
                <w:color w:val="auto"/>
              </w:rPr>
              <w:t>6.20% notes</w:t>
            </w:r>
          </w:p>
        </w:tc>
        <w:tc>
          <w:tcPr>
            <w:tcW w:w="1620" w:type="dxa"/>
            <w:vAlign w:val="bottom"/>
            <w:gridSpan w:val="4"/>
          </w:tcPr>
          <w:p>
            <w:pPr>
              <w:jc w:val="right"/>
              <w:ind w:right="100"/>
              <w:spacing w:after="0"/>
              <w:rPr>
                <w:sz w:val="20"/>
                <w:szCs w:val="20"/>
                <w:color w:val="auto"/>
              </w:rPr>
            </w:pPr>
            <w:r>
              <w:rPr>
                <w:rFonts w:ascii="Arial" w:cs="Arial" w:eastAsia="Arial" w:hAnsi="Arial"/>
                <w:sz w:val="18"/>
                <w:szCs w:val="18"/>
                <w:color w:val="auto"/>
              </w:rPr>
              <w:t>01/15/17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88"/>
              </w:rPr>
              <w:t>6.200%</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6"/>
          </w:tcPr>
          <w:p>
            <w:pPr>
              <w:jc w:val="right"/>
              <w:ind w:right="20"/>
              <w:spacing w:after="0"/>
              <w:rPr>
                <w:sz w:val="20"/>
                <w:szCs w:val="20"/>
                <w:color w:val="auto"/>
              </w:rPr>
            </w:pPr>
            <w:r>
              <w:rPr>
                <w:rFonts w:ascii="Arial" w:cs="Arial" w:eastAsia="Arial" w:hAnsi="Arial"/>
                <w:sz w:val="18"/>
                <w:szCs w:val="18"/>
                <w:color w:val="auto"/>
              </w:rPr>
              <w:t>200,000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7.48% debentures</w:t>
            </w:r>
          </w:p>
        </w:tc>
        <w:tc>
          <w:tcPr>
            <w:tcW w:w="1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08/15/26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7.480%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(h)</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50,000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Pr>
          <w:p>
            <w:pPr>
              <w:ind w:left="420"/>
              <w:spacing w:after="0"/>
              <w:rPr>
                <w:sz w:val="20"/>
                <w:szCs w:val="20"/>
                <w:color w:val="auto"/>
              </w:rPr>
            </w:pPr>
            <w:r>
              <w:rPr>
                <w:rFonts w:ascii="Arial" w:cs="Arial" w:eastAsia="Arial" w:hAnsi="Arial"/>
                <w:sz w:val="18"/>
                <w:szCs w:val="18"/>
                <w:color w:val="auto"/>
              </w:rPr>
              <w:t>6.82% medium term notes</w:t>
            </w:r>
          </w:p>
        </w:tc>
        <w:tc>
          <w:tcPr>
            <w:tcW w:w="1620" w:type="dxa"/>
            <w:vAlign w:val="bottom"/>
            <w:gridSpan w:val="4"/>
          </w:tcPr>
          <w:p>
            <w:pPr>
              <w:jc w:val="right"/>
              <w:ind w:right="100"/>
              <w:spacing w:after="0"/>
              <w:rPr>
                <w:sz w:val="20"/>
                <w:szCs w:val="20"/>
                <w:color w:val="auto"/>
              </w:rPr>
            </w:pPr>
            <w:r>
              <w:rPr>
                <w:rFonts w:ascii="Arial" w:cs="Arial" w:eastAsia="Arial" w:hAnsi="Arial"/>
                <w:sz w:val="18"/>
                <w:szCs w:val="18"/>
                <w:color w:val="auto"/>
              </w:rPr>
              <w:t>08/01/27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88"/>
              </w:rPr>
              <w:t>6.820%</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40,000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Subtotal</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1,125,000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Pr>
          <w:p>
            <w:pPr>
              <w:ind w:left="420"/>
              <w:spacing w:after="0"/>
              <w:rPr>
                <w:sz w:val="20"/>
                <w:szCs w:val="20"/>
                <w:color w:val="auto"/>
              </w:rPr>
            </w:pPr>
            <w:r>
              <w:rPr>
                <w:rFonts w:ascii="Arial" w:cs="Arial" w:eastAsia="Arial" w:hAnsi="Arial"/>
                <w:sz w:val="18"/>
                <w:szCs w:val="18"/>
                <w:color w:val="auto"/>
              </w:rPr>
              <w:t>Net unamortized premium</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2,548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senior notes and debentures</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1,127,548</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0" w:type="dxa"/>
            <w:vAlign w:val="bottom"/>
            <w:gridSpan w:val="2"/>
          </w:tcPr>
          <w:p>
            <w:pPr>
              <w:spacing w:after="0"/>
              <w:rPr>
                <w:sz w:val="20"/>
                <w:szCs w:val="20"/>
                <w:color w:val="auto"/>
              </w:rPr>
            </w:pPr>
            <w:r>
              <w:rPr>
                <w:rFonts w:ascii="Arial" w:cs="Arial" w:eastAsia="Arial" w:hAnsi="Arial"/>
                <w:sz w:val="18"/>
                <w:szCs w:val="18"/>
                <w:color w:val="auto"/>
              </w:rPr>
              <w:t>Capital lease obligations</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Various</w:t>
            </w:r>
          </w:p>
        </w:tc>
        <w:tc>
          <w:tcPr>
            <w:tcW w:w="1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87"/>
              </w:rPr>
              <w:t>Various through 2106</w:t>
            </w:r>
          </w:p>
        </w:tc>
        <w:tc>
          <w:tcPr>
            <w:tcW w:w="10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Various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(i)</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150,813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80" w:type="dxa"/>
            <w:vAlign w:val="bottom"/>
          </w:tcPr>
          <w:p>
            <w:pPr>
              <w:ind w:left="1280"/>
              <w:spacing w:after="0"/>
              <w:rPr>
                <w:sz w:val="20"/>
                <w:szCs w:val="20"/>
                <w:color w:val="auto"/>
              </w:rPr>
            </w:pPr>
            <w:r>
              <w:rPr>
                <w:rFonts w:ascii="Arial" w:cs="Arial" w:eastAsia="Arial" w:hAnsi="Arial"/>
                <w:sz w:val="18"/>
                <w:szCs w:val="18"/>
                <w:color w:val="auto"/>
              </w:rPr>
              <w:t>Total debt and capital lease obligations</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gridSpan w:val="6"/>
          </w:tcPr>
          <w:p>
            <w:pPr>
              <w:jc w:val="right"/>
              <w:ind w:right="20"/>
              <w:spacing w:after="0"/>
              <w:rPr>
                <w:sz w:val="20"/>
                <w:szCs w:val="20"/>
                <w:color w:val="auto"/>
              </w:rPr>
            </w:pPr>
            <w:r>
              <w:rPr>
                <w:rFonts w:ascii="Arial" w:cs="Arial" w:eastAsia="Arial" w:hAnsi="Arial"/>
                <w:sz w:val="18"/>
                <w:szCs w:val="18"/>
                <w:color w:val="auto"/>
                <w:w w:val="96"/>
              </w:rPr>
              <w:t>$ 1,813,475</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9"/>
        </w:trPr>
        <w:tc>
          <w:tcPr>
            <w:tcW w:w="2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8"/>
          </w:tcPr>
          <w:p>
            <w:pPr>
              <w:spacing w:after="0"/>
              <w:rPr>
                <w:sz w:val="20"/>
                <w:szCs w:val="20"/>
                <w:color w:val="auto"/>
              </w:rPr>
            </w:pPr>
            <w:r>
              <w:rPr>
                <w:rFonts w:ascii="Arial" w:cs="Arial" w:eastAsia="Arial" w:hAnsi="Arial"/>
                <w:sz w:val="14"/>
                <w:szCs w:val="14"/>
                <w:b w:val="1"/>
                <w:bCs w:val="1"/>
                <w:color w:val="auto"/>
                <w:w w:val="96"/>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8"/>
          </w:tcPr>
          <w:p>
            <w:pPr>
              <w:ind w:left="60"/>
              <w:spacing w:after="0" w:line="149" w:lineRule="exact"/>
              <w:rPr>
                <w:sz w:val="20"/>
                <w:szCs w:val="20"/>
                <w:color w:val="auto"/>
              </w:rPr>
            </w:pPr>
            <w:r>
              <w:rPr>
                <w:rFonts w:ascii="Arial" w:cs="Arial" w:eastAsia="Arial" w:hAnsi="Arial"/>
                <w:sz w:val="14"/>
                <w:szCs w:val="14"/>
                <w:b w:val="1"/>
                <w:bCs w:val="1"/>
                <w:color w:val="auto"/>
              </w:rPr>
              <w:t>effective rate at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0"/>
              </w:rPr>
              <w:t>June 30, 2007 (j)</w:t>
            </w:r>
          </w:p>
        </w:tc>
        <w:tc>
          <w:tcPr>
            <w:tcW w:w="1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Total fixed rate debt and capital lease obligations</w:t>
            </w:r>
          </w:p>
        </w:tc>
        <w:tc>
          <w:tcPr>
            <w:tcW w:w="224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$1,657,075</w:t>
            </w:r>
          </w:p>
        </w:tc>
        <w:tc>
          <w:tcPr>
            <w:tcW w:w="820" w:type="dxa"/>
            <w:vAlign w:val="bottom"/>
            <w:gridSpan w:val="4"/>
            <w:shd w:val="clear" w:color="auto" w:fill="CCEEFF"/>
          </w:tcPr>
          <w:p>
            <w:pPr>
              <w:jc w:val="right"/>
              <w:ind w:right="32"/>
              <w:spacing w:after="0"/>
              <w:rPr>
                <w:sz w:val="20"/>
                <w:szCs w:val="20"/>
                <w:color w:val="auto"/>
              </w:rPr>
            </w:pPr>
            <w:r>
              <w:rPr>
                <w:rFonts w:ascii="Arial" w:cs="Arial" w:eastAsia="Arial" w:hAnsi="Arial"/>
                <w:sz w:val="18"/>
                <w:szCs w:val="18"/>
                <w:color w:val="auto"/>
              </w:rPr>
              <w:t>91%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Total variable rate debt</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2"/>
              </w:rPr>
              <w:t>156,400</w:t>
            </w:r>
          </w:p>
        </w:tc>
        <w:tc>
          <w:tcPr>
            <w:tcW w:w="280" w:type="dxa"/>
            <w:vAlign w:val="bottom"/>
          </w:tcPr>
          <w:p>
            <w:pPr>
              <w:spacing w:after="0"/>
              <w:rPr>
                <w:sz w:val="18"/>
                <w:szCs w:val="18"/>
                <w:color w:val="auto"/>
              </w:rPr>
            </w:pPr>
          </w:p>
        </w:tc>
        <w:tc>
          <w:tcPr>
            <w:tcW w:w="540" w:type="dxa"/>
            <w:vAlign w:val="bottom"/>
            <w:gridSpan w:val="3"/>
          </w:tcPr>
          <w:p>
            <w:pPr>
              <w:jc w:val="right"/>
              <w:ind w:right="32"/>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6"/>
          </w:tcPr>
          <w:p>
            <w:pPr>
              <w:jc w:val="right"/>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TOTAL DEBT AND CAPITAL LEASES OBLIGATIONS</w:t>
            </w:r>
          </w:p>
        </w:tc>
        <w:tc>
          <w:tcPr>
            <w:tcW w:w="1440" w:type="dxa"/>
            <w:vAlign w:val="bottom"/>
            <w:gridSpan w:val="2"/>
            <w:shd w:val="clear" w:color="auto" w:fill="CCEEFF"/>
          </w:tcPr>
          <w:p>
            <w:pPr>
              <w:spacing w:after="0"/>
              <w:rPr>
                <w:sz w:val="18"/>
                <w:szCs w:val="18"/>
                <w:color w:val="auto"/>
              </w:rPr>
            </w:pPr>
          </w:p>
        </w:tc>
        <w:tc>
          <w:tcPr>
            <w:tcW w:w="80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1,813,475</w:t>
            </w:r>
          </w:p>
        </w:tc>
        <w:tc>
          <w:tcPr>
            <w:tcW w:w="2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w w:val="86"/>
              </w:rPr>
              <w:t>100%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gridSpan w:val="3"/>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Borders>
              <w:top w:val="single" w:sz="8" w:color="auto"/>
              <w:bottom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60" w:type="dxa"/>
            <w:vAlign w:val="bottom"/>
            <w:gridSpan w:val="9"/>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gridSpan w:val="9"/>
          </w:tcPr>
          <w:p>
            <w:pPr>
              <w:ind w:left="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6"/>
              </w:rPr>
              <w:t>June 30,</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8"/>
          </w:tcPr>
          <w:p>
            <w:pPr>
              <w:ind w:left="2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Borders>
              <w:top w:val="single" w:sz="8" w:color="auto"/>
            </w:tcBorders>
            <w:gridSpan w:val="3"/>
          </w:tcPr>
          <w:p>
            <w:pPr>
              <w:ind w:left="100"/>
              <w:spacing w:after="0" w:line="143" w:lineRule="exact"/>
              <w:rPr>
                <w:sz w:val="20"/>
                <w:szCs w:val="20"/>
                <w:color w:val="auto"/>
              </w:rPr>
            </w:pPr>
            <w:r>
              <w:rPr>
                <w:rFonts w:ascii="Arial" w:cs="Arial" w:eastAsia="Arial" w:hAnsi="Arial"/>
                <w:sz w:val="14"/>
                <w:szCs w:val="14"/>
                <w:b w:val="1"/>
                <w:bCs w:val="1"/>
                <w:color w:val="auto"/>
                <w:w w:val="83"/>
              </w:rPr>
              <w:t>2007</w:t>
            </w: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gridSpan w:val="2"/>
          </w:tcPr>
          <w:p>
            <w:pPr>
              <w:jc w:val="right"/>
              <w:ind w:right="32"/>
              <w:spacing w:after="0" w:line="143" w:lineRule="exact"/>
              <w:rPr>
                <w:sz w:val="20"/>
                <w:szCs w:val="20"/>
                <w:color w:val="auto"/>
              </w:rPr>
            </w:pPr>
            <w:r>
              <w:rPr>
                <w:rFonts w:ascii="Arial" w:cs="Arial" w:eastAsia="Arial" w:hAnsi="Arial"/>
                <w:sz w:val="14"/>
                <w:szCs w:val="14"/>
                <w:b w:val="1"/>
                <w:bCs w:val="1"/>
                <w:color w:val="auto"/>
                <w:w w:val="89"/>
              </w:rPr>
              <w:t>2006</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gridSpan w:val="2"/>
          </w:tcPr>
          <w:p>
            <w:pPr>
              <w:jc w:val="right"/>
              <w:ind w:right="8"/>
              <w:spacing w:after="0" w:line="143" w:lineRule="exact"/>
              <w:rPr>
                <w:sz w:val="20"/>
                <w:szCs w:val="20"/>
                <w:color w:val="auto"/>
              </w:rPr>
            </w:pPr>
            <w:r>
              <w:rPr>
                <w:rFonts w:ascii="Arial" w:cs="Arial" w:eastAsia="Arial" w:hAnsi="Arial"/>
                <w:sz w:val="14"/>
                <w:szCs w:val="14"/>
                <w:b w:val="1"/>
                <w:bCs w:val="1"/>
                <w:color w:val="auto"/>
                <w:w w:val="83"/>
              </w:rPr>
              <w:t>2007</w:t>
            </w: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4"/>
          </w:tcPr>
          <w:p>
            <w:pPr>
              <w:jc w:val="right"/>
              <w:ind w:right="40"/>
              <w:spacing w:after="0" w:line="143" w:lineRule="exact"/>
              <w:rPr>
                <w:sz w:val="20"/>
                <w:szCs w:val="20"/>
                <w:color w:val="auto"/>
              </w:rPr>
            </w:pPr>
            <w:r>
              <w:rPr>
                <w:rFonts w:ascii="Arial" w:cs="Arial" w:eastAsia="Arial" w:hAnsi="Arial"/>
                <w:sz w:val="14"/>
                <w:szCs w:val="14"/>
                <w:b w:val="1"/>
                <w:bCs w:val="1"/>
                <w:color w:val="auto"/>
              </w:rPr>
              <w:t>2006</w:t>
            </w:r>
          </w:p>
        </w:tc>
        <w:tc>
          <w:tcPr>
            <w:tcW w:w="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Operational Statistics</w:t>
            </w:r>
          </w:p>
        </w:tc>
        <w:tc>
          <w:tcPr>
            <w:tcW w:w="1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20"/>
              <w:spacing w:after="0"/>
              <w:rPr>
                <w:sz w:val="20"/>
                <w:szCs w:val="20"/>
                <w:color w:val="auto"/>
              </w:rPr>
            </w:pPr>
            <w:r>
              <w:rPr>
                <w:rFonts w:ascii="Arial" w:cs="Arial" w:eastAsia="Arial" w:hAnsi="Arial"/>
                <w:sz w:val="18"/>
                <w:szCs w:val="18"/>
                <w:color w:val="auto"/>
              </w:rPr>
              <w:t>Ratio of EBITDA to combined fixed charges and preferred share dividends (k)</w:t>
            </w:r>
          </w:p>
        </w:tc>
        <w:tc>
          <w:tcPr>
            <w:tcW w:w="1240" w:type="dxa"/>
            <w:vAlign w:val="bottom"/>
          </w:tcPr>
          <w:p>
            <w:pPr>
              <w:spacing w:after="0"/>
              <w:rPr>
                <w:sz w:val="18"/>
                <w:szCs w:val="18"/>
                <w:color w:val="auto"/>
              </w:rPr>
            </w:pPr>
          </w:p>
        </w:tc>
        <w:tc>
          <w:tcPr>
            <w:tcW w:w="1000" w:type="dxa"/>
            <w:vAlign w:val="bottom"/>
            <w:gridSpan w:val="6"/>
          </w:tcPr>
          <w:p>
            <w:pPr>
              <w:jc w:val="right"/>
              <w:ind w:right="440"/>
              <w:spacing w:after="0"/>
              <w:rPr>
                <w:sz w:val="20"/>
                <w:szCs w:val="20"/>
                <w:color w:val="auto"/>
              </w:rPr>
            </w:pPr>
            <w:r>
              <w:rPr>
                <w:rFonts w:ascii="Arial" w:cs="Arial" w:eastAsia="Arial" w:hAnsi="Arial"/>
                <w:sz w:val="18"/>
                <w:szCs w:val="18"/>
                <w:color w:val="auto"/>
              </w:rPr>
              <w:t>2.55x</w:t>
            </w: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rPr>
              <w:t>3.02x</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3"/>
          </w:tcPr>
          <w:p>
            <w:pPr>
              <w:ind w:left="40"/>
              <w:spacing w:after="0"/>
              <w:rPr>
                <w:sz w:val="20"/>
                <w:szCs w:val="20"/>
                <w:color w:val="auto"/>
              </w:rPr>
            </w:pPr>
            <w:r>
              <w:rPr>
                <w:rFonts w:ascii="Arial" w:cs="Arial" w:eastAsia="Arial" w:hAnsi="Arial"/>
                <w:sz w:val="18"/>
                <w:szCs w:val="18"/>
                <w:color w:val="auto"/>
                <w:w w:val="86"/>
              </w:rPr>
              <w:t>2.50x</w:t>
            </w:r>
          </w:p>
        </w:tc>
        <w:tc>
          <w:tcPr>
            <w:tcW w:w="340" w:type="dxa"/>
            <w:vAlign w:val="bottom"/>
          </w:tcPr>
          <w:p>
            <w:pPr>
              <w:spacing w:after="0"/>
              <w:rPr>
                <w:sz w:val="18"/>
                <w:szCs w:val="18"/>
                <w:color w:val="auto"/>
              </w:rPr>
            </w:pPr>
          </w:p>
        </w:tc>
        <w:tc>
          <w:tcPr>
            <w:tcW w:w="520" w:type="dxa"/>
            <w:vAlign w:val="bottom"/>
            <w:gridSpan w:val="5"/>
          </w:tcPr>
          <w:p>
            <w:pPr>
              <w:jc w:val="right"/>
              <w:spacing w:after="0"/>
              <w:rPr>
                <w:sz w:val="20"/>
                <w:szCs w:val="20"/>
                <w:color w:val="auto"/>
              </w:rPr>
            </w:pPr>
            <w:r>
              <w:rPr>
                <w:rFonts w:ascii="Arial" w:cs="Arial" w:eastAsia="Arial" w:hAnsi="Arial"/>
                <w:sz w:val="18"/>
                <w:szCs w:val="18"/>
                <w:color w:val="auto"/>
              </w:rPr>
              <w:t>2.90x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Ratio of adjusted EBITDA to combined fixed charges and preferred share dividends (k)</w:t>
            </w:r>
          </w:p>
        </w:tc>
        <w:tc>
          <w:tcPr>
            <w:tcW w:w="1240" w:type="dxa"/>
            <w:vAlign w:val="bottom"/>
            <w:shd w:val="clear" w:color="auto" w:fill="CCEEFF"/>
          </w:tcPr>
          <w:p>
            <w:pPr>
              <w:spacing w:after="0"/>
              <w:rPr>
                <w:sz w:val="18"/>
                <w:szCs w:val="18"/>
                <w:color w:val="auto"/>
              </w:rPr>
            </w:pPr>
          </w:p>
        </w:tc>
        <w:tc>
          <w:tcPr>
            <w:tcW w:w="1000" w:type="dxa"/>
            <w:vAlign w:val="bottom"/>
            <w:gridSpan w:val="6"/>
            <w:shd w:val="clear" w:color="auto" w:fill="CCEEFF"/>
          </w:tcPr>
          <w:p>
            <w:pPr>
              <w:jc w:val="right"/>
              <w:ind w:right="440"/>
              <w:spacing w:after="0"/>
              <w:rPr>
                <w:sz w:val="20"/>
                <w:szCs w:val="20"/>
                <w:color w:val="auto"/>
              </w:rPr>
            </w:pPr>
            <w:r>
              <w:rPr>
                <w:rFonts w:ascii="Arial" w:cs="Arial" w:eastAsia="Arial" w:hAnsi="Arial"/>
                <w:sz w:val="18"/>
                <w:szCs w:val="18"/>
                <w:color w:val="auto"/>
              </w:rPr>
              <w:t>2.49x</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2.50x</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86"/>
              </w:rPr>
              <w:t>2.48x</w:t>
            </w:r>
          </w:p>
        </w:tc>
        <w:tc>
          <w:tcPr>
            <w:tcW w:w="340" w:type="dxa"/>
            <w:vAlign w:val="bottom"/>
            <w:shd w:val="clear" w:color="auto" w:fill="CCEEFF"/>
          </w:tcPr>
          <w:p>
            <w:pPr>
              <w:spacing w:after="0"/>
              <w:rPr>
                <w:sz w:val="18"/>
                <w:szCs w:val="18"/>
                <w:color w:val="auto"/>
              </w:rPr>
            </w:pPr>
          </w:p>
        </w:tc>
        <w:tc>
          <w:tcPr>
            <w:tcW w:w="5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2.49x</w:t>
            </w: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90"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Mortgage loans do not include the Trust’s 30% share ($24.5 million) of the $81.6 million debt of the partnership with Clarion Lion Properties Fund.</w:t>
      </w:r>
    </w:p>
    <w:p>
      <w:pPr>
        <w:spacing w:after="0" w:line="113" w:lineRule="exact"/>
        <w:rPr>
          <w:rFonts w:ascii="Arial" w:cs="Arial" w:eastAsia="Arial" w:hAnsi="Arial"/>
          <w:sz w:val="16"/>
          <w:szCs w:val="16"/>
          <w:color w:val="auto"/>
        </w:rPr>
      </w:pPr>
    </w:p>
    <w:p>
      <w:pPr>
        <w:ind w:left="460" w:right="560" w:hanging="452"/>
        <w:spacing w:after="0" w:line="332"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stated interest rate represents the weighted average interest rate for two mortgage loans secured by this property. The loan balance represents an interest-only note of $4.35 million at a stated rate of 6.18% and the remaining balance at a stated rate of 5.96%.</w:t>
      </w:r>
    </w:p>
    <w:p>
      <w:pPr>
        <w:sectPr>
          <w:pgSz w:w="11900" w:h="16838" w:orient="portrait"/>
          <w:cols w:equalWidth="0" w:num="1">
            <w:col w:w="11420"/>
          </w:cols>
          <w:pgMar w:left="240" w:top="274" w:right="239" w:bottom="0" w:gutter="0" w:footer="0" w:header="0"/>
        </w:sectPr>
      </w:pPr>
    </w:p>
    <w:bookmarkStart w:id="16" w:name="page17"/>
    <w:bookmarkEnd w:id="16"/>
    <w:p>
      <w:pPr>
        <w:ind w:left="452" w:right="140" w:hanging="452"/>
        <w:spacing w:after="0" w:line="259" w:lineRule="auto"/>
        <w:tabs>
          <w:tab w:leader="none" w:pos="4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Trust acquired control of Melville Mall through a 20 year master lease and secondary financing. Because the Trust controls this property and retains substantially all of the economic benefit and risk associated with it, this property is consolidated and the mortgage loan is reflected on the balance sheet though it is not a legal obligation of the Trust.</w:t>
      </w:r>
    </w:p>
    <w:p>
      <w:pPr>
        <w:spacing w:after="0" w:line="59" w:lineRule="exact"/>
        <w:rPr>
          <w:rFonts w:ascii="Arial" w:cs="Arial" w:eastAsia="Arial" w:hAnsi="Arial"/>
          <w:sz w:val="18"/>
          <w:szCs w:val="18"/>
          <w:color w:val="auto"/>
        </w:rPr>
      </w:pPr>
    </w:p>
    <w:p>
      <w:pPr>
        <w:ind w:left="452" w:right="520" w:hanging="452"/>
        <w:spacing w:after="0" w:line="268" w:lineRule="auto"/>
        <w:tabs>
          <w:tab w:leader="none" w:pos="4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interest rate is fixed at 5.66% for the first ten years and then will be reset to a market rate in 2013. The lender has the option to call the loan on April 15, 2013 or anytime thereafter.</w:t>
      </w:r>
    </w:p>
    <w:p>
      <w:pPr>
        <w:spacing w:after="0" w:line="50" w:lineRule="exact"/>
        <w:rPr>
          <w:rFonts w:ascii="Arial" w:cs="Arial" w:eastAsia="Arial" w:hAnsi="Arial"/>
          <w:sz w:val="18"/>
          <w:szCs w:val="18"/>
          <w:color w:val="auto"/>
        </w:rPr>
      </w:pPr>
    </w:p>
    <w:p>
      <w:pPr>
        <w:ind w:left="452" w:hanging="452"/>
        <w:spacing w:after="0"/>
        <w:tabs>
          <w:tab w:leader="none" w:pos="4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weighted average effective rate, before amortization of debt fees, was 5.7% for the six and three months ended June 30, 2007.</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bonds bear interest at a variable rate determined weekly which would enable the bonds to be remarketed at 100% of their principal amount.</w:t>
      </w:r>
    </w:p>
    <w:p>
      <w:pPr>
        <w:spacing w:after="0" w:line="113" w:lineRule="exact"/>
        <w:rPr>
          <w:rFonts w:ascii="Arial" w:cs="Arial" w:eastAsia="Arial" w:hAnsi="Arial"/>
          <w:sz w:val="16"/>
          <w:szCs w:val="16"/>
          <w:color w:val="auto"/>
        </w:rPr>
      </w:pPr>
    </w:p>
    <w:p>
      <w:pPr>
        <w:ind w:left="452" w:right="320" w:hanging="452"/>
        <w:spacing w:after="0" w:line="268" w:lineRule="auto"/>
        <w:tabs>
          <w:tab w:leader="none" w:pos="4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Trust purchased an interest rate lock to hedge this note offering. A loss of $1.5 million associated with this hedge is being amortized into the note offering thereby increasing the effective interest rate on these notes to 6.325%.</w:t>
      </w:r>
    </w:p>
    <w:p>
      <w:pPr>
        <w:spacing w:after="0" w:line="50" w:lineRule="exact"/>
        <w:rPr>
          <w:rFonts w:ascii="Arial" w:cs="Arial" w:eastAsia="Arial" w:hAnsi="Arial"/>
          <w:sz w:val="18"/>
          <w:szCs w:val="18"/>
          <w:color w:val="auto"/>
        </w:rPr>
      </w:pPr>
    </w:p>
    <w:p>
      <w:pPr>
        <w:ind w:left="452" w:hanging="452"/>
        <w:spacing w:after="0"/>
        <w:tabs>
          <w:tab w:leader="none" w:pos="4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August 15, 2008, the debentures are redeemable by the holders thereof at the original purchase price of $1,000 per debenture.</w:t>
      </w:r>
    </w:p>
    <w:p>
      <w:pPr>
        <w:spacing w:after="0" w:line="90" w:lineRule="exact"/>
        <w:rPr>
          <w:rFonts w:ascii="Arial" w:cs="Arial" w:eastAsia="Arial" w:hAnsi="Arial"/>
          <w:sz w:val="18"/>
          <w:szCs w:val="18"/>
          <w:color w:val="auto"/>
        </w:rPr>
      </w:pPr>
    </w:p>
    <w:p>
      <w:pPr>
        <w:ind w:left="452" w:right="100" w:hanging="452"/>
        <w:spacing w:after="0" w:line="268" w:lineRule="auto"/>
        <w:tabs>
          <w:tab w:leader="none" w:pos="4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average annualized interest rate on capital lease obligations for the six months ending June 30, 2007 is 9.08% excluding performance-based rent and 12.40% including performance-based rent.</w:t>
      </w:r>
    </w:p>
    <w:p>
      <w:pPr>
        <w:spacing w:after="0" w:line="50" w:lineRule="exact"/>
        <w:rPr>
          <w:rFonts w:ascii="Arial" w:cs="Arial" w:eastAsia="Arial" w:hAnsi="Arial"/>
          <w:sz w:val="18"/>
          <w:szCs w:val="18"/>
          <w:color w:val="auto"/>
        </w:rPr>
      </w:pPr>
    </w:p>
    <w:p>
      <w:pPr>
        <w:ind w:left="452" w:right="60" w:hanging="452"/>
        <w:spacing w:after="0" w:line="268" w:lineRule="auto"/>
        <w:tabs>
          <w:tab w:leader="none" w:pos="4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weighted average effective interest rate includes the amortization of any deferred financing fees, discounts and premiums, if applicable, and excludes performance-based rent on capital lease obligations.</w:t>
      </w:r>
    </w:p>
    <w:p>
      <w:pPr>
        <w:spacing w:after="0" w:line="50" w:lineRule="exact"/>
        <w:rPr>
          <w:rFonts w:ascii="Arial" w:cs="Arial" w:eastAsia="Arial" w:hAnsi="Arial"/>
          <w:sz w:val="18"/>
          <w:szCs w:val="18"/>
          <w:color w:val="auto"/>
        </w:rPr>
      </w:pPr>
    </w:p>
    <w:p>
      <w:pPr>
        <w:ind w:left="452" w:hanging="452"/>
        <w:spacing w:after="0" w:line="256" w:lineRule="auto"/>
        <w:tabs>
          <w:tab w:leader="none" w:pos="4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Fixed charges consist of interest on borrowed funds (including capitalized interest), amortization of debt discount or premium and expense and the portion of rent expense representing an interest factor. EBITDA includes $1.8 million in gain on sale for the three and six months ended June 30, 2007 and $15.0 million and $23.8 million in gain on sale for the three and six months ended June 30, 2006. Adjusted EBITDA is reconciled to net income in the Glossary of Terms.</w:t>
      </w:r>
    </w:p>
    <w:p>
      <w:pPr>
        <w:spacing w:after="0" w:line="130"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92"/>
          </w:cols>
          <w:pgMar w:left="248" w:top="131"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Debt Maturities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14"/>
              <w:spacing w:after="0" w:line="149" w:lineRule="exact"/>
              <w:rPr>
                <w:sz w:val="20"/>
                <w:szCs w:val="20"/>
                <w:color w:val="auto"/>
              </w:rPr>
            </w:pPr>
            <w:r>
              <w:rPr>
                <w:rFonts w:ascii="Arial" w:cs="Arial" w:eastAsia="Arial" w:hAnsi="Arial"/>
                <w:sz w:val="14"/>
                <w:szCs w:val="14"/>
                <w:b w:val="1"/>
                <w:bCs w:val="1"/>
                <w:color w:val="auto"/>
                <w:w w:val="84"/>
              </w:rPr>
              <w:t>Scheduled</w:t>
            </w: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20" w:type="dxa"/>
            <w:vAlign w:val="bottom"/>
            <w:gridSpan w:val="2"/>
          </w:tcPr>
          <w:p>
            <w:pPr>
              <w:jc w:val="right"/>
              <w:ind w:right="1480"/>
              <w:spacing w:after="0" w:line="149" w:lineRule="exact"/>
              <w:rPr>
                <w:sz w:val="20"/>
                <w:szCs w:val="20"/>
                <w:color w:val="auto"/>
              </w:rPr>
            </w:pPr>
            <w:r>
              <w:rPr>
                <w:rFonts w:ascii="Arial" w:cs="Arial" w:eastAsia="Arial" w:hAnsi="Arial"/>
                <w:sz w:val="14"/>
                <w:szCs w:val="14"/>
                <w:b w:val="1"/>
                <w:bCs w:val="1"/>
                <w:color w:val="auto"/>
              </w:rPr>
              <w:t>Percent of</w:t>
            </w: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Percent of</w:t>
            </w:r>
          </w:p>
        </w:tc>
        <w:tc>
          <w:tcPr>
            <w:tcW w:w="0" w:type="dxa"/>
            <w:vAlign w:val="bottom"/>
          </w:tcPr>
          <w:p>
            <w:pPr>
              <w:spacing w:after="0"/>
              <w:rPr>
                <w:sz w:val="1"/>
                <w:szCs w:val="1"/>
                <w:color w:val="auto"/>
              </w:rPr>
            </w:pPr>
          </w:p>
        </w:tc>
      </w:tr>
      <w:tr>
        <w:trPr>
          <w:trHeight w:val="161"/>
        </w:trPr>
        <w:tc>
          <w:tcPr>
            <w:tcW w:w="1920" w:type="dxa"/>
            <w:vAlign w:val="bottom"/>
            <w:gridSpan w:val="2"/>
          </w:tcPr>
          <w:p>
            <w:pPr>
              <w:ind w:left="240"/>
              <w:spacing w:after="0"/>
              <w:rPr>
                <w:sz w:val="20"/>
                <w:szCs w:val="20"/>
                <w:color w:val="auto"/>
              </w:rPr>
            </w:pPr>
            <w:r>
              <w:rPr>
                <w:rFonts w:ascii="Arial" w:cs="Arial" w:eastAsia="Arial" w:hAnsi="Arial"/>
                <w:sz w:val="14"/>
                <w:szCs w:val="14"/>
                <w:b w:val="1"/>
                <w:bCs w:val="1"/>
                <w:color w:val="auto"/>
              </w:rPr>
              <w:t>Year</w:t>
            </w: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Amortization</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2"/>
          </w:tcPr>
          <w:p>
            <w:pPr>
              <w:jc w:val="right"/>
              <w:ind w:right="1300"/>
              <w:spacing w:after="0"/>
              <w:rPr>
                <w:sz w:val="20"/>
                <w:szCs w:val="20"/>
                <w:color w:val="auto"/>
              </w:rPr>
            </w:pPr>
            <w:r>
              <w:rPr>
                <w:rFonts w:ascii="Arial" w:cs="Arial" w:eastAsia="Arial" w:hAnsi="Arial"/>
                <w:sz w:val="14"/>
                <w:szCs w:val="14"/>
                <w:b w:val="1"/>
                <w:bCs w:val="1"/>
                <w:color w:val="auto"/>
                <w:w w:val="90"/>
              </w:rPr>
              <w:t>Maturities</w:t>
            </w:r>
          </w:p>
        </w:tc>
        <w:tc>
          <w:tcPr>
            <w:tcW w:w="100" w:type="dxa"/>
            <w:vAlign w:val="bottom"/>
          </w:tcPr>
          <w:p>
            <w:pPr>
              <w:spacing w:after="0"/>
              <w:rPr>
                <w:sz w:val="14"/>
                <w:szCs w:val="14"/>
                <w:color w:val="auto"/>
              </w:rPr>
            </w:pPr>
          </w:p>
        </w:tc>
        <w:tc>
          <w:tcPr>
            <w:tcW w:w="2120" w:type="dxa"/>
            <w:vAlign w:val="bottom"/>
            <w:gridSpan w:val="2"/>
          </w:tcPr>
          <w:p>
            <w:pPr>
              <w:jc w:val="right"/>
              <w:ind w:right="1680"/>
              <w:spacing w:after="0"/>
              <w:rPr>
                <w:sz w:val="20"/>
                <w:szCs w:val="20"/>
                <w:color w:val="auto"/>
              </w:rPr>
            </w:pPr>
            <w:r>
              <w:rPr>
                <w:rFonts w:ascii="Arial" w:cs="Arial" w:eastAsia="Arial" w:hAnsi="Arial"/>
                <w:sz w:val="14"/>
                <w:szCs w:val="14"/>
                <w:b w:val="1"/>
                <w:bCs w:val="1"/>
                <w:color w:val="auto"/>
              </w:rPr>
              <w:t>Total</w:t>
            </w:r>
          </w:p>
        </w:tc>
        <w:tc>
          <w:tcPr>
            <w:tcW w:w="2220" w:type="dxa"/>
            <w:vAlign w:val="bottom"/>
            <w:gridSpan w:val="2"/>
          </w:tcPr>
          <w:p>
            <w:pPr>
              <w:jc w:val="right"/>
              <w:ind w:right="1340"/>
              <w:spacing w:after="0"/>
              <w:rPr>
                <w:sz w:val="20"/>
                <w:szCs w:val="20"/>
                <w:color w:val="auto"/>
              </w:rPr>
            </w:pPr>
            <w:r>
              <w:rPr>
                <w:rFonts w:ascii="Arial" w:cs="Arial" w:eastAsia="Arial" w:hAnsi="Arial"/>
                <w:sz w:val="14"/>
                <w:szCs w:val="14"/>
                <w:b w:val="1"/>
                <w:bCs w:val="1"/>
                <w:color w:val="auto"/>
                <w:w w:val="91"/>
              </w:rPr>
              <w:t>Debt Maturing</w:t>
            </w: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Debt Maturing</w:t>
            </w:r>
          </w:p>
        </w:tc>
        <w:tc>
          <w:tcPr>
            <w:tcW w:w="0" w:type="dxa"/>
            <w:vAlign w:val="bottom"/>
          </w:tcPr>
          <w:p>
            <w:pPr>
              <w:spacing w:after="0"/>
              <w:rPr>
                <w:sz w:val="1"/>
                <w:szCs w:val="1"/>
                <w:color w:val="auto"/>
              </w:rPr>
            </w:pPr>
          </w:p>
        </w:tc>
      </w:tr>
      <w:tr>
        <w:trPr>
          <w:trHeight w:val="142"/>
        </w:trPr>
        <w:tc>
          <w:tcPr>
            <w:tcW w:w="760" w:type="dxa"/>
            <w:vAlign w:val="bottom"/>
            <w:tcBorders>
              <w:top w:val="single" w:sz="8" w:color="auto"/>
            </w:tcBorders>
          </w:tcPr>
          <w:p>
            <w:pPr>
              <w:spacing w:after="0"/>
              <w:rPr>
                <w:sz w:val="12"/>
                <w:szCs w:val="12"/>
                <w:color w:val="auto"/>
              </w:rPr>
            </w:pPr>
          </w:p>
        </w:tc>
        <w:tc>
          <w:tcPr>
            <w:tcW w:w="116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120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120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140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3,608</w:t>
            </w:r>
          </w:p>
        </w:tc>
        <w:tc>
          <w:tcPr>
            <w:tcW w:w="130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12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153,608</w:t>
            </w:r>
          </w:p>
        </w:tc>
        <w:tc>
          <w:tcPr>
            <w:tcW w:w="222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8.5%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2008</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8,485</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10,651</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2"/>
          </w:tcPr>
          <w:p>
            <w:pPr>
              <w:jc w:val="right"/>
              <w:ind w:right="1400"/>
              <w:spacing w:after="0"/>
              <w:rPr>
                <w:sz w:val="20"/>
                <w:szCs w:val="20"/>
                <w:color w:val="auto"/>
              </w:rPr>
            </w:pPr>
            <w:r>
              <w:rPr>
                <w:rFonts w:ascii="Arial" w:cs="Arial" w:eastAsia="Arial" w:hAnsi="Arial"/>
                <w:sz w:val="18"/>
                <w:szCs w:val="18"/>
                <w:color w:val="auto"/>
              </w:rPr>
              <w:t>19,136</w:t>
            </w:r>
          </w:p>
        </w:tc>
        <w:tc>
          <w:tcPr>
            <w:tcW w:w="2220" w:type="dxa"/>
            <w:vAlign w:val="bottom"/>
            <w:gridSpan w:val="2"/>
          </w:tcPr>
          <w:p>
            <w:pPr>
              <w:jc w:val="right"/>
              <w:ind w:right="1200"/>
              <w:spacing w:after="0"/>
              <w:rPr>
                <w:sz w:val="20"/>
                <w:szCs w:val="20"/>
                <w:color w:val="auto"/>
              </w:rPr>
            </w:pPr>
            <w:r>
              <w:rPr>
                <w:rFonts w:ascii="Arial" w:cs="Arial" w:eastAsia="Arial" w:hAnsi="Arial"/>
                <w:sz w:val="18"/>
                <w:szCs w:val="18"/>
                <w:color w:val="auto"/>
              </w:rPr>
              <w:t>1.1%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8,927</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179,349</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188,276</w:t>
            </w:r>
          </w:p>
        </w:tc>
        <w:tc>
          <w:tcPr>
            <w:tcW w:w="222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10.4%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2010</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9,556</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147,000</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2"/>
          </w:tcPr>
          <w:p>
            <w:pPr>
              <w:jc w:val="right"/>
              <w:ind w:right="1200"/>
              <w:spacing w:after="0"/>
              <w:rPr>
                <w:sz w:val="20"/>
                <w:szCs w:val="20"/>
                <w:color w:val="auto"/>
              </w:rPr>
            </w:pPr>
            <w:r>
              <w:rPr>
                <w:rFonts w:ascii="Arial" w:cs="Arial" w:eastAsia="Arial" w:hAnsi="Arial"/>
                <w:sz w:val="18"/>
                <w:szCs w:val="18"/>
                <w:color w:val="auto"/>
              </w:rPr>
              <w:t>156,556(1)</w:t>
            </w:r>
          </w:p>
        </w:tc>
        <w:tc>
          <w:tcPr>
            <w:tcW w:w="2220" w:type="dxa"/>
            <w:vAlign w:val="bottom"/>
            <w:gridSpan w:val="2"/>
          </w:tcPr>
          <w:p>
            <w:pPr>
              <w:jc w:val="right"/>
              <w:ind w:right="1200"/>
              <w:spacing w:after="0"/>
              <w:rPr>
                <w:sz w:val="20"/>
                <w:szCs w:val="20"/>
                <w:color w:val="auto"/>
              </w:rPr>
            </w:pPr>
            <w:r>
              <w:rPr>
                <w:rFonts w:ascii="Arial" w:cs="Arial" w:eastAsia="Arial" w:hAnsi="Arial"/>
                <w:sz w:val="18"/>
                <w:szCs w:val="18"/>
                <w:color w:val="auto"/>
              </w:rPr>
              <w:t>8.6%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9,788</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112,252</w:t>
            </w:r>
          </w:p>
        </w:tc>
        <w:tc>
          <w:tcPr>
            <w:tcW w:w="10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122,040</w:t>
            </w:r>
          </w:p>
        </w:tc>
        <w:tc>
          <w:tcPr>
            <w:tcW w:w="222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6.7%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2012</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9,959</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175,000</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2"/>
          </w:tcPr>
          <w:p>
            <w:pPr>
              <w:jc w:val="right"/>
              <w:ind w:right="1400"/>
              <w:spacing w:after="0"/>
              <w:rPr>
                <w:sz w:val="20"/>
                <w:szCs w:val="20"/>
                <w:color w:val="auto"/>
              </w:rPr>
            </w:pPr>
            <w:r>
              <w:rPr>
                <w:rFonts w:ascii="Arial" w:cs="Arial" w:eastAsia="Arial" w:hAnsi="Arial"/>
                <w:sz w:val="18"/>
                <w:szCs w:val="18"/>
                <w:color w:val="auto"/>
              </w:rPr>
              <w:t>184,959</w:t>
            </w:r>
          </w:p>
        </w:tc>
        <w:tc>
          <w:tcPr>
            <w:tcW w:w="2220" w:type="dxa"/>
            <w:vAlign w:val="bottom"/>
            <w:gridSpan w:val="2"/>
          </w:tcPr>
          <w:p>
            <w:pPr>
              <w:jc w:val="right"/>
              <w:ind w:right="1200"/>
              <w:spacing w:after="0"/>
              <w:rPr>
                <w:sz w:val="20"/>
                <w:szCs w:val="20"/>
                <w:color w:val="auto"/>
              </w:rPr>
            </w:pPr>
            <w:r>
              <w:rPr>
                <w:rFonts w:ascii="Arial" w:cs="Arial" w:eastAsia="Arial" w:hAnsi="Arial"/>
                <w:sz w:val="18"/>
                <w:szCs w:val="18"/>
                <w:color w:val="auto"/>
              </w:rPr>
              <w:t>10.2%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9,831</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163,045</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172,876</w:t>
            </w:r>
          </w:p>
        </w:tc>
        <w:tc>
          <w:tcPr>
            <w:tcW w:w="222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9.5%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2014</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9,859</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20,127</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2"/>
          </w:tcPr>
          <w:p>
            <w:pPr>
              <w:jc w:val="right"/>
              <w:ind w:right="1400"/>
              <w:spacing w:after="0"/>
              <w:rPr>
                <w:sz w:val="20"/>
                <w:szCs w:val="20"/>
                <w:color w:val="auto"/>
              </w:rPr>
            </w:pPr>
            <w:r>
              <w:rPr>
                <w:rFonts w:ascii="Arial" w:cs="Arial" w:eastAsia="Arial" w:hAnsi="Arial"/>
                <w:sz w:val="18"/>
                <w:szCs w:val="18"/>
                <w:color w:val="auto"/>
              </w:rPr>
              <w:t>29,986</w:t>
            </w:r>
          </w:p>
        </w:tc>
        <w:tc>
          <w:tcPr>
            <w:tcW w:w="2220" w:type="dxa"/>
            <w:vAlign w:val="bottom"/>
            <w:gridSpan w:val="2"/>
          </w:tcPr>
          <w:p>
            <w:pPr>
              <w:jc w:val="right"/>
              <w:ind w:right="1200"/>
              <w:spacing w:after="0"/>
              <w:rPr>
                <w:sz w:val="20"/>
                <w:szCs w:val="20"/>
                <w:color w:val="auto"/>
              </w:rPr>
            </w:pPr>
            <w:r>
              <w:rPr>
                <w:rFonts w:ascii="Arial" w:cs="Arial" w:eastAsia="Arial" w:hAnsi="Arial"/>
                <w:sz w:val="18"/>
                <w:szCs w:val="18"/>
                <w:color w:val="auto"/>
              </w:rPr>
              <w:t>1.7%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7,691</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198,391</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206,082</w:t>
            </w:r>
          </w:p>
        </w:tc>
        <w:tc>
          <w:tcPr>
            <w:tcW w:w="222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11.4%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2016</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3,822</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134,400</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2"/>
          </w:tcPr>
          <w:p>
            <w:pPr>
              <w:jc w:val="right"/>
              <w:ind w:right="1400"/>
              <w:spacing w:after="0"/>
              <w:rPr>
                <w:sz w:val="20"/>
                <w:szCs w:val="20"/>
                <w:color w:val="auto"/>
              </w:rPr>
            </w:pPr>
            <w:r>
              <w:rPr>
                <w:rFonts w:ascii="Arial" w:cs="Arial" w:eastAsia="Arial" w:hAnsi="Arial"/>
                <w:sz w:val="18"/>
                <w:szCs w:val="18"/>
                <w:color w:val="auto"/>
              </w:rPr>
              <w:t>138,222</w:t>
            </w:r>
          </w:p>
        </w:tc>
        <w:tc>
          <w:tcPr>
            <w:tcW w:w="2220" w:type="dxa"/>
            <w:vAlign w:val="bottom"/>
            <w:gridSpan w:val="2"/>
          </w:tcPr>
          <w:p>
            <w:pPr>
              <w:jc w:val="right"/>
              <w:ind w:right="1200"/>
              <w:spacing w:after="0"/>
              <w:rPr>
                <w:sz w:val="20"/>
                <w:szCs w:val="20"/>
                <w:color w:val="auto"/>
              </w:rPr>
            </w:pPr>
            <w:r>
              <w:rPr>
                <w:rFonts w:ascii="Arial" w:cs="Arial" w:eastAsia="Arial" w:hAnsi="Arial"/>
                <w:sz w:val="18"/>
                <w:szCs w:val="18"/>
                <w:color w:val="auto"/>
              </w:rPr>
              <w:t>7.6%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16"/>
        </w:trPr>
        <w:tc>
          <w:tcPr>
            <w:tcW w:w="192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w w:val="89"/>
              </w:rPr>
              <w:t>Thereafter</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146,150</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293,676</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439,826</w:t>
            </w:r>
          </w:p>
        </w:tc>
        <w:tc>
          <w:tcPr>
            <w:tcW w:w="140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24.3%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1920" w:type="dxa"/>
            <w:vAlign w:val="bottom"/>
            <w:gridSpan w:val="2"/>
            <w:vMerge w:val="restart"/>
          </w:tcPr>
          <w:p>
            <w:pPr>
              <w:jc w:val="right"/>
              <w:ind w:right="116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920" w:type="dxa"/>
            <w:vAlign w:val="bottom"/>
            <w:gridSpan w:val="2"/>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227,676</w:t>
            </w:r>
          </w:p>
        </w:tc>
        <w:tc>
          <w:tcPr>
            <w:tcW w:w="1300" w:type="dxa"/>
            <w:vAlign w:val="bottom"/>
            <w:gridSpan w:val="2"/>
          </w:tcPr>
          <w:p>
            <w:pPr>
              <w:ind w:left="120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1,583,891</w:t>
            </w:r>
          </w:p>
        </w:tc>
        <w:tc>
          <w:tcPr>
            <w:tcW w:w="12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2120" w:type="dxa"/>
            <w:vAlign w:val="bottom"/>
            <w:gridSpan w:val="2"/>
          </w:tcPr>
          <w:p>
            <w:pPr>
              <w:jc w:val="right"/>
              <w:ind w:right="1200"/>
              <w:spacing w:after="0"/>
              <w:rPr>
                <w:sz w:val="20"/>
                <w:szCs w:val="20"/>
                <w:color w:val="auto"/>
              </w:rPr>
            </w:pPr>
            <w:r>
              <w:rPr>
                <w:rFonts w:ascii="Arial" w:cs="Arial" w:eastAsia="Arial" w:hAnsi="Arial"/>
                <w:sz w:val="18"/>
                <w:szCs w:val="18"/>
                <w:color w:val="auto"/>
                <w:w w:val="88"/>
              </w:rPr>
              <w:t>1,811,567(2)</w:t>
            </w:r>
          </w:p>
        </w:tc>
        <w:tc>
          <w:tcPr>
            <w:tcW w:w="2220" w:type="dxa"/>
            <w:vAlign w:val="bottom"/>
            <w:gridSpan w:val="2"/>
          </w:tcPr>
          <w:p>
            <w:pPr>
              <w:jc w:val="right"/>
              <w:ind w:right="1200"/>
              <w:spacing w:after="0"/>
              <w:rPr>
                <w:sz w:val="20"/>
                <w:szCs w:val="20"/>
                <w:color w:val="auto"/>
              </w:rPr>
            </w:pPr>
            <w:r>
              <w:rPr>
                <w:rFonts w:ascii="Arial" w:cs="Arial" w:eastAsia="Arial" w:hAnsi="Arial"/>
                <w:sz w:val="18"/>
                <w:szCs w:val="18"/>
                <w:color w:val="auto"/>
              </w:rPr>
              <w:t>100.0%</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90" w:lineRule="exact"/>
        <w:rPr>
          <w:sz w:val="20"/>
          <w:szCs w:val="20"/>
          <w:color w:val="auto"/>
        </w:rPr>
      </w:pPr>
    </w:p>
    <w:p>
      <w:pPr>
        <w:ind w:left="460" w:right="24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Maturities in 2010 include $147.0 million drawn under the Trust’s $300 million four-year revolving credit facility. This credit facility is subject to a one-year extension at our option.</w:t>
      </w:r>
    </w:p>
    <w:p>
      <w:pPr>
        <w:spacing w:after="0" w:line="50" w:lineRule="exact"/>
        <w:rPr>
          <w:rFonts w:ascii="Arial" w:cs="Arial" w:eastAsia="Arial" w:hAnsi="Arial"/>
          <w:sz w:val="18"/>
          <w:szCs w:val="18"/>
          <w:color w:val="auto"/>
        </w:rPr>
      </w:pPr>
    </w:p>
    <w:p>
      <w:pPr>
        <w:ind w:left="460" w:right="34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total debt maturities differs from the total reported on the consolidated balance sheet due to the unamortized discount or premium on certain senior notes, debentures and mortgage payables.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Redevelopment Opportunities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2007</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Redevelopment Opportunities (1) ($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Property</w:t>
            </w:r>
          </w:p>
        </w:tc>
        <w:tc>
          <w:tcPr>
            <w:tcW w:w="200" w:type="dxa"/>
            <w:vAlign w:val="bottom"/>
          </w:tcPr>
          <w:p>
            <w:pPr>
              <w:spacing w:after="0"/>
              <w:rPr>
                <w:sz w:val="14"/>
                <w:szCs w:val="14"/>
                <w:color w:val="auto"/>
              </w:rPr>
            </w:pPr>
          </w:p>
        </w:tc>
        <w:tc>
          <w:tcPr>
            <w:tcW w:w="19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Location</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20" w:type="dxa"/>
            <w:vAlign w:val="bottom"/>
            <w:vMerge w:val="restart"/>
          </w:tcPr>
          <w:p>
            <w:pPr>
              <w:spacing w:after="0"/>
              <w:rPr>
                <w:sz w:val="20"/>
                <w:szCs w:val="20"/>
                <w:color w:val="auto"/>
              </w:rPr>
            </w:pPr>
            <w:r>
              <w:rPr>
                <w:rFonts w:ascii="Arial" w:cs="Arial" w:eastAsia="Arial" w:hAnsi="Arial"/>
                <w:sz w:val="14"/>
                <w:szCs w:val="14"/>
                <w:b w:val="1"/>
                <w:bCs w:val="1"/>
                <w:color w:val="auto"/>
              </w:rPr>
              <w:t>Opportunity</w:t>
            </w:r>
          </w:p>
        </w:tc>
        <w:tc>
          <w:tcPr>
            <w:tcW w:w="30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4"/>
              </w:rPr>
              <w:t>Projected</w:t>
            </w:r>
          </w:p>
        </w:tc>
        <w:tc>
          <w:tcPr>
            <w:tcW w:w="160" w:type="dxa"/>
            <w:vAlign w:val="bottom"/>
          </w:tcPr>
          <w:p>
            <w:pPr>
              <w:spacing w:after="0"/>
              <w:rPr>
                <w:sz w:val="14"/>
                <w:szCs w:val="14"/>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1"/>
              </w:rPr>
              <w:t>Projected</w:t>
            </w:r>
          </w:p>
        </w:tc>
        <w:tc>
          <w:tcPr>
            <w:tcW w:w="100" w:type="dxa"/>
            <w:vAlign w:val="bottom"/>
          </w:tcPr>
          <w:p>
            <w:pPr>
              <w:spacing w:after="0"/>
              <w:rPr>
                <w:sz w:val="14"/>
                <w:szCs w:val="14"/>
                <w:color w:val="auto"/>
              </w:rPr>
            </w:pPr>
          </w:p>
        </w:tc>
        <w:tc>
          <w:tcPr>
            <w:tcW w:w="440" w:type="dxa"/>
            <w:vAlign w:val="bottom"/>
            <w:gridSpan w:val="3"/>
          </w:tcPr>
          <w:p>
            <w:pPr>
              <w:spacing w:after="0"/>
              <w:rPr>
                <w:sz w:val="20"/>
                <w:szCs w:val="20"/>
                <w:color w:val="auto"/>
              </w:rPr>
            </w:pPr>
            <w:r>
              <w:rPr>
                <w:rFonts w:ascii="Arial" w:cs="Arial" w:eastAsia="Arial" w:hAnsi="Arial"/>
                <w:sz w:val="14"/>
                <w:szCs w:val="14"/>
                <w:b w:val="1"/>
                <w:bCs w:val="1"/>
                <w:color w:val="auto"/>
                <w:w w:val="87"/>
              </w:rPr>
              <w:t>Cost to</w:t>
            </w:r>
          </w:p>
        </w:tc>
        <w:tc>
          <w:tcPr>
            <w:tcW w:w="0" w:type="dxa"/>
            <w:vAlign w:val="bottom"/>
          </w:tcPr>
          <w:p>
            <w:pPr>
              <w:spacing w:after="0"/>
              <w:rPr>
                <w:sz w:val="1"/>
                <w:szCs w:val="1"/>
                <w:color w:val="auto"/>
              </w:rPr>
            </w:pPr>
          </w:p>
        </w:tc>
      </w:tr>
      <w:tr>
        <w:trPr>
          <w:trHeight w:val="148"/>
        </w:trPr>
        <w:tc>
          <w:tcPr>
            <w:tcW w:w="18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9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gridSpan w:val="2"/>
          </w:tcPr>
          <w:p>
            <w:pPr>
              <w:jc w:val="right"/>
              <w:ind w:right="380"/>
              <w:spacing w:after="0" w:line="148" w:lineRule="exact"/>
              <w:rPr>
                <w:sz w:val="20"/>
                <w:szCs w:val="20"/>
                <w:color w:val="auto"/>
              </w:rPr>
            </w:pPr>
            <w:r>
              <w:rPr>
                <w:rFonts w:ascii="Arial" w:cs="Arial" w:eastAsia="Arial" w:hAnsi="Arial"/>
                <w:sz w:val="14"/>
                <w:szCs w:val="14"/>
                <w:b w:val="1"/>
                <w:bCs w:val="1"/>
                <w:color w:val="auto"/>
              </w:rPr>
              <w:t>ROI (2)</w:t>
            </w:r>
          </w:p>
        </w:tc>
        <w:tc>
          <w:tcPr>
            <w:tcW w:w="160" w:type="dxa"/>
            <w:vAlign w:val="bottom"/>
          </w:tcPr>
          <w:p>
            <w:pPr>
              <w:spacing w:after="0"/>
              <w:rPr>
                <w:sz w:val="12"/>
                <w:szCs w:val="12"/>
                <w:color w:val="auto"/>
              </w:rPr>
            </w:pPr>
          </w:p>
        </w:tc>
        <w:tc>
          <w:tcPr>
            <w:tcW w:w="740" w:type="dxa"/>
            <w:vAlign w:val="bottom"/>
            <w:gridSpan w:val="3"/>
          </w:tcPr>
          <w:p>
            <w:pPr>
              <w:jc w:val="right"/>
              <w:ind w:right="240"/>
              <w:spacing w:after="0" w:line="148" w:lineRule="exact"/>
              <w:rPr>
                <w:sz w:val="20"/>
                <w:szCs w:val="20"/>
                <w:color w:val="auto"/>
              </w:rPr>
            </w:pPr>
            <w:r>
              <w:rPr>
                <w:rFonts w:ascii="Arial" w:cs="Arial" w:eastAsia="Arial" w:hAnsi="Arial"/>
                <w:sz w:val="14"/>
                <w:szCs w:val="14"/>
                <w:b w:val="1"/>
                <w:bCs w:val="1"/>
                <w:color w:val="auto"/>
                <w:w w:val="92"/>
              </w:rPr>
              <w:t>Cost (1)</w:t>
            </w:r>
          </w:p>
        </w:tc>
        <w:tc>
          <w:tcPr>
            <w:tcW w:w="100" w:type="dxa"/>
            <w:vAlign w:val="bottom"/>
          </w:tcPr>
          <w:p>
            <w:pPr>
              <w:spacing w:after="0"/>
              <w:rPr>
                <w:sz w:val="12"/>
                <w:szCs w:val="12"/>
                <w:color w:val="auto"/>
              </w:rPr>
            </w:pPr>
          </w:p>
        </w:tc>
        <w:tc>
          <w:tcPr>
            <w:tcW w:w="440" w:type="dxa"/>
            <w:vAlign w:val="bottom"/>
            <w:gridSpan w:val="3"/>
          </w:tcPr>
          <w:p>
            <w:pPr>
              <w:jc w:val="right"/>
              <w:ind w:right="100"/>
              <w:spacing w:after="0" w:line="148" w:lineRule="exact"/>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Projects Anticipated to Stabilize in 2007 (3)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w w:val="99"/>
              </w:rPr>
              <w:t>Rockville Town Square</w:t>
            </w:r>
          </w:p>
        </w:tc>
        <w:tc>
          <w:tcPr>
            <w:tcW w:w="200" w:type="dxa"/>
            <w:vAlign w:val="bottom"/>
          </w:tcPr>
          <w:p>
            <w:pPr>
              <w:spacing w:after="0"/>
              <w:rPr>
                <w:sz w:val="18"/>
                <w:szCs w:val="18"/>
                <w:color w:val="auto"/>
              </w:rPr>
            </w:pPr>
          </w:p>
        </w:tc>
        <w:tc>
          <w:tcPr>
            <w:tcW w:w="1940" w:type="dxa"/>
            <w:vAlign w:val="bottom"/>
            <w:gridSpan w:val="3"/>
          </w:tcPr>
          <w:p>
            <w:pPr>
              <w:ind w:left="80"/>
              <w:spacing w:after="0"/>
              <w:rPr>
                <w:sz w:val="20"/>
                <w:szCs w:val="20"/>
                <w:color w:val="auto"/>
              </w:rPr>
            </w:pPr>
            <w:r>
              <w:rPr>
                <w:rFonts w:ascii="Arial" w:cs="Arial" w:eastAsia="Arial" w:hAnsi="Arial"/>
                <w:sz w:val="18"/>
                <w:szCs w:val="18"/>
                <w:color w:val="auto"/>
              </w:rPr>
              <w:t>Rockville, MD</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1"/>
              </w:rPr>
              <w:t>Ground floor retail as part of urban mixed-use development (by</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others)</w:t>
            </w: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14%</w:t>
            </w:r>
          </w:p>
        </w:tc>
        <w:tc>
          <w:tcPr>
            <w:tcW w:w="3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40</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Mercer Mall</w:t>
            </w:r>
          </w:p>
        </w:tc>
        <w:tc>
          <w:tcPr>
            <w:tcW w:w="200" w:type="dxa"/>
            <w:vAlign w:val="bottom"/>
            <w:shd w:val="clear" w:color="auto" w:fill="CCEEFF"/>
          </w:tcPr>
          <w:p>
            <w:pPr>
              <w:spacing w:after="0"/>
              <w:rPr>
                <w:sz w:val="18"/>
                <w:szCs w:val="18"/>
                <w:color w:val="auto"/>
              </w:rPr>
            </w:pPr>
          </w:p>
        </w:tc>
        <w:tc>
          <w:tcPr>
            <w:tcW w:w="19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Lawrenceville, NJ</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Demolish, redevelop, re-tenanting plus acquisition and</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redevelopment of adjacent land parcel</w:t>
            </w: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Willow Lawn</w:t>
            </w:r>
          </w:p>
        </w:tc>
        <w:tc>
          <w:tcPr>
            <w:tcW w:w="200" w:type="dxa"/>
            <w:vAlign w:val="bottom"/>
          </w:tcPr>
          <w:p>
            <w:pPr>
              <w:spacing w:after="0"/>
              <w:rPr>
                <w:sz w:val="18"/>
                <w:szCs w:val="18"/>
                <w:color w:val="auto"/>
              </w:rPr>
            </w:pPr>
          </w:p>
        </w:tc>
        <w:tc>
          <w:tcPr>
            <w:tcW w:w="1940" w:type="dxa"/>
            <w:vAlign w:val="bottom"/>
            <w:gridSpan w:val="3"/>
          </w:tcPr>
          <w:p>
            <w:pPr>
              <w:ind w:left="80"/>
              <w:spacing w:after="0"/>
              <w:rPr>
                <w:sz w:val="20"/>
                <w:szCs w:val="20"/>
                <w:color w:val="auto"/>
              </w:rPr>
            </w:pPr>
            <w:r>
              <w:rPr>
                <w:rFonts w:ascii="Arial" w:cs="Arial" w:eastAsia="Arial" w:hAnsi="Arial"/>
                <w:sz w:val="18"/>
                <w:szCs w:val="18"/>
                <w:color w:val="auto"/>
              </w:rPr>
              <w:t>Richmond, VA</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2"/>
              </w:rPr>
              <w:t>Anchor re-tenanting, small shop demolition, façade renovation,</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and site improvements</w:t>
            </w: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Loehmann’s Plaza</w:t>
            </w:r>
          </w:p>
        </w:tc>
        <w:tc>
          <w:tcPr>
            <w:tcW w:w="200" w:type="dxa"/>
            <w:vAlign w:val="bottom"/>
            <w:shd w:val="clear" w:color="auto" w:fill="CCEEFF"/>
          </w:tcPr>
          <w:p>
            <w:pPr>
              <w:spacing w:after="0"/>
              <w:rPr>
                <w:sz w:val="18"/>
                <w:szCs w:val="18"/>
                <w:color w:val="auto"/>
              </w:rPr>
            </w:pPr>
          </w:p>
        </w:tc>
        <w:tc>
          <w:tcPr>
            <w:tcW w:w="19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Falls Church, VA</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w w:val="89"/>
              </w:rPr>
              <w:t>Grocer expansion, anchor relocation, façade renovation and site</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improvements</w:t>
            </w: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Village of Shirlington -</w:t>
            </w:r>
          </w:p>
        </w:tc>
        <w:tc>
          <w:tcPr>
            <w:tcW w:w="200" w:type="dxa"/>
            <w:vAlign w:val="bottom"/>
          </w:tcPr>
          <w:p>
            <w:pPr>
              <w:spacing w:after="0"/>
              <w:rPr>
                <w:sz w:val="18"/>
                <w:szCs w:val="18"/>
                <w:color w:val="auto"/>
              </w:rPr>
            </w:pPr>
          </w:p>
        </w:tc>
        <w:tc>
          <w:tcPr>
            <w:tcW w:w="1940" w:type="dxa"/>
            <w:vAlign w:val="bottom"/>
            <w:gridSpan w:val="3"/>
          </w:tcPr>
          <w:p>
            <w:pPr>
              <w:ind w:left="80"/>
              <w:spacing w:after="0"/>
              <w:rPr>
                <w:sz w:val="20"/>
                <w:szCs w:val="20"/>
                <w:color w:val="auto"/>
              </w:rPr>
            </w:pPr>
            <w:r>
              <w:rPr>
                <w:rFonts w:ascii="Arial" w:cs="Arial" w:eastAsia="Arial" w:hAnsi="Arial"/>
                <w:sz w:val="18"/>
                <w:szCs w:val="18"/>
                <w:color w:val="auto"/>
              </w:rPr>
              <w:t>Arlington, VA</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3"/>
              </w:rPr>
              <w:t>Ground floor retail and parking garage as part of urban mixed-</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80" w:type="dxa"/>
            <w:vAlign w:val="bottom"/>
            <w:gridSpan w:val="2"/>
          </w:tcPr>
          <w:p>
            <w:pPr>
              <w:spacing w:after="0"/>
              <w:rPr>
                <w:sz w:val="20"/>
                <w:szCs w:val="20"/>
                <w:color w:val="auto"/>
              </w:rPr>
            </w:pPr>
            <w:r>
              <w:rPr>
                <w:rFonts w:ascii="Arial" w:cs="Arial" w:eastAsia="Arial" w:hAnsi="Arial"/>
                <w:sz w:val="18"/>
                <w:szCs w:val="18"/>
                <w:color w:val="auto"/>
              </w:rPr>
              <w:t>Phase II</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use development (by others)</w:t>
            </w: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Leesburg Plaza - Pads</w:t>
            </w:r>
          </w:p>
        </w:tc>
        <w:tc>
          <w:tcPr>
            <w:tcW w:w="200" w:type="dxa"/>
            <w:vAlign w:val="bottom"/>
            <w:shd w:val="clear" w:color="auto" w:fill="CCEEFF"/>
          </w:tcPr>
          <w:p>
            <w:pPr>
              <w:spacing w:after="0"/>
              <w:rPr>
                <w:sz w:val="18"/>
                <w:szCs w:val="18"/>
                <w:color w:val="auto"/>
              </w:rPr>
            </w:pPr>
          </w:p>
        </w:tc>
        <w:tc>
          <w:tcPr>
            <w:tcW w:w="19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Leesburg, VA</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w w:val="99"/>
              </w:rPr>
              <w:t>Two new retail buildings and a bank pad site will be added</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gridSpan w:val="8"/>
            <w:vMerge w:val="restart"/>
          </w:tcPr>
          <w:p>
            <w:pPr>
              <w:ind w:left="420"/>
              <w:spacing w:after="0"/>
              <w:rPr>
                <w:sz w:val="20"/>
                <w:szCs w:val="20"/>
                <w:color w:val="auto"/>
              </w:rPr>
            </w:pPr>
            <w:r>
              <w:rPr>
                <w:rFonts w:ascii="Arial" w:cs="Arial" w:eastAsia="Arial" w:hAnsi="Arial"/>
                <w:sz w:val="18"/>
                <w:szCs w:val="18"/>
                <w:b w:val="1"/>
                <w:bCs w:val="1"/>
                <w:color w:val="auto"/>
              </w:rPr>
              <w:t>Subtotal: Projects Anticipated to Stabilize in 2007 (3) (4)</w:t>
            </w:r>
          </w:p>
        </w:tc>
        <w:tc>
          <w:tcPr>
            <w:tcW w:w="30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8"/>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12%</w:t>
            </w:r>
          </w:p>
        </w:tc>
        <w:tc>
          <w:tcPr>
            <w:tcW w:w="160" w:type="dxa"/>
            <w:vAlign w:val="bottom"/>
            <w:vMerge w:val="continue"/>
          </w:tcPr>
          <w:p>
            <w:pPr>
              <w:spacing w:after="0"/>
              <w:rPr>
                <w:sz w:val="19"/>
                <w:szCs w:val="19"/>
                <w:color w:val="auto"/>
              </w:rPr>
            </w:pPr>
          </w:p>
        </w:tc>
        <w:tc>
          <w:tcPr>
            <w:tcW w:w="200" w:type="dxa"/>
            <w:vAlign w:val="bottom"/>
          </w:tcPr>
          <w:p>
            <w:pPr>
              <w:jc w:val="right"/>
              <w:ind w:right="48"/>
              <w:spacing w:after="0"/>
              <w:rPr>
                <w:sz w:val="20"/>
                <w:szCs w:val="20"/>
                <w:color w:val="auto"/>
              </w:rPr>
            </w:pPr>
            <w:r>
              <w:rPr>
                <w:rFonts w:ascii="Arial" w:cs="Arial" w:eastAsia="Arial" w:hAnsi="Arial"/>
                <w:sz w:val="15"/>
                <w:szCs w:val="15"/>
                <w:b w:val="1"/>
                <w:bCs w:val="1"/>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110</w:t>
            </w:r>
          </w:p>
        </w:tc>
        <w:tc>
          <w:tcPr>
            <w:tcW w:w="20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87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00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Projects Anticipated to Stabilize in 2008 (3)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Arlington East</w:t>
            </w:r>
          </w:p>
        </w:tc>
        <w:tc>
          <w:tcPr>
            <w:tcW w:w="200" w:type="dxa"/>
            <w:vAlign w:val="bottom"/>
          </w:tcPr>
          <w:p>
            <w:pPr>
              <w:spacing w:after="0"/>
              <w:rPr>
                <w:sz w:val="18"/>
                <w:szCs w:val="18"/>
                <w:color w:val="auto"/>
              </w:rPr>
            </w:pPr>
          </w:p>
        </w:tc>
        <w:tc>
          <w:tcPr>
            <w:tcW w:w="1940" w:type="dxa"/>
            <w:vAlign w:val="bottom"/>
            <w:gridSpan w:val="3"/>
          </w:tcPr>
          <w:p>
            <w:pPr>
              <w:ind w:left="80"/>
              <w:spacing w:after="0"/>
              <w:rPr>
                <w:sz w:val="20"/>
                <w:szCs w:val="20"/>
                <w:color w:val="auto"/>
              </w:rPr>
            </w:pPr>
            <w:r>
              <w:rPr>
                <w:rFonts w:ascii="Arial" w:cs="Arial" w:eastAsia="Arial" w:hAnsi="Arial"/>
                <w:sz w:val="18"/>
                <w:szCs w:val="18"/>
                <w:color w:val="auto"/>
              </w:rPr>
              <w:t>Bethesda, MD</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4"/>
              </w:rPr>
              <w:t>Ground floor retail, four levels of residential units above retail,</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two levels of below grade parking</w:t>
            </w: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9%</w:t>
            </w:r>
          </w:p>
        </w:tc>
        <w:tc>
          <w:tcPr>
            <w:tcW w:w="3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74</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Hollywood Galaxy</w:t>
            </w:r>
          </w:p>
        </w:tc>
        <w:tc>
          <w:tcPr>
            <w:tcW w:w="200" w:type="dxa"/>
            <w:vAlign w:val="bottom"/>
            <w:shd w:val="clear" w:color="auto" w:fill="CCEEFF"/>
          </w:tcPr>
          <w:p>
            <w:pPr>
              <w:spacing w:after="0"/>
              <w:rPr>
                <w:sz w:val="18"/>
                <w:szCs w:val="18"/>
                <w:color w:val="auto"/>
              </w:rPr>
            </w:pPr>
          </w:p>
        </w:tc>
        <w:tc>
          <w:tcPr>
            <w:tcW w:w="19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Hollywood, CA</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w w:val="94"/>
              </w:rPr>
              <w:t>Re-tenanting three level entertainment center and converting</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Building</w:t>
            </w:r>
          </w:p>
        </w:tc>
        <w:tc>
          <w:tcPr>
            <w:tcW w:w="2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project into urban neighborhood community center</w:t>
            </w: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Village of Shirlington -</w:t>
            </w:r>
          </w:p>
        </w:tc>
        <w:tc>
          <w:tcPr>
            <w:tcW w:w="200" w:type="dxa"/>
            <w:vAlign w:val="bottom"/>
          </w:tcPr>
          <w:p>
            <w:pPr>
              <w:spacing w:after="0"/>
              <w:rPr>
                <w:sz w:val="18"/>
                <w:szCs w:val="18"/>
                <w:color w:val="auto"/>
              </w:rPr>
            </w:pPr>
          </w:p>
        </w:tc>
        <w:tc>
          <w:tcPr>
            <w:tcW w:w="1940" w:type="dxa"/>
            <w:vAlign w:val="bottom"/>
            <w:gridSpan w:val="3"/>
          </w:tcPr>
          <w:p>
            <w:pPr>
              <w:ind w:left="80"/>
              <w:spacing w:after="0"/>
              <w:rPr>
                <w:sz w:val="20"/>
                <w:szCs w:val="20"/>
                <w:color w:val="auto"/>
              </w:rPr>
            </w:pPr>
            <w:r>
              <w:rPr>
                <w:rFonts w:ascii="Arial" w:cs="Arial" w:eastAsia="Arial" w:hAnsi="Arial"/>
                <w:sz w:val="18"/>
                <w:szCs w:val="18"/>
                <w:color w:val="auto"/>
              </w:rPr>
              <w:t>Arlington, VA</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1"/>
              </w:rPr>
              <w:t>Ground lease to hotel operator and ground floor retail as part of</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80" w:type="dxa"/>
            <w:vAlign w:val="bottom"/>
            <w:gridSpan w:val="2"/>
          </w:tcPr>
          <w:p>
            <w:pPr>
              <w:spacing w:after="0"/>
              <w:rPr>
                <w:sz w:val="20"/>
                <w:szCs w:val="20"/>
                <w:color w:val="auto"/>
              </w:rPr>
            </w:pPr>
            <w:r>
              <w:rPr>
                <w:rFonts w:ascii="Arial" w:cs="Arial" w:eastAsia="Arial" w:hAnsi="Arial"/>
                <w:sz w:val="18"/>
                <w:szCs w:val="18"/>
                <w:color w:val="auto"/>
              </w:rPr>
              <w:t>Phase III &amp; IV</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office building development (by others)</w:t>
            </w:r>
          </w:p>
        </w:tc>
        <w:tc>
          <w:tcPr>
            <w:tcW w:w="3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&lt;1</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8"/>
            <w:shd w:val="clear" w:color="auto" w:fill="CCEEFF"/>
          </w:tcPr>
          <w:p>
            <w:pPr>
              <w:ind w:left="420"/>
              <w:spacing w:after="0"/>
              <w:rPr>
                <w:sz w:val="20"/>
                <w:szCs w:val="20"/>
                <w:color w:val="auto"/>
              </w:rPr>
            </w:pPr>
            <w:r>
              <w:rPr>
                <w:rFonts w:ascii="Arial" w:cs="Arial" w:eastAsia="Arial" w:hAnsi="Arial"/>
                <w:sz w:val="18"/>
                <w:szCs w:val="18"/>
                <w:b w:val="1"/>
                <w:bCs w:val="1"/>
                <w:color w:val="auto"/>
              </w:rPr>
              <w:t>Subtotal: Projects Anticipated to Stabilize in 2008 (3) (4)</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w:t>
            </w:r>
          </w:p>
        </w:tc>
        <w:tc>
          <w:tcPr>
            <w:tcW w:w="3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97</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20" w:type="dxa"/>
            <w:vAlign w:val="bottom"/>
            <w:gridSpan w:val="9"/>
            <w:vMerge w:val="restart"/>
          </w:tcPr>
          <w:p>
            <w:pPr>
              <w:spacing w:after="0"/>
              <w:rPr>
                <w:sz w:val="20"/>
                <w:szCs w:val="20"/>
                <w:color w:val="auto"/>
              </w:rPr>
            </w:pPr>
            <w:r>
              <w:rPr>
                <w:rFonts w:ascii="Arial" w:cs="Arial" w:eastAsia="Arial" w:hAnsi="Arial"/>
                <w:sz w:val="18"/>
                <w:szCs w:val="18"/>
                <w:b w:val="1"/>
                <w:bCs w:val="1"/>
                <w:color w:val="auto"/>
              </w:rPr>
              <w:t>Total: Projects Anticipated to Stabilize in 2007 and 2008 (3) (4)</w:t>
            </w: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20" w:type="dxa"/>
            <w:vAlign w:val="bottom"/>
            <w:gridSpan w:val="9"/>
            <w:vMerge w:val="continue"/>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w:t>
            </w:r>
          </w:p>
        </w:tc>
        <w:tc>
          <w:tcPr>
            <w:tcW w:w="160" w:type="dxa"/>
            <w:vAlign w:val="bottom"/>
          </w:tcPr>
          <w:p>
            <w:pPr>
              <w:spacing w:after="0"/>
              <w:rPr>
                <w:sz w:val="18"/>
                <w:szCs w:val="18"/>
                <w:color w:val="auto"/>
              </w:rPr>
            </w:pPr>
          </w:p>
        </w:tc>
        <w:tc>
          <w:tcPr>
            <w:tcW w:w="200" w:type="dxa"/>
            <w:vAlign w:val="bottom"/>
          </w:tcPr>
          <w:p>
            <w:pPr>
              <w:jc w:val="right"/>
              <w:ind w:right="48"/>
              <w:spacing w:after="0"/>
              <w:rPr>
                <w:sz w:val="20"/>
                <w:szCs w:val="20"/>
                <w:color w:val="auto"/>
              </w:rPr>
            </w:pPr>
            <w:r>
              <w:rPr>
                <w:rFonts w:ascii="Arial" w:cs="Arial" w:eastAsia="Arial" w:hAnsi="Arial"/>
                <w:sz w:val="15"/>
                <w:szCs w:val="15"/>
                <w:b w:val="1"/>
                <w:bCs w:val="1"/>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207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w w:val="93"/>
              </w:rPr>
              <w:t>141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gridSpan w:val="6"/>
            <w:vMerge w:val="restart"/>
          </w:tcPr>
          <w:p>
            <w:pPr>
              <w:spacing w:after="0"/>
              <w:rPr>
                <w:sz w:val="20"/>
                <w:szCs w:val="20"/>
                <w:color w:val="auto"/>
              </w:rPr>
            </w:pPr>
            <w:r>
              <w:rPr>
                <w:rFonts w:ascii="Arial" w:cs="Arial" w:eastAsia="Arial" w:hAnsi="Arial"/>
                <w:sz w:val="18"/>
                <w:szCs w:val="18"/>
                <w:b w:val="1"/>
                <w:bCs w:val="1"/>
                <w:color w:val="auto"/>
                <w:w w:val="89"/>
              </w:rPr>
              <w:t>Potential future redevelopment pipeline includes (5):</w:t>
            </w: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4020" w:type="dxa"/>
            <w:vAlign w:val="bottom"/>
            <w:gridSpan w:val="6"/>
            <w:vMerge w:val="continue"/>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880" w:type="dxa"/>
            <w:vAlign w:val="bottom"/>
            <w:gridSpan w:val="2"/>
          </w:tcPr>
          <w:p>
            <w:pPr>
              <w:spacing w:after="0"/>
              <w:rPr>
                <w:sz w:val="20"/>
                <w:szCs w:val="20"/>
                <w:color w:val="auto"/>
              </w:rPr>
            </w:pPr>
            <w:r>
              <w:rPr>
                <w:rFonts w:ascii="Arial" w:cs="Arial" w:eastAsia="Arial" w:hAnsi="Arial"/>
                <w:sz w:val="14"/>
                <w:szCs w:val="14"/>
                <w:b w:val="1"/>
                <w:bCs w:val="1"/>
                <w:color w:val="auto"/>
              </w:rPr>
              <w:t>Property</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gridSpan w:val="2"/>
          </w:tcPr>
          <w:p>
            <w:pPr>
              <w:spacing w:after="0"/>
              <w:rPr>
                <w:sz w:val="20"/>
                <w:szCs w:val="20"/>
                <w:color w:val="auto"/>
              </w:rPr>
            </w:pPr>
            <w:r>
              <w:rPr>
                <w:rFonts w:ascii="Arial" w:cs="Arial" w:eastAsia="Arial" w:hAnsi="Arial"/>
                <w:sz w:val="14"/>
                <w:szCs w:val="14"/>
                <w:b w:val="1"/>
                <w:bCs w:val="1"/>
                <w:color w:val="auto"/>
              </w:rPr>
              <w:t>Location</w:t>
            </w:r>
          </w:p>
        </w:tc>
        <w:tc>
          <w:tcPr>
            <w:tcW w:w="10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4"/>
                <w:szCs w:val="14"/>
                <w:b w:val="1"/>
                <w:bCs w:val="1"/>
                <w:color w:val="auto"/>
              </w:rPr>
              <w:t>Opportunity</w:t>
            </w: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Pike 7</w:t>
            </w:r>
          </w:p>
        </w:tc>
        <w:tc>
          <w:tcPr>
            <w:tcW w:w="2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Vienna, VA</w:t>
            </w:r>
          </w:p>
        </w:tc>
        <w:tc>
          <w:tcPr>
            <w:tcW w:w="100" w:type="dxa"/>
            <w:vAlign w:val="bottom"/>
            <w:shd w:val="clear" w:color="auto" w:fill="CCEEFF"/>
          </w:tcPr>
          <w:p>
            <w:pPr>
              <w:spacing w:after="0"/>
              <w:rPr>
                <w:sz w:val="18"/>
                <w:szCs w:val="18"/>
                <w:color w:val="auto"/>
              </w:rPr>
            </w:pPr>
          </w:p>
        </w:tc>
        <w:tc>
          <w:tcPr>
            <w:tcW w:w="7300" w:type="dxa"/>
            <w:vAlign w:val="bottom"/>
            <w:gridSpan w:val="12"/>
            <w:shd w:val="clear" w:color="auto" w:fill="CCEEFF"/>
          </w:tcPr>
          <w:p>
            <w:pPr>
              <w:spacing w:after="0"/>
              <w:rPr>
                <w:sz w:val="20"/>
                <w:szCs w:val="20"/>
                <w:color w:val="auto"/>
              </w:rPr>
            </w:pPr>
            <w:r>
              <w:rPr>
                <w:rFonts w:ascii="Arial" w:cs="Arial" w:eastAsia="Arial" w:hAnsi="Arial"/>
                <w:sz w:val="18"/>
                <w:szCs w:val="18"/>
                <w:color w:val="auto"/>
                <w:w w:val="88"/>
              </w:rPr>
              <w:t>Co-terminus leases create potential for retail redevelopment or transit oriented mixed-use development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Westgate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San Jose, CA</w:t>
            </w:r>
          </w:p>
        </w:tc>
        <w:tc>
          <w:tcPr>
            <w:tcW w:w="10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Center redevelopment</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Eastgate</w:t>
            </w:r>
          </w:p>
        </w:tc>
        <w:tc>
          <w:tcPr>
            <w:tcW w:w="2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Chapel Hill, NC</w:t>
            </w:r>
          </w:p>
        </w:tc>
        <w:tc>
          <w:tcPr>
            <w:tcW w:w="100" w:type="dxa"/>
            <w:vAlign w:val="bottom"/>
            <w:shd w:val="clear" w:color="auto" w:fill="CCEEFF"/>
          </w:tcPr>
          <w:p>
            <w:pPr>
              <w:spacing w:after="0"/>
              <w:rPr>
                <w:sz w:val="18"/>
                <w:szCs w:val="18"/>
                <w:color w:val="auto"/>
              </w:rPr>
            </w:pPr>
          </w:p>
        </w:tc>
        <w:tc>
          <w:tcPr>
            <w:tcW w:w="6780" w:type="dxa"/>
            <w:vAlign w:val="bottom"/>
            <w:gridSpan w:val="9"/>
            <w:shd w:val="clear" w:color="auto" w:fill="CCEEFF"/>
          </w:tcPr>
          <w:p>
            <w:pPr>
              <w:spacing w:after="0"/>
              <w:rPr>
                <w:sz w:val="20"/>
                <w:szCs w:val="20"/>
                <w:color w:val="auto"/>
              </w:rPr>
            </w:pPr>
            <w:r>
              <w:rPr>
                <w:rFonts w:ascii="Arial" w:cs="Arial" w:eastAsia="Arial" w:hAnsi="Arial"/>
                <w:sz w:val="18"/>
                <w:szCs w:val="18"/>
                <w:color w:val="auto"/>
                <w:w w:val="89"/>
              </w:rPr>
              <w:t>Center redevelopment including new grocery anchor, façade renovation and site improvements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Flourtown</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Flourtown, PA</w:t>
            </w:r>
          </w:p>
        </w:tc>
        <w:tc>
          <w:tcPr>
            <w:tcW w:w="100" w:type="dxa"/>
            <w:vAlign w:val="bottom"/>
          </w:tcPr>
          <w:p>
            <w:pPr>
              <w:spacing w:after="0"/>
              <w:rPr>
                <w:sz w:val="18"/>
                <w:szCs w:val="18"/>
                <w:color w:val="auto"/>
              </w:rPr>
            </w:pPr>
          </w:p>
        </w:tc>
        <w:tc>
          <w:tcPr>
            <w:tcW w:w="6780" w:type="dxa"/>
            <w:vAlign w:val="bottom"/>
            <w:gridSpan w:val="9"/>
          </w:tcPr>
          <w:p>
            <w:pPr>
              <w:spacing w:after="0"/>
              <w:rPr>
                <w:sz w:val="20"/>
                <w:szCs w:val="20"/>
                <w:color w:val="auto"/>
              </w:rPr>
            </w:pPr>
            <w:r>
              <w:rPr>
                <w:rFonts w:ascii="Arial" w:cs="Arial" w:eastAsia="Arial" w:hAnsi="Arial"/>
                <w:sz w:val="18"/>
                <w:szCs w:val="18"/>
                <w:color w:val="auto"/>
                <w:w w:val="93"/>
              </w:rPr>
              <w:t>Anchor re-tenanting, small shop demolition, new retail building, façade renovation, and site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improvements</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Bala Cynwyd</w:t>
            </w:r>
          </w:p>
        </w:tc>
        <w:tc>
          <w:tcPr>
            <w:tcW w:w="2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 Cynwyd, PA</w:t>
            </w:r>
          </w:p>
        </w:tc>
        <w:tc>
          <w:tcPr>
            <w:tcW w:w="100" w:type="dxa"/>
            <w:vAlign w:val="bottom"/>
            <w:shd w:val="clear" w:color="auto" w:fill="CCEEFF"/>
          </w:tcPr>
          <w:p>
            <w:pPr>
              <w:spacing w:after="0"/>
              <w:rPr>
                <w:sz w:val="18"/>
                <w:szCs w:val="18"/>
                <w:color w:val="auto"/>
              </w:rPr>
            </w:pPr>
          </w:p>
        </w:tc>
        <w:tc>
          <w:tcPr>
            <w:tcW w:w="6780" w:type="dxa"/>
            <w:vAlign w:val="bottom"/>
            <w:gridSpan w:val="9"/>
            <w:shd w:val="clear" w:color="auto" w:fill="CCEEFF"/>
          </w:tcPr>
          <w:p>
            <w:pPr>
              <w:spacing w:after="0"/>
              <w:rPr>
                <w:sz w:val="20"/>
                <w:szCs w:val="20"/>
                <w:color w:val="auto"/>
              </w:rPr>
            </w:pPr>
            <w:r>
              <w:rPr>
                <w:rFonts w:ascii="Arial" w:cs="Arial" w:eastAsia="Arial" w:hAnsi="Arial"/>
                <w:sz w:val="18"/>
                <w:szCs w:val="18"/>
                <w:color w:val="auto"/>
                <w:w w:val="93"/>
              </w:rPr>
              <w:t>Redevelopment of nine acres of land for a transit oriented mixed-use project or retail center</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Santana Row</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San Jose, CA</w:t>
            </w:r>
          </w:p>
        </w:tc>
        <w:tc>
          <w:tcPr>
            <w:tcW w:w="10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Future phases of mixed-use development</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Assembly Square</w:t>
            </w:r>
          </w:p>
        </w:tc>
        <w:tc>
          <w:tcPr>
            <w:tcW w:w="2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Sommerville, MA</w:t>
            </w:r>
          </w:p>
        </w:tc>
        <w:tc>
          <w:tcPr>
            <w:tcW w:w="100" w:type="dxa"/>
            <w:vAlign w:val="bottom"/>
            <w:shd w:val="clear" w:color="auto" w:fill="CCEEFF"/>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Potential substantial transit oriented mixed-use development</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Bethesda Row</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Bethesda, MD</w:t>
            </w:r>
          </w:p>
        </w:tc>
        <w:tc>
          <w:tcPr>
            <w:tcW w:w="100" w:type="dxa"/>
            <w:vAlign w:val="bottom"/>
          </w:tcPr>
          <w:p>
            <w:pPr>
              <w:spacing w:after="0"/>
              <w:rPr>
                <w:sz w:val="18"/>
                <w:szCs w:val="18"/>
                <w:color w:val="auto"/>
              </w:rPr>
            </w:pPr>
          </w:p>
        </w:tc>
        <w:tc>
          <w:tcPr>
            <w:tcW w:w="6240" w:type="dxa"/>
            <w:vAlign w:val="bottom"/>
            <w:gridSpan w:val="7"/>
          </w:tcPr>
          <w:p>
            <w:pPr>
              <w:spacing w:after="0"/>
              <w:rPr>
                <w:sz w:val="20"/>
                <w:szCs w:val="20"/>
                <w:color w:val="auto"/>
              </w:rPr>
            </w:pPr>
            <w:r>
              <w:rPr>
                <w:rFonts w:ascii="Arial" w:cs="Arial" w:eastAsia="Arial" w:hAnsi="Arial"/>
                <w:sz w:val="18"/>
                <w:szCs w:val="18"/>
                <w:color w:val="auto"/>
                <w:w w:val="90"/>
              </w:rPr>
              <w:t>Anchor re-tenanting and modifications of recently acquired building on Hampden Lane</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Courthouse Center</w:t>
            </w:r>
          </w:p>
        </w:tc>
        <w:tc>
          <w:tcPr>
            <w:tcW w:w="2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Rockville, MD</w:t>
            </w:r>
          </w:p>
        </w:tc>
        <w:tc>
          <w:tcPr>
            <w:tcW w:w="100" w:type="dxa"/>
            <w:vAlign w:val="bottom"/>
            <w:shd w:val="clear" w:color="auto" w:fill="CCEEFF"/>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Center redevelopment adjacent to Rockville Town Square</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w:t>
      </w:r>
    </w:p>
    <w:p>
      <w:pPr>
        <w:spacing w:after="0" w:line="90" w:lineRule="exact"/>
        <w:rPr>
          <w:sz w:val="20"/>
          <w:szCs w:val="20"/>
          <w:color w:val="auto"/>
        </w:rPr>
      </w:pPr>
    </w:p>
    <w:p>
      <w:pPr>
        <w:jc w:val="both"/>
        <w:ind w:left="460" w:right="200" w:hanging="452"/>
        <w:spacing w:after="0" w:line="306"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These current redevelopment opportunities are being pursued by the Trust. There is no guaranty that the Trust will ultimately complete any or all of these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spacing w:after="0" w:line="25" w:lineRule="exact"/>
        <w:rPr>
          <w:rFonts w:ascii="Arial" w:cs="Arial" w:eastAsia="Arial" w:hAnsi="Arial"/>
          <w:sz w:val="16"/>
          <w:szCs w:val="16"/>
          <w:color w:val="auto"/>
        </w:rPr>
      </w:pPr>
    </w:p>
    <w:p>
      <w:pPr>
        <w:ind w:left="460" w:right="20" w:hanging="452"/>
        <w:spacing w:after="0" w:line="254"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Projected ROI reflects only the deal specific cash, unleveraged Incremental Property Operating Income (POI) generated by the redevelopment and is calculated as Incremental POI divided by cost. Incremental POI is the POI generated by the redevelopment after deducting rent being paid for the redevelopment space and any other space taken out of service to accommodate the redevelopment. Projected ROI does NOT include peripheral impacts, such as the impact on future lease rollovers at the property or the impact on the long-term value of the property. ROI for Mercer Mall (property acquired on the basis of redevelopment potential) is calculated as the increase in POI between acquisition and stabilization divided by the increase in cost basis between acquisition and stabilization.</w:t>
      </w:r>
    </w:p>
    <w:p>
      <w:pPr>
        <w:spacing w:after="0" w:line="63"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Stabilization is the year in which 95% occupancy of the redeveloped space is achieved.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subtotals and totals reflect cost weighted-average ROIs.</w:t>
      </w:r>
    </w:p>
    <w:p>
      <w:pPr>
        <w:spacing w:after="0" w:line="90" w:lineRule="exact"/>
        <w:rPr>
          <w:rFonts w:ascii="Arial" w:cs="Arial" w:eastAsia="Arial" w:hAnsi="Arial"/>
          <w:sz w:val="18"/>
          <w:szCs w:val="18"/>
          <w:color w:val="auto"/>
        </w:rPr>
      </w:pPr>
    </w:p>
    <w:p>
      <w:pPr>
        <w:ind w:left="460" w:right="12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These future redevelopment opportunities are being explored by the Trust. There is no guaranty that the Trust will ultimately pursue or complete any or all of these opportunities.</w:t>
      </w:r>
    </w:p>
    <w:p>
      <w:pPr>
        <w:sectPr>
          <w:pgSz w:w="11900" w:h="16838" w:orient="portrait"/>
          <w:cols w:equalWidth="0" w:num="1">
            <w:col w:w="11420"/>
          </w:cols>
          <w:pgMar w:left="240" w:top="274" w:right="239" w:bottom="1440" w:gutter="0" w:footer="0" w:header="0"/>
        </w:sectPr>
      </w:pP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274" w:right="2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Significant Acquisitions and Dispositions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Through June 30, 2007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Federal Realty Investment Trust Acquisitions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vMerge w:val="restart"/>
          </w:tcPr>
          <w:p>
            <w:pPr>
              <w:spacing w:after="0"/>
              <w:rPr>
                <w:sz w:val="20"/>
                <w:szCs w:val="20"/>
                <w:color w:val="auto"/>
              </w:rPr>
            </w:pPr>
            <w:r>
              <w:rPr>
                <w:rFonts w:ascii="Arial" w:cs="Arial" w:eastAsia="Arial" w:hAnsi="Arial"/>
                <w:sz w:val="14"/>
                <w:szCs w:val="14"/>
                <w:b w:val="1"/>
                <w:bCs w:val="1"/>
                <w:color w:val="auto"/>
              </w:rPr>
              <w:t>Date</w:t>
            </w:r>
          </w:p>
        </w:tc>
        <w:tc>
          <w:tcPr>
            <w:tcW w:w="120" w:type="dxa"/>
            <w:vAlign w:val="bottom"/>
          </w:tcPr>
          <w:p>
            <w:pPr>
              <w:spacing w:after="0"/>
              <w:rPr>
                <w:sz w:val="14"/>
                <w:szCs w:val="14"/>
                <w:color w:val="auto"/>
              </w:rPr>
            </w:pPr>
          </w:p>
        </w:tc>
        <w:tc>
          <w:tcPr>
            <w:tcW w:w="3300" w:type="dxa"/>
            <w:vAlign w:val="bottom"/>
            <w:gridSpan w:val="2"/>
            <w:vMerge w:val="restart"/>
          </w:tcPr>
          <w:p>
            <w:pPr>
              <w:ind w:left="1400"/>
              <w:spacing w:after="0"/>
              <w:rPr>
                <w:sz w:val="20"/>
                <w:szCs w:val="20"/>
                <w:color w:val="auto"/>
              </w:rPr>
            </w:pPr>
            <w:r>
              <w:rPr>
                <w:rFonts w:ascii="Arial" w:cs="Arial" w:eastAsia="Arial" w:hAnsi="Arial"/>
                <w:sz w:val="14"/>
                <w:szCs w:val="14"/>
                <w:b w:val="1"/>
                <w:bCs w:val="1"/>
                <w:color w:val="auto"/>
              </w:rPr>
              <w:t>Property</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2"/>
              </w:rPr>
              <w:t>Purchase</w:t>
            </w:r>
          </w:p>
        </w:tc>
        <w:tc>
          <w:tcPr>
            <w:tcW w:w="380" w:type="dxa"/>
            <w:vAlign w:val="bottom"/>
          </w:tcPr>
          <w:p>
            <w:pPr>
              <w:spacing w:after="0"/>
              <w:rPr>
                <w:sz w:val="14"/>
                <w:szCs w:val="14"/>
                <w:color w:val="auto"/>
              </w:rPr>
            </w:pPr>
          </w:p>
        </w:tc>
        <w:tc>
          <w:tcPr>
            <w:tcW w:w="3420" w:type="dxa"/>
            <w:vAlign w:val="bottom"/>
            <w:vMerge w:val="restart"/>
          </w:tcPr>
          <w:p>
            <w:pPr>
              <w:ind w:left="1260"/>
              <w:spacing w:after="0"/>
              <w:rPr>
                <w:sz w:val="20"/>
                <w:szCs w:val="20"/>
                <w:color w:val="auto"/>
              </w:rPr>
            </w:pPr>
            <w:r>
              <w:rPr>
                <w:rFonts w:ascii="Arial" w:cs="Arial" w:eastAsia="Arial" w:hAnsi="Arial"/>
                <w:sz w:val="14"/>
                <w:szCs w:val="14"/>
                <w:b w:val="1"/>
                <w:bCs w:val="1"/>
                <w:color w:val="auto"/>
              </w:rPr>
              <w:t>Anchor tenants</w:t>
            </w:r>
          </w:p>
        </w:tc>
        <w:tc>
          <w:tcPr>
            <w:tcW w:w="0" w:type="dxa"/>
            <w:vAlign w:val="bottom"/>
          </w:tcPr>
          <w:p>
            <w:pPr>
              <w:spacing w:after="0"/>
              <w:rPr>
                <w:sz w:val="1"/>
                <w:szCs w:val="1"/>
                <w:color w:val="auto"/>
              </w:rPr>
            </w:pPr>
          </w:p>
        </w:tc>
      </w:tr>
      <w:tr>
        <w:trPr>
          <w:trHeight w:val="155"/>
        </w:trPr>
        <w:tc>
          <w:tcPr>
            <w:tcW w:w="14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3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ind w:left="200"/>
              <w:spacing w:after="0" w:line="148" w:lineRule="exact"/>
              <w:rPr>
                <w:sz w:val="20"/>
                <w:szCs w:val="20"/>
                <w:color w:val="auto"/>
              </w:rPr>
            </w:pPr>
            <w:r>
              <w:rPr>
                <w:rFonts w:ascii="Arial" w:cs="Arial" w:eastAsia="Arial" w:hAnsi="Arial"/>
                <w:sz w:val="14"/>
                <w:szCs w:val="14"/>
                <w:b w:val="1"/>
                <w:bCs w:val="1"/>
                <w:color w:val="auto"/>
              </w:rPr>
              <w:t>City / State</w:t>
            </w:r>
          </w:p>
        </w:tc>
        <w:tc>
          <w:tcPr>
            <w:tcW w:w="100" w:type="dxa"/>
            <w:vAlign w:val="bottom"/>
          </w:tcPr>
          <w:p>
            <w:pPr>
              <w:spacing w:after="0"/>
              <w:rPr>
                <w:sz w:val="13"/>
                <w:szCs w:val="13"/>
                <w:color w:val="auto"/>
              </w:rPr>
            </w:pPr>
          </w:p>
        </w:tc>
        <w:tc>
          <w:tcPr>
            <w:tcW w:w="580" w:type="dxa"/>
            <w:vAlign w:val="bottom"/>
          </w:tcPr>
          <w:p>
            <w:pPr>
              <w:jc w:val="right"/>
              <w:ind w:right="66"/>
              <w:spacing w:after="0" w:line="148" w:lineRule="exact"/>
              <w:rPr>
                <w:sz w:val="20"/>
                <w:szCs w:val="20"/>
                <w:color w:val="auto"/>
              </w:rPr>
            </w:pPr>
            <w:r>
              <w:rPr>
                <w:rFonts w:ascii="Arial" w:cs="Arial" w:eastAsia="Arial" w:hAnsi="Arial"/>
                <w:sz w:val="14"/>
                <w:szCs w:val="14"/>
                <w:b w:val="1"/>
                <w:bCs w:val="1"/>
                <w:color w:val="auto"/>
              </w:rPr>
              <w:t>GLA</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83"/>
              </w:rPr>
              <w:t>price</w:t>
            </w:r>
          </w:p>
        </w:tc>
        <w:tc>
          <w:tcPr>
            <w:tcW w:w="380" w:type="dxa"/>
            <w:vAlign w:val="bottom"/>
          </w:tcPr>
          <w:p>
            <w:pPr>
              <w:spacing w:after="0"/>
              <w:rPr>
                <w:sz w:val="13"/>
                <w:szCs w:val="13"/>
                <w:color w:val="auto"/>
              </w:rPr>
            </w:pPr>
          </w:p>
        </w:tc>
        <w:tc>
          <w:tcPr>
            <w:tcW w:w="3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top w:val="single" w:sz="8" w:color="auto"/>
            </w:tcBorders>
            <w:gridSpan w:val="2"/>
          </w:tcPr>
          <w:p>
            <w:pPr>
              <w:ind w:left="20"/>
              <w:spacing w:after="0" w:line="149" w:lineRule="exact"/>
              <w:rPr>
                <w:sz w:val="20"/>
                <w:szCs w:val="20"/>
                <w:color w:val="auto"/>
              </w:rPr>
            </w:pPr>
            <w:r>
              <w:rPr>
                <w:rFonts w:ascii="Arial" w:cs="Arial" w:eastAsia="Arial" w:hAnsi="Arial"/>
                <w:sz w:val="14"/>
                <w:szCs w:val="14"/>
                <w:b w:val="1"/>
                <w:bCs w:val="1"/>
                <w:color w:val="auto"/>
                <w:w w:val="86"/>
              </w:rPr>
              <w:t>(in millions)</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w w:val="97"/>
              </w:rPr>
              <w:t>February 28, 2007</w:t>
            </w:r>
          </w:p>
        </w:tc>
        <w:tc>
          <w:tcPr>
            <w:tcW w:w="34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Crow Canyon Crest</w:t>
            </w:r>
          </w:p>
        </w:tc>
        <w:tc>
          <w:tcPr>
            <w:tcW w:w="1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San Ramon,</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17,000</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w:t>
            </w:r>
          </w:p>
        </w:tc>
        <w:tc>
          <w:tcPr>
            <w:tcW w:w="38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CA</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460" w:type="dxa"/>
            <w:vAlign w:val="bottom"/>
          </w:tcPr>
          <w:p>
            <w:pPr>
              <w:spacing w:after="0"/>
              <w:rPr>
                <w:sz w:val="20"/>
                <w:szCs w:val="20"/>
                <w:color w:val="auto"/>
              </w:rPr>
            </w:pPr>
            <w:r>
              <w:rPr>
                <w:rFonts w:ascii="Arial" w:cs="Arial" w:eastAsia="Arial" w:hAnsi="Arial"/>
                <w:sz w:val="18"/>
                <w:szCs w:val="18"/>
                <w:color w:val="auto"/>
              </w:rPr>
              <w:t>March 8, 2007</w:t>
            </w:r>
          </w:p>
        </w:tc>
        <w:tc>
          <w:tcPr>
            <w:tcW w:w="3420" w:type="dxa"/>
            <w:vAlign w:val="bottom"/>
            <w:gridSpan w:val="3"/>
          </w:tcPr>
          <w:p>
            <w:pPr>
              <w:ind w:left="120"/>
              <w:spacing w:after="0"/>
              <w:rPr>
                <w:sz w:val="20"/>
                <w:szCs w:val="20"/>
                <w:color w:val="auto"/>
              </w:rPr>
            </w:pPr>
            <w:r>
              <w:rPr>
                <w:rFonts w:ascii="Arial" w:cs="Arial" w:eastAsia="Arial" w:hAnsi="Arial"/>
                <w:sz w:val="18"/>
                <w:szCs w:val="18"/>
                <w:color w:val="auto"/>
              </w:rPr>
              <w:t>White Marsh Portfolio:</w:t>
            </w:r>
          </w:p>
        </w:tc>
        <w:tc>
          <w:tcPr>
            <w:tcW w:w="1200" w:type="dxa"/>
            <w:vAlign w:val="bottom"/>
            <w:gridSpan w:val="2"/>
          </w:tcPr>
          <w:p>
            <w:pPr>
              <w:ind w:left="120"/>
              <w:spacing w:after="0"/>
              <w:rPr>
                <w:sz w:val="20"/>
                <w:szCs w:val="20"/>
                <w:color w:val="auto"/>
              </w:rPr>
            </w:pPr>
            <w:r>
              <w:rPr>
                <w:rFonts w:ascii="Arial" w:cs="Arial" w:eastAsia="Arial" w:hAnsi="Arial"/>
                <w:sz w:val="18"/>
                <w:szCs w:val="18"/>
                <w:color w:val="auto"/>
                <w:w w:val="99"/>
              </w:rPr>
              <w:t>White Marsh,</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189.4</w:t>
            </w:r>
          </w:p>
        </w:tc>
        <w:tc>
          <w:tcPr>
            <w:tcW w:w="38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3420" w:type="dxa"/>
            <w:vAlign w:val="bottom"/>
          </w:tcPr>
          <w:p>
            <w:pPr>
              <w:spacing w:after="0"/>
              <w:rPr>
                <w:sz w:val="20"/>
                <w:szCs w:val="20"/>
                <w:color w:val="auto"/>
              </w:rPr>
            </w:pPr>
            <w:r>
              <w:rPr>
                <w:rFonts w:ascii="Arial" w:cs="Arial" w:eastAsia="Arial" w:hAnsi="Arial"/>
                <w:sz w:val="18"/>
                <w:szCs w:val="18"/>
                <w:color w:val="auto"/>
                <w:w w:val="94"/>
              </w:rPr>
              <w:t>Loews Theatre, Barnes &amp; Noble, A.C. Moore,</w:t>
            </w: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color w:val="auto"/>
              </w:rPr>
              <w:t>MD</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Old Navy, Staples, Giant Food</w:t>
            </w:r>
          </w:p>
        </w:tc>
        <w:tc>
          <w:tcPr>
            <w:tcW w:w="0" w:type="dxa"/>
            <w:vAlign w:val="bottom"/>
          </w:tcPr>
          <w:p>
            <w:pPr>
              <w:spacing w:after="0"/>
              <w:rPr>
                <w:sz w:val="1"/>
                <w:szCs w:val="1"/>
                <w:color w:val="auto"/>
              </w:rPr>
            </w:pPr>
          </w:p>
        </w:tc>
      </w:tr>
      <w:tr>
        <w:trPr>
          <w:trHeight w:val="217"/>
        </w:trPr>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THE AVENUE at White Marsh</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gridSpan w:val="2"/>
          </w:tcPr>
          <w:p>
            <w:pPr>
              <w:ind w:left="420"/>
              <w:spacing w:after="0"/>
              <w:rPr>
                <w:sz w:val="20"/>
                <w:szCs w:val="20"/>
                <w:color w:val="auto"/>
              </w:rPr>
            </w:pPr>
            <w:r>
              <w:rPr>
                <w:rFonts w:ascii="Arial" w:cs="Arial" w:eastAsia="Arial" w:hAnsi="Arial"/>
                <w:sz w:val="18"/>
                <w:szCs w:val="18"/>
                <w:color w:val="auto"/>
              </w:rPr>
              <w:t>White Marsh Plaza</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79,000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The Shoppes at Nottingham Square</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gridSpan w:val="2"/>
          </w:tcPr>
          <w:p>
            <w:pPr>
              <w:ind w:left="420"/>
              <w:spacing w:after="0"/>
              <w:rPr>
                <w:sz w:val="20"/>
                <w:szCs w:val="20"/>
                <w:color w:val="auto"/>
              </w:rPr>
            </w:pPr>
            <w:r>
              <w:rPr>
                <w:rFonts w:ascii="Arial" w:cs="Arial" w:eastAsia="Arial" w:hAnsi="Arial"/>
                <w:sz w:val="18"/>
                <w:szCs w:val="18"/>
                <w:color w:val="auto"/>
              </w:rPr>
              <w:t>White Marsh Other</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53,000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May 30, 2007</w:t>
            </w:r>
          </w:p>
        </w:tc>
        <w:tc>
          <w:tcPr>
            <w:tcW w:w="34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Shoppers’ World</w:t>
            </w:r>
          </w:p>
        </w:tc>
        <w:tc>
          <w:tcPr>
            <w:tcW w:w="1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89"/>
              </w:rPr>
              <w:t>Charlottesville,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w:t>
            </w:r>
          </w:p>
        </w:tc>
        <w:tc>
          <w:tcPr>
            <w:tcW w:w="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Whole Foods, Advance Auto, Staples</w:t>
            </w:r>
          </w:p>
        </w:tc>
        <w:tc>
          <w:tcPr>
            <w:tcW w:w="0" w:type="dxa"/>
            <w:vAlign w:val="bottom"/>
          </w:tcPr>
          <w:p>
            <w:pPr>
              <w:spacing w:after="0"/>
              <w:rPr>
                <w:sz w:val="1"/>
                <w:szCs w:val="1"/>
                <w:color w:val="auto"/>
              </w:rPr>
            </w:pPr>
          </w:p>
        </w:tc>
      </w:tr>
      <w:tr>
        <w:trPr>
          <w:trHeight w:val="224"/>
        </w:trPr>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VA</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460" w:type="dxa"/>
            <w:vAlign w:val="bottom"/>
          </w:tcPr>
          <w:p>
            <w:pPr>
              <w:spacing w:after="0"/>
              <w:rPr>
                <w:sz w:val="19"/>
                <w:szCs w:val="19"/>
                <w:color w:val="auto"/>
              </w:rPr>
            </w:pPr>
          </w:p>
        </w:tc>
        <w:tc>
          <w:tcPr>
            <w:tcW w:w="3420" w:type="dxa"/>
            <w:vAlign w:val="bottom"/>
            <w:gridSpan w:val="3"/>
          </w:tcPr>
          <w:p>
            <w:pPr>
              <w:ind w:left="12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800,000</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227.</w:t>
            </w:r>
            <w:r>
              <w:rPr>
                <w:rFonts w:ascii="Arial" w:cs="Arial" w:eastAsia="Arial" w:hAnsi="Arial"/>
                <w:sz w:val="18"/>
                <w:szCs w:val="18"/>
                <w:u w:val="single" w:color="auto"/>
                <w:color w:val="auto"/>
              </w:rPr>
              <w:t>5</w:t>
            </w:r>
          </w:p>
        </w:tc>
        <w:tc>
          <w:tcPr>
            <w:tcW w:w="3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gridSpan w:val="3"/>
            <w:vMerge w:val="restart"/>
          </w:tcPr>
          <w:p>
            <w:pPr>
              <w:spacing w:after="0"/>
              <w:rPr>
                <w:sz w:val="20"/>
                <w:szCs w:val="20"/>
                <w:color w:val="auto"/>
              </w:rPr>
            </w:pPr>
            <w:r>
              <w:rPr>
                <w:rFonts w:ascii="Arial" w:cs="Arial" w:eastAsia="Arial" w:hAnsi="Arial"/>
                <w:sz w:val="18"/>
                <w:szCs w:val="18"/>
                <w:color w:val="auto"/>
                <w:w w:val="88"/>
              </w:rPr>
              <w:t>Federal Realty Investment Trust Dispositions</w:t>
            </w:r>
          </w:p>
        </w:tc>
        <w:tc>
          <w:tcPr>
            <w:tcW w:w="168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3200" w:type="dxa"/>
            <w:vAlign w:val="bottom"/>
            <w:tcBorders>
              <w:bottom w:val="single" w:sz="8" w:color="auto"/>
            </w:tcBorders>
            <w:gridSpan w:val="3"/>
            <w:vMerge w:val="continue"/>
          </w:tcPr>
          <w:p>
            <w:pPr>
              <w:spacing w:after="0"/>
              <w:rPr>
                <w:sz w:val="24"/>
                <w:szCs w:val="24"/>
                <w:color w:val="auto"/>
              </w:rPr>
            </w:pPr>
          </w:p>
        </w:tc>
        <w:tc>
          <w:tcPr>
            <w:tcW w:w="16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460" w:type="dxa"/>
            <w:vAlign w:val="bottom"/>
          </w:tcPr>
          <w:p>
            <w:pPr>
              <w:spacing w:after="0"/>
              <w:rPr>
                <w:sz w:val="20"/>
                <w:szCs w:val="20"/>
                <w:color w:val="auto"/>
              </w:rPr>
            </w:pPr>
            <w:r>
              <w:rPr>
                <w:rFonts w:ascii="Arial" w:cs="Arial" w:eastAsia="Arial" w:hAnsi="Arial"/>
                <w:sz w:val="14"/>
                <w:szCs w:val="14"/>
                <w:b w:val="1"/>
                <w:bCs w:val="1"/>
                <w:color w:val="auto"/>
              </w:rPr>
              <w:t>Date</w:t>
            </w:r>
          </w:p>
        </w:tc>
        <w:tc>
          <w:tcPr>
            <w:tcW w:w="3420" w:type="dxa"/>
            <w:vAlign w:val="bottom"/>
            <w:gridSpan w:val="3"/>
          </w:tcPr>
          <w:p>
            <w:pPr>
              <w:ind w:left="120"/>
              <w:spacing w:after="0"/>
              <w:rPr>
                <w:sz w:val="20"/>
                <w:szCs w:val="20"/>
                <w:color w:val="auto"/>
              </w:rPr>
            </w:pPr>
            <w:r>
              <w:rPr>
                <w:rFonts w:ascii="Arial" w:cs="Arial" w:eastAsia="Arial" w:hAnsi="Arial"/>
                <w:sz w:val="14"/>
                <w:szCs w:val="14"/>
                <w:b w:val="1"/>
                <w:bCs w:val="1"/>
                <w:color w:val="auto"/>
              </w:rPr>
              <w:t>Property</w:t>
            </w:r>
          </w:p>
        </w:tc>
        <w:tc>
          <w:tcPr>
            <w:tcW w:w="120" w:type="dxa"/>
            <w:vAlign w:val="bottom"/>
          </w:tcPr>
          <w:p>
            <w:pPr>
              <w:spacing w:after="0"/>
              <w:rPr>
                <w:sz w:val="24"/>
                <w:szCs w:val="24"/>
                <w:color w:val="auto"/>
              </w:rPr>
            </w:pPr>
          </w:p>
        </w:tc>
        <w:tc>
          <w:tcPr>
            <w:tcW w:w="1080" w:type="dxa"/>
            <w:vAlign w:val="bottom"/>
          </w:tcPr>
          <w:p>
            <w:pPr>
              <w:ind w:left="200"/>
              <w:spacing w:after="0"/>
              <w:rPr>
                <w:sz w:val="20"/>
                <w:szCs w:val="20"/>
                <w:color w:val="auto"/>
              </w:rPr>
            </w:pPr>
            <w:r>
              <w:rPr>
                <w:rFonts w:ascii="Arial" w:cs="Arial" w:eastAsia="Arial" w:hAnsi="Arial"/>
                <w:sz w:val="14"/>
                <w:szCs w:val="14"/>
                <w:b w:val="1"/>
                <w:bCs w:val="1"/>
                <w:color w:val="auto"/>
              </w:rPr>
              <w:t>City / State</w:t>
            </w:r>
          </w:p>
        </w:tc>
        <w:tc>
          <w:tcPr>
            <w:tcW w:w="100" w:type="dxa"/>
            <w:vAlign w:val="bottom"/>
          </w:tcPr>
          <w:p>
            <w:pPr>
              <w:spacing w:after="0"/>
              <w:rPr>
                <w:sz w:val="24"/>
                <w:szCs w:val="24"/>
                <w:color w:val="auto"/>
              </w:rPr>
            </w:pPr>
          </w:p>
        </w:tc>
        <w:tc>
          <w:tcPr>
            <w:tcW w:w="580" w:type="dxa"/>
            <w:vAlign w:val="bottom"/>
          </w:tcPr>
          <w:p>
            <w:pPr>
              <w:jc w:val="right"/>
              <w:ind w:right="66"/>
              <w:spacing w:after="0"/>
              <w:rPr>
                <w:sz w:val="20"/>
                <w:szCs w:val="20"/>
                <w:color w:val="auto"/>
              </w:rPr>
            </w:pPr>
            <w:r>
              <w:rPr>
                <w:rFonts w:ascii="Arial" w:cs="Arial" w:eastAsia="Arial" w:hAnsi="Arial"/>
                <w:sz w:val="14"/>
                <w:szCs w:val="14"/>
                <w:b w:val="1"/>
                <w:bCs w:val="1"/>
                <w:color w:val="auto"/>
              </w:rPr>
              <w:t>GLA</w:t>
            </w:r>
          </w:p>
        </w:tc>
        <w:tc>
          <w:tcPr>
            <w:tcW w:w="100" w:type="dxa"/>
            <w:vAlign w:val="bottom"/>
          </w:tcPr>
          <w:p>
            <w:pPr>
              <w:spacing w:after="0"/>
              <w:rPr>
                <w:sz w:val="24"/>
                <w:szCs w:val="24"/>
                <w:color w:val="auto"/>
              </w:rPr>
            </w:pPr>
          </w:p>
        </w:tc>
        <w:tc>
          <w:tcPr>
            <w:tcW w:w="7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1"/>
              </w:rPr>
              <w:t>Sales price</w:t>
            </w:r>
          </w:p>
        </w:tc>
        <w:tc>
          <w:tcPr>
            <w:tcW w:w="3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4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top w:val="single" w:sz="8" w:color="auto"/>
            </w:tcBorders>
            <w:gridSpan w:val="2"/>
          </w:tcPr>
          <w:p>
            <w:pPr>
              <w:ind w:left="20"/>
              <w:spacing w:after="0" w:line="149" w:lineRule="exact"/>
              <w:rPr>
                <w:sz w:val="20"/>
                <w:szCs w:val="20"/>
                <w:color w:val="auto"/>
              </w:rPr>
            </w:pPr>
            <w:r>
              <w:rPr>
                <w:rFonts w:ascii="Arial" w:cs="Arial" w:eastAsia="Arial" w:hAnsi="Arial"/>
                <w:sz w:val="14"/>
                <w:szCs w:val="14"/>
                <w:b w:val="1"/>
                <w:bCs w:val="1"/>
                <w:color w:val="auto"/>
                <w:w w:val="86"/>
              </w:rPr>
              <w:t>(in millions)</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April 5, 2007</w:t>
            </w:r>
          </w:p>
        </w:tc>
        <w:tc>
          <w:tcPr>
            <w:tcW w:w="34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Bath Shopping Center</w:t>
            </w:r>
          </w:p>
        </w:tc>
        <w:tc>
          <w:tcPr>
            <w:tcW w:w="1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Bath, ME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101,000</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w:t>
            </w:r>
          </w:p>
        </w:tc>
        <w:tc>
          <w:tcPr>
            <w:tcW w:w="38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June 20, 2007</w:t>
            </w:r>
          </w:p>
        </w:tc>
        <w:tc>
          <w:tcPr>
            <w:tcW w:w="3420" w:type="dxa"/>
            <w:vAlign w:val="bottom"/>
            <w:gridSpan w:val="3"/>
          </w:tcPr>
          <w:p>
            <w:pPr>
              <w:ind w:left="120"/>
              <w:spacing w:after="0"/>
              <w:rPr>
                <w:sz w:val="20"/>
                <w:szCs w:val="20"/>
                <w:color w:val="auto"/>
              </w:rPr>
            </w:pPr>
            <w:r>
              <w:rPr>
                <w:rFonts w:ascii="Arial" w:cs="Arial" w:eastAsia="Arial" w:hAnsi="Arial"/>
                <w:sz w:val="18"/>
                <w:szCs w:val="18"/>
                <w:color w:val="auto"/>
              </w:rPr>
              <w:t>Key Road Plaza</w:t>
            </w:r>
          </w:p>
        </w:tc>
        <w:tc>
          <w:tcPr>
            <w:tcW w:w="1200" w:type="dxa"/>
            <w:vAlign w:val="bottom"/>
            <w:gridSpan w:val="2"/>
          </w:tcPr>
          <w:p>
            <w:pPr>
              <w:ind w:left="120"/>
              <w:spacing w:after="0"/>
              <w:rPr>
                <w:sz w:val="20"/>
                <w:szCs w:val="20"/>
                <w:color w:val="auto"/>
              </w:rPr>
            </w:pPr>
            <w:r>
              <w:rPr>
                <w:rFonts w:ascii="Arial" w:cs="Arial" w:eastAsia="Arial" w:hAnsi="Arial"/>
                <w:sz w:val="18"/>
                <w:szCs w:val="18"/>
                <w:color w:val="auto"/>
              </w:rPr>
              <w:t>Keene, NH</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76,000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15.3</w:t>
            </w:r>
          </w:p>
        </w:tc>
        <w:tc>
          <w:tcPr>
            <w:tcW w:w="3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June 20, 2007</w:t>
            </w:r>
          </w:p>
        </w:tc>
        <w:tc>
          <w:tcPr>
            <w:tcW w:w="34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Riverside Plaza</w:t>
            </w:r>
          </w:p>
        </w:tc>
        <w:tc>
          <w:tcPr>
            <w:tcW w:w="1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Keene, NH</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218,000</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60" w:type="dxa"/>
            <w:vAlign w:val="bottom"/>
          </w:tcPr>
          <w:p>
            <w:pPr>
              <w:spacing w:after="0"/>
              <w:rPr>
                <w:sz w:val="19"/>
                <w:szCs w:val="19"/>
                <w:color w:val="auto"/>
              </w:rPr>
            </w:pPr>
          </w:p>
        </w:tc>
        <w:tc>
          <w:tcPr>
            <w:tcW w:w="3420" w:type="dxa"/>
            <w:vAlign w:val="bottom"/>
            <w:gridSpan w:val="3"/>
          </w:tcPr>
          <w:p>
            <w:pPr>
              <w:ind w:left="12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395,000</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63.0</w:t>
            </w:r>
          </w:p>
        </w:tc>
        <w:tc>
          <w:tcPr>
            <w:tcW w:w="3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90" w:lineRule="exact"/>
        <w:rPr>
          <w:sz w:val="20"/>
          <w:szCs w:val="20"/>
          <w:color w:val="auto"/>
        </w:rPr>
      </w:pPr>
    </w:p>
    <w:p>
      <w:pPr>
        <w:ind w:left="460" w:right="60" w:hanging="452"/>
        <w:spacing w:after="0" w:line="259"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acquisition also included ground leases covering approximately 50,000 square feet of office space and a hotel, which are not included in the GLA. The White Marsh portfolio was purchased using a combination of common and convertible preferred stock, down REIT units, and the assumption of fixed rate debt through a merger with Nottingham Properties, Inc.</w:t>
      </w:r>
    </w:p>
    <w:p>
      <w:pPr>
        <w:spacing w:after="0" w:line="59" w:lineRule="exact"/>
        <w:rPr>
          <w:rFonts w:ascii="Arial" w:cs="Arial" w:eastAsia="Arial" w:hAnsi="Arial"/>
          <w:sz w:val="18"/>
          <w:szCs w:val="18"/>
          <w:color w:val="auto"/>
        </w:rPr>
      </w:pPr>
    </w:p>
    <w:p>
      <w:pPr>
        <w:ind w:left="460" w:right="180" w:hanging="452"/>
        <w:spacing w:after="0" w:line="259"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This property is currently held with a Section 1031 exchange agent for potential “reverse” exchange for which we have identified a replacement property. Since we control the property and retain all of the economic benefits and risks associated with it, we consolidate the property and its operations as of June 30, 2007.</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20" w:name="page21"/>
    <w:bookmarkEnd w:id="20"/>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Status Report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Mortgage</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or Capital</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0"/>
              </w:rPr>
              <w:t>Lease</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line="149" w:lineRule="exact"/>
              <w:rPr>
                <w:sz w:val="20"/>
                <w:szCs w:val="20"/>
                <w:color w:val="auto"/>
              </w:rPr>
            </w:pPr>
            <w:r>
              <w:rPr>
                <w:rFonts w:ascii="Arial" w:cs="Arial" w:eastAsia="Arial" w:hAnsi="Arial"/>
                <w:sz w:val="14"/>
                <w:szCs w:val="14"/>
                <w:b w:val="1"/>
                <w:bCs w:val="1"/>
                <w:color w:val="auto"/>
                <w:w w:val="85"/>
              </w:rPr>
              <w:t>Grocery</w:t>
            </w:r>
          </w:p>
        </w:tc>
        <w:tc>
          <w:tcPr>
            <w:tcW w:w="120" w:type="dxa"/>
            <w:vAlign w:val="bottom"/>
          </w:tcPr>
          <w:p>
            <w:pPr>
              <w:spacing w:after="0"/>
              <w:rPr>
                <w:sz w:val="12"/>
                <w:szCs w:val="12"/>
                <w:color w:val="auto"/>
              </w:rPr>
            </w:pPr>
          </w:p>
        </w:tc>
        <w:tc>
          <w:tcPr>
            <w:tcW w:w="10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Grocery</w:t>
            </w:r>
          </w:p>
        </w:tc>
        <w:tc>
          <w:tcPr>
            <w:tcW w:w="120" w:type="dxa"/>
            <w:vAlign w:val="bottom"/>
          </w:tcPr>
          <w:p>
            <w:pPr>
              <w:spacing w:after="0"/>
              <w:rPr>
                <w:sz w:val="12"/>
                <w:szCs w:val="12"/>
                <w:color w:val="auto"/>
              </w:rPr>
            </w:pPr>
          </w:p>
        </w:tc>
        <w:tc>
          <w:tcPr>
            <w:tcW w:w="176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Other Principal</w:t>
            </w: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5"/>
              </w:rPr>
              <w:t>Year</w:t>
            </w:r>
          </w:p>
        </w:tc>
        <w:tc>
          <w:tcPr>
            <w:tcW w:w="6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3"/>
              </w:rPr>
              <w:t>Total</w:t>
            </w:r>
          </w:p>
        </w:tc>
        <w:tc>
          <w:tcPr>
            <w:tcW w:w="100" w:type="dxa"/>
            <w:vAlign w:val="bottom"/>
          </w:tcPr>
          <w:p>
            <w:pPr>
              <w:spacing w:after="0"/>
              <w:rPr>
                <w:sz w:val="11"/>
                <w:szCs w:val="11"/>
                <w:color w:val="auto"/>
              </w:rPr>
            </w:pPr>
          </w:p>
        </w:tc>
        <w:tc>
          <w:tcPr>
            <w:tcW w:w="7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9"/>
              </w:rPr>
              <w:t>Obligation</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ind w:right="33"/>
              <w:spacing w:after="0" w:line="135"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4"/>
                <w:szCs w:val="14"/>
                <w:b w:val="1"/>
                <w:bCs w:val="1"/>
                <w:color w:val="auto"/>
                <w:w w:val="89"/>
              </w:rPr>
              <w:t>Anchor</w:t>
            </w:r>
          </w:p>
        </w:tc>
        <w:tc>
          <w:tcPr>
            <w:tcW w:w="12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760" w:type="dxa"/>
            <w:vAlign w:val="bottom"/>
          </w:tcPr>
          <w:p>
            <w:pPr>
              <w:spacing w:after="0"/>
              <w:rPr>
                <w:sz w:val="20"/>
                <w:szCs w:val="20"/>
                <w:color w:val="auto"/>
              </w:rPr>
            </w:pPr>
            <w:r>
              <w:rPr>
                <w:rFonts w:ascii="Arial" w:cs="Arial" w:eastAsia="Arial" w:hAnsi="Arial"/>
                <w:sz w:val="14"/>
                <w:szCs w:val="14"/>
                <w:b w:val="1"/>
                <w:bCs w:val="1"/>
                <w:color w:val="auto"/>
              </w:rPr>
              <w:t>Property Name</w:t>
            </w:r>
          </w:p>
        </w:tc>
        <w:tc>
          <w:tcPr>
            <w:tcW w:w="420" w:type="dxa"/>
            <w:vAlign w:val="bottom"/>
          </w:tcPr>
          <w:p>
            <w:pPr>
              <w:spacing w:after="0"/>
              <w:rPr>
                <w:sz w:val="14"/>
                <w:szCs w:val="14"/>
                <w:color w:val="auto"/>
              </w:rPr>
            </w:pPr>
          </w:p>
        </w:tc>
        <w:tc>
          <w:tcPr>
            <w:tcW w:w="1760" w:type="dxa"/>
            <w:vAlign w:val="bottom"/>
          </w:tcPr>
          <w:p>
            <w:pPr>
              <w:ind w:left="380"/>
              <w:spacing w:after="0"/>
              <w:rPr>
                <w:sz w:val="20"/>
                <w:szCs w:val="20"/>
                <w:color w:val="auto"/>
              </w:rPr>
            </w:pPr>
            <w:r>
              <w:rPr>
                <w:rFonts w:ascii="Arial" w:cs="Arial" w:eastAsia="Arial" w:hAnsi="Arial"/>
                <w:sz w:val="14"/>
                <w:szCs w:val="14"/>
                <w:b w:val="1"/>
                <w:bCs w:val="1"/>
                <w:color w:val="auto"/>
              </w:rPr>
              <w:t>MSA Description</w:t>
            </w:r>
          </w:p>
        </w:tc>
        <w:tc>
          <w:tcPr>
            <w:tcW w:w="10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Acquired</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6"/>
              </w:rPr>
              <w:t>Investment</w:t>
            </w:r>
          </w:p>
        </w:tc>
        <w:tc>
          <w:tcPr>
            <w:tcW w:w="740" w:type="dxa"/>
            <w:vAlign w:val="bottom"/>
            <w:gridSpan w:val="2"/>
          </w:tcPr>
          <w:p>
            <w:pPr>
              <w:jc w:val="center"/>
              <w:ind w:left="14"/>
              <w:spacing w:after="0"/>
              <w:rPr>
                <w:sz w:val="20"/>
                <w:szCs w:val="20"/>
                <w:color w:val="auto"/>
              </w:rPr>
            </w:pPr>
            <w:r>
              <w:rPr>
                <w:rFonts w:ascii="Arial" w:cs="Arial" w:eastAsia="Arial" w:hAnsi="Arial"/>
                <w:sz w:val="14"/>
                <w:szCs w:val="14"/>
                <w:b w:val="1"/>
                <w:bCs w:val="1"/>
                <w:color w:val="auto"/>
                <w:w w:val="93"/>
              </w:rPr>
              <w:t>(1)</w:t>
            </w:r>
          </w:p>
        </w:tc>
        <w:tc>
          <w:tcPr>
            <w:tcW w:w="120" w:type="dxa"/>
            <w:vAlign w:val="bottom"/>
          </w:tcPr>
          <w:p>
            <w:pPr>
              <w:spacing w:after="0"/>
              <w:rPr>
                <w:sz w:val="14"/>
                <w:szCs w:val="14"/>
                <w:color w:val="auto"/>
              </w:rPr>
            </w:pPr>
          </w:p>
        </w:tc>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GLA (2)</w:t>
            </w:r>
          </w:p>
        </w:tc>
        <w:tc>
          <w:tcPr>
            <w:tcW w:w="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Leased</w:t>
            </w:r>
          </w:p>
        </w:tc>
        <w:tc>
          <w:tcPr>
            <w:tcW w:w="480" w:type="dxa"/>
            <w:vAlign w:val="bottom"/>
          </w:tcPr>
          <w:p>
            <w:pPr>
              <w:spacing w:after="0"/>
              <w:rPr>
                <w:sz w:val="20"/>
                <w:szCs w:val="20"/>
                <w:color w:val="auto"/>
              </w:rPr>
            </w:pPr>
            <w:r>
              <w:rPr>
                <w:rFonts w:ascii="Arial" w:cs="Arial" w:eastAsia="Arial" w:hAnsi="Arial"/>
                <w:sz w:val="14"/>
                <w:szCs w:val="14"/>
                <w:b w:val="1"/>
                <w:bCs w:val="1"/>
                <w:color w:val="auto"/>
                <w:w w:val="90"/>
              </w:rPr>
              <w:t>GLA (3)</w:t>
            </w:r>
          </w:p>
        </w:tc>
        <w:tc>
          <w:tcPr>
            <w:tcW w:w="120" w:type="dxa"/>
            <w:vAlign w:val="bottom"/>
          </w:tcPr>
          <w:p>
            <w:pPr>
              <w:spacing w:after="0"/>
              <w:rPr>
                <w:sz w:val="14"/>
                <w:szCs w:val="14"/>
                <w:color w:val="auto"/>
              </w:rPr>
            </w:pPr>
          </w:p>
        </w:tc>
        <w:tc>
          <w:tcPr>
            <w:tcW w:w="1020" w:type="dxa"/>
            <w:vAlign w:val="bottom"/>
          </w:tcPr>
          <w:p>
            <w:pPr>
              <w:ind w:left="200"/>
              <w:spacing w:after="0"/>
              <w:rPr>
                <w:sz w:val="20"/>
                <w:szCs w:val="20"/>
                <w:color w:val="auto"/>
              </w:rPr>
            </w:pPr>
            <w:r>
              <w:rPr>
                <w:rFonts w:ascii="Arial" w:cs="Arial" w:eastAsia="Arial" w:hAnsi="Arial"/>
                <w:sz w:val="14"/>
                <w:szCs w:val="14"/>
                <w:b w:val="1"/>
                <w:bCs w:val="1"/>
                <w:color w:val="auto"/>
              </w:rPr>
              <w:t>Anchor (3)</w:t>
            </w:r>
          </w:p>
        </w:tc>
        <w:tc>
          <w:tcPr>
            <w:tcW w:w="120" w:type="dxa"/>
            <w:vAlign w:val="bottom"/>
          </w:tcPr>
          <w:p>
            <w:pPr>
              <w:spacing w:after="0"/>
              <w:rPr>
                <w:sz w:val="14"/>
                <w:szCs w:val="14"/>
                <w:color w:val="auto"/>
              </w:rPr>
            </w:pPr>
          </w:p>
        </w:tc>
        <w:tc>
          <w:tcPr>
            <w:tcW w:w="1760" w:type="dxa"/>
            <w:vAlign w:val="bottom"/>
          </w:tcPr>
          <w:p>
            <w:pPr>
              <w:ind w:left="640"/>
              <w:spacing w:after="0"/>
              <w:rPr>
                <w:sz w:val="20"/>
                <w:szCs w:val="20"/>
                <w:color w:val="auto"/>
              </w:rPr>
            </w:pPr>
            <w:r>
              <w:rPr>
                <w:rFonts w:ascii="Arial" w:cs="Arial" w:eastAsia="Arial" w:hAnsi="Arial"/>
                <w:sz w:val="14"/>
                <w:szCs w:val="14"/>
                <w:b w:val="1"/>
                <w:bCs w:val="1"/>
                <w:color w:val="auto"/>
              </w:rPr>
              <w:t>Tenants</w:t>
            </w:r>
          </w:p>
        </w:tc>
        <w:tc>
          <w:tcPr>
            <w:tcW w:w="0" w:type="dxa"/>
            <w:vAlign w:val="bottom"/>
          </w:tcPr>
          <w:p>
            <w:pPr>
              <w:spacing w:after="0"/>
              <w:rPr>
                <w:sz w:val="1"/>
                <w:szCs w:val="1"/>
                <w:color w:val="auto"/>
              </w:rPr>
            </w:pPr>
          </w:p>
        </w:tc>
      </w:tr>
      <w:tr>
        <w:trPr>
          <w:trHeight w:val="136"/>
        </w:trPr>
        <w:tc>
          <w:tcPr>
            <w:tcW w:w="176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3"/>
              </w:rPr>
              <w:t>(in</w:t>
            </w:r>
          </w:p>
        </w:tc>
        <w:tc>
          <w:tcPr>
            <w:tcW w:w="100" w:type="dxa"/>
            <w:vAlign w:val="bottom"/>
          </w:tcPr>
          <w:p>
            <w:pPr>
              <w:spacing w:after="0"/>
              <w:rPr>
                <w:sz w:val="11"/>
                <w:szCs w:val="11"/>
                <w:color w:val="auto"/>
              </w:rPr>
            </w:pPr>
          </w:p>
        </w:tc>
        <w:tc>
          <w:tcPr>
            <w:tcW w:w="64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3"/>
              </w:rPr>
              <w:t>(in</w:t>
            </w:r>
          </w:p>
        </w:tc>
        <w:tc>
          <w:tcPr>
            <w:tcW w:w="1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thousands)</w:t>
            </w:r>
          </w:p>
        </w:tc>
        <w:tc>
          <w:tcPr>
            <w:tcW w:w="10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thousands)</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East Region</w:t>
            </w:r>
          </w:p>
        </w:tc>
        <w:tc>
          <w:tcPr>
            <w:tcW w:w="4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760" w:type="dxa"/>
            <w:vAlign w:val="bottom"/>
          </w:tcPr>
          <w:p>
            <w:pPr>
              <w:spacing w:after="0" w:line="201" w:lineRule="exact"/>
              <w:rPr>
                <w:sz w:val="20"/>
                <w:szCs w:val="20"/>
                <w:color w:val="auto"/>
              </w:rPr>
            </w:pPr>
            <w:r>
              <w:rPr>
                <w:rFonts w:ascii="Arial" w:cs="Arial" w:eastAsia="Arial" w:hAnsi="Arial"/>
                <w:sz w:val="18"/>
                <w:szCs w:val="18"/>
                <w:b w:val="1"/>
                <w:bCs w:val="1"/>
                <w:color w:val="auto"/>
              </w:rPr>
              <w:t>Washington</w:t>
            </w:r>
          </w:p>
        </w:tc>
        <w:tc>
          <w:tcPr>
            <w:tcW w:w="4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w w:val="99"/>
              </w:rPr>
              <w:t>Metropolitan Area</w:t>
            </w:r>
          </w:p>
        </w:tc>
        <w:tc>
          <w:tcPr>
            <w:tcW w:w="4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Bethesda Row</w:t>
            </w:r>
          </w:p>
        </w:tc>
        <w:tc>
          <w:tcPr>
            <w:tcW w:w="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(4)</w:t>
            </w: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Washington, DC-MD-</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1993-2006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$132,719</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$ 12,576</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477,000</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83"/>
              </w:rPr>
              <w:t>40,000</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Giant Food</w:t>
            </w: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Barnes &amp; Noble /</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VA</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Landmark Theater /</w:t>
            </w:r>
          </w:p>
        </w:tc>
        <w:tc>
          <w:tcPr>
            <w:tcW w:w="0" w:type="dxa"/>
            <w:vAlign w:val="bottom"/>
          </w:tcPr>
          <w:p>
            <w:pPr>
              <w:spacing w:after="0"/>
              <w:rPr>
                <w:sz w:val="1"/>
                <w:szCs w:val="1"/>
                <w:color w:val="auto"/>
              </w:rPr>
            </w:pPr>
          </w:p>
        </w:tc>
      </w:tr>
      <w:tr>
        <w:trPr>
          <w:trHeight w:val="224"/>
        </w:trPr>
        <w:tc>
          <w:tcPr>
            <w:tcW w:w="1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w w:val="89"/>
              </w:rPr>
              <w:t>Washington Sports Club</w:t>
            </w:r>
          </w:p>
        </w:tc>
        <w:tc>
          <w:tcPr>
            <w:tcW w:w="0" w:type="dxa"/>
            <w:vAlign w:val="bottom"/>
          </w:tcPr>
          <w:p>
            <w:pPr>
              <w:spacing w:after="0"/>
              <w:rPr>
                <w:sz w:val="1"/>
                <w:szCs w:val="1"/>
                <w:color w:val="auto"/>
              </w:rPr>
            </w:pPr>
          </w:p>
        </w:tc>
      </w:tr>
      <w:tr>
        <w:trPr>
          <w:trHeight w:val="208"/>
        </w:trPr>
        <w:tc>
          <w:tcPr>
            <w:tcW w:w="1760" w:type="dxa"/>
            <w:vAlign w:val="bottom"/>
          </w:tcPr>
          <w:p>
            <w:pPr>
              <w:spacing w:after="0"/>
              <w:rPr>
                <w:sz w:val="20"/>
                <w:szCs w:val="20"/>
                <w:color w:val="auto"/>
              </w:rPr>
            </w:pPr>
            <w:r>
              <w:rPr>
                <w:rFonts w:ascii="Arial" w:cs="Arial" w:eastAsia="Arial" w:hAnsi="Arial"/>
                <w:sz w:val="18"/>
                <w:szCs w:val="18"/>
                <w:color w:val="auto"/>
              </w:rPr>
              <w:t>Congressional Plaza</w:t>
            </w:r>
          </w:p>
        </w:tc>
        <w:tc>
          <w:tcPr>
            <w:tcW w:w="420" w:type="dxa"/>
            <w:vAlign w:val="bottom"/>
          </w:tcPr>
          <w:p>
            <w:pPr>
              <w:ind w:left="100"/>
              <w:spacing w:after="0"/>
              <w:rPr>
                <w:sz w:val="20"/>
                <w:szCs w:val="20"/>
                <w:color w:val="auto"/>
              </w:rPr>
            </w:pPr>
            <w:r>
              <w:rPr>
                <w:rFonts w:ascii="Arial" w:cs="Arial" w:eastAsia="Arial" w:hAnsi="Arial"/>
                <w:sz w:val="18"/>
                <w:szCs w:val="18"/>
                <w:color w:val="auto"/>
              </w:rPr>
              <w:t>(5)</w:t>
            </w:r>
          </w:p>
        </w:tc>
        <w:tc>
          <w:tcPr>
            <w:tcW w:w="1760" w:type="dxa"/>
            <w:vAlign w:val="bottom"/>
          </w:tcPr>
          <w:p>
            <w:pPr>
              <w:spacing w:after="0"/>
              <w:rPr>
                <w:sz w:val="20"/>
                <w:szCs w:val="20"/>
                <w:color w:val="auto"/>
              </w:rPr>
            </w:pPr>
            <w:r>
              <w:rPr>
                <w:rFonts w:ascii="Arial" w:cs="Arial" w:eastAsia="Arial" w:hAnsi="Arial"/>
                <w:sz w:val="18"/>
                <w:szCs w:val="18"/>
                <w:color w:val="auto"/>
              </w:rPr>
              <w:t>Washington, DC-MD-</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1965</w:t>
            </w:r>
          </w:p>
        </w:tc>
        <w:tc>
          <w:tcPr>
            <w:tcW w:w="680" w:type="dxa"/>
            <w:vAlign w:val="bottom"/>
          </w:tcPr>
          <w:p>
            <w:pPr>
              <w:jc w:val="right"/>
              <w:spacing w:after="0"/>
              <w:rPr>
                <w:sz w:val="20"/>
                <w:szCs w:val="20"/>
                <w:color w:val="auto"/>
              </w:rPr>
            </w:pPr>
            <w:r>
              <w:rPr>
                <w:rFonts w:ascii="Arial" w:cs="Arial" w:eastAsia="Arial" w:hAnsi="Arial"/>
                <w:sz w:val="18"/>
                <w:szCs w:val="18"/>
                <w:color w:val="auto"/>
              </w:rPr>
              <w:t>68,348</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338,000</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480" w:type="dxa"/>
            <w:vAlign w:val="bottom"/>
          </w:tcPr>
          <w:p>
            <w:pPr>
              <w:spacing w:after="0"/>
              <w:rPr>
                <w:sz w:val="20"/>
                <w:szCs w:val="20"/>
                <w:color w:val="auto"/>
              </w:rPr>
            </w:pPr>
            <w:r>
              <w:rPr>
                <w:rFonts w:ascii="Arial" w:cs="Arial" w:eastAsia="Arial" w:hAnsi="Arial"/>
                <w:sz w:val="18"/>
                <w:szCs w:val="18"/>
                <w:color w:val="auto"/>
                <w:w w:val="83"/>
              </w:rPr>
              <w:t>28,000</w:t>
            </w:r>
          </w:p>
        </w:tc>
        <w:tc>
          <w:tcPr>
            <w:tcW w:w="1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w w:val="94"/>
              </w:rPr>
              <w:t>Whole Foods</w:t>
            </w:r>
          </w:p>
        </w:tc>
        <w:tc>
          <w:tcPr>
            <w:tcW w:w="1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Buy Buy Baby /</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VA</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Container Store</w:t>
            </w:r>
          </w:p>
        </w:tc>
        <w:tc>
          <w:tcPr>
            <w:tcW w:w="0" w:type="dxa"/>
            <w:vAlign w:val="bottom"/>
          </w:tcPr>
          <w:p>
            <w:pPr>
              <w:spacing w:after="0"/>
              <w:rPr>
                <w:sz w:val="1"/>
                <w:szCs w:val="1"/>
                <w:color w:val="auto"/>
              </w:rPr>
            </w:pPr>
          </w:p>
        </w:tc>
      </w:tr>
      <w:tr>
        <w:trPr>
          <w:trHeight w:val="210"/>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Courthouse Center</w:t>
            </w:r>
          </w:p>
        </w:tc>
        <w:tc>
          <w:tcPr>
            <w:tcW w:w="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(6)</w:t>
            </w: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Washington, DC-MD-</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1997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37,000</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VA</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760" w:type="dxa"/>
            <w:vAlign w:val="bottom"/>
          </w:tcPr>
          <w:p>
            <w:pPr>
              <w:spacing w:after="0"/>
              <w:rPr>
                <w:sz w:val="20"/>
                <w:szCs w:val="20"/>
                <w:color w:val="auto"/>
              </w:rPr>
            </w:pPr>
            <w:r>
              <w:rPr>
                <w:rFonts w:ascii="Arial" w:cs="Arial" w:eastAsia="Arial" w:hAnsi="Arial"/>
                <w:sz w:val="18"/>
                <w:szCs w:val="18"/>
                <w:color w:val="auto"/>
                <w:w w:val="93"/>
              </w:rPr>
              <w:t>Falls Plaza/Falls Plaza-</w:t>
            </w:r>
          </w:p>
        </w:tc>
        <w:tc>
          <w:tcPr>
            <w:tcW w:w="4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Washington, DC-MD-</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1967-1972</w:t>
            </w:r>
          </w:p>
        </w:tc>
        <w:tc>
          <w:tcPr>
            <w:tcW w:w="680" w:type="dxa"/>
            <w:vAlign w:val="bottom"/>
          </w:tcPr>
          <w:p>
            <w:pPr>
              <w:jc w:val="right"/>
              <w:spacing w:after="0"/>
              <w:rPr>
                <w:sz w:val="20"/>
                <w:szCs w:val="20"/>
                <w:color w:val="auto"/>
              </w:rPr>
            </w:pPr>
            <w:r>
              <w:rPr>
                <w:rFonts w:ascii="Arial" w:cs="Arial" w:eastAsia="Arial" w:hAnsi="Arial"/>
                <w:sz w:val="18"/>
                <w:szCs w:val="18"/>
                <w:color w:val="auto"/>
              </w:rPr>
              <w:t>11,514</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144,000</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480" w:type="dxa"/>
            <w:vAlign w:val="bottom"/>
          </w:tcPr>
          <w:p>
            <w:pPr>
              <w:spacing w:after="0"/>
              <w:rPr>
                <w:sz w:val="20"/>
                <w:szCs w:val="20"/>
                <w:color w:val="auto"/>
              </w:rPr>
            </w:pPr>
            <w:r>
              <w:rPr>
                <w:rFonts w:ascii="Arial" w:cs="Arial" w:eastAsia="Arial" w:hAnsi="Arial"/>
                <w:sz w:val="18"/>
                <w:szCs w:val="18"/>
                <w:color w:val="auto"/>
                <w:w w:val="83"/>
              </w:rPr>
              <w:t>51,000</w:t>
            </w:r>
          </w:p>
        </w:tc>
        <w:tc>
          <w:tcPr>
            <w:tcW w:w="1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Giant Food</w:t>
            </w:r>
          </w:p>
        </w:tc>
        <w:tc>
          <w:tcPr>
            <w:tcW w:w="1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CVS / Staples</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8"/>
                <w:szCs w:val="18"/>
                <w:color w:val="auto"/>
              </w:rPr>
              <w:t>East</w:t>
            </w:r>
          </w:p>
        </w:tc>
        <w:tc>
          <w:tcPr>
            <w:tcW w:w="420" w:type="dxa"/>
            <w:vAlign w:val="bottom"/>
          </w:tcPr>
          <w:p>
            <w:pPr>
              <w:spacing w:after="0"/>
              <w:rPr>
                <w:sz w:val="19"/>
                <w:szCs w:val="19"/>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VA</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Federal Plaza</w:t>
            </w:r>
          </w:p>
        </w:tc>
        <w:tc>
          <w:tcPr>
            <w:tcW w:w="4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Washington, DC-MD-</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1989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62,100</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33,929</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247,000</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w w:val="93"/>
              </w:rPr>
              <w:t>TJ Maxx / Micro Center</w:t>
            </w:r>
          </w:p>
        </w:tc>
        <w:tc>
          <w:tcPr>
            <w:tcW w:w="0" w:type="dxa"/>
            <w:vAlign w:val="bottom"/>
          </w:tcPr>
          <w:p>
            <w:pPr>
              <w:spacing w:after="0"/>
              <w:rPr>
                <w:sz w:val="1"/>
                <w:szCs w:val="1"/>
                <w:color w:val="auto"/>
              </w:rPr>
            </w:pPr>
          </w:p>
        </w:tc>
      </w:tr>
      <w:tr>
        <w:trPr>
          <w:trHeight w:val="224"/>
        </w:trPr>
        <w:tc>
          <w:tcPr>
            <w:tcW w:w="1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VA</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 Ross</w:t>
            </w:r>
          </w:p>
        </w:tc>
        <w:tc>
          <w:tcPr>
            <w:tcW w:w="0" w:type="dxa"/>
            <w:vAlign w:val="bottom"/>
          </w:tcPr>
          <w:p>
            <w:pPr>
              <w:spacing w:after="0"/>
              <w:rPr>
                <w:sz w:val="1"/>
                <w:szCs w:val="1"/>
                <w:color w:val="auto"/>
              </w:rPr>
            </w:pPr>
          </w:p>
        </w:tc>
      </w:tr>
      <w:tr>
        <w:trPr>
          <w:trHeight w:val="208"/>
        </w:trPr>
        <w:tc>
          <w:tcPr>
            <w:tcW w:w="1760" w:type="dxa"/>
            <w:vAlign w:val="bottom"/>
          </w:tcPr>
          <w:p>
            <w:pPr>
              <w:spacing w:after="0"/>
              <w:rPr>
                <w:sz w:val="20"/>
                <w:szCs w:val="20"/>
                <w:color w:val="auto"/>
              </w:rPr>
            </w:pPr>
            <w:r>
              <w:rPr>
                <w:rFonts w:ascii="Arial" w:cs="Arial" w:eastAsia="Arial" w:hAnsi="Arial"/>
                <w:sz w:val="18"/>
                <w:szCs w:val="18"/>
                <w:color w:val="auto"/>
              </w:rPr>
              <w:t>Friendship Center</w:t>
            </w:r>
          </w:p>
        </w:tc>
        <w:tc>
          <w:tcPr>
            <w:tcW w:w="4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Washington, DC-MD-</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2001</w:t>
            </w:r>
          </w:p>
        </w:tc>
        <w:tc>
          <w:tcPr>
            <w:tcW w:w="680" w:type="dxa"/>
            <w:vAlign w:val="bottom"/>
          </w:tcPr>
          <w:p>
            <w:pPr>
              <w:jc w:val="right"/>
              <w:spacing w:after="0"/>
              <w:rPr>
                <w:sz w:val="20"/>
                <w:szCs w:val="20"/>
                <w:color w:val="auto"/>
              </w:rPr>
            </w:pPr>
            <w:r>
              <w:rPr>
                <w:rFonts w:ascii="Arial" w:cs="Arial" w:eastAsia="Arial" w:hAnsi="Arial"/>
                <w:sz w:val="18"/>
                <w:szCs w:val="18"/>
                <w:color w:val="auto"/>
              </w:rPr>
              <w:t>33,314</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119,000</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Borders / Linens ‘n</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VA</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Things / Maggiano’s</w:t>
            </w:r>
          </w:p>
        </w:tc>
        <w:tc>
          <w:tcPr>
            <w:tcW w:w="0" w:type="dxa"/>
            <w:vAlign w:val="bottom"/>
          </w:tcPr>
          <w:p>
            <w:pPr>
              <w:spacing w:after="0"/>
              <w:rPr>
                <w:sz w:val="1"/>
                <w:szCs w:val="1"/>
                <w:color w:val="auto"/>
              </w:rPr>
            </w:pPr>
          </w:p>
        </w:tc>
      </w:tr>
      <w:tr>
        <w:trPr>
          <w:trHeight w:val="210"/>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Gaithersburg Square</w:t>
            </w:r>
          </w:p>
        </w:tc>
        <w:tc>
          <w:tcPr>
            <w:tcW w:w="4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Washington, DC-MD-</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1993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209,000</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Bed, Bath &amp; Beyond /</w:t>
            </w:r>
          </w:p>
        </w:tc>
        <w:tc>
          <w:tcPr>
            <w:tcW w:w="0" w:type="dxa"/>
            <w:vAlign w:val="bottom"/>
          </w:tcPr>
          <w:p>
            <w:pPr>
              <w:spacing w:after="0"/>
              <w:rPr>
                <w:sz w:val="1"/>
                <w:szCs w:val="1"/>
                <w:color w:val="auto"/>
              </w:rPr>
            </w:pPr>
          </w:p>
        </w:tc>
      </w:tr>
      <w:tr>
        <w:trPr>
          <w:trHeight w:val="224"/>
        </w:trPr>
        <w:tc>
          <w:tcPr>
            <w:tcW w:w="1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VA</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Borders / Ross</w:t>
            </w:r>
          </w:p>
        </w:tc>
        <w:tc>
          <w:tcPr>
            <w:tcW w:w="0" w:type="dxa"/>
            <w:vAlign w:val="bottom"/>
          </w:tcPr>
          <w:p>
            <w:pPr>
              <w:spacing w:after="0"/>
              <w:rPr>
                <w:sz w:val="1"/>
                <w:szCs w:val="1"/>
                <w:color w:val="auto"/>
              </w:rPr>
            </w:pPr>
          </w:p>
        </w:tc>
      </w:tr>
      <w:tr>
        <w:trPr>
          <w:trHeight w:val="208"/>
        </w:trPr>
        <w:tc>
          <w:tcPr>
            <w:tcW w:w="1760" w:type="dxa"/>
            <w:vAlign w:val="bottom"/>
          </w:tcPr>
          <w:p>
            <w:pPr>
              <w:spacing w:after="0"/>
              <w:rPr>
                <w:sz w:val="20"/>
                <w:szCs w:val="20"/>
                <w:color w:val="auto"/>
              </w:rPr>
            </w:pPr>
            <w:r>
              <w:rPr>
                <w:rFonts w:ascii="Arial" w:cs="Arial" w:eastAsia="Arial" w:hAnsi="Arial"/>
                <w:sz w:val="18"/>
                <w:szCs w:val="18"/>
                <w:color w:val="auto"/>
              </w:rPr>
              <w:t>Idylwood Plaza</w:t>
            </w:r>
          </w:p>
        </w:tc>
        <w:tc>
          <w:tcPr>
            <w:tcW w:w="4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Washington, DC-MD-</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1994</w:t>
            </w:r>
          </w:p>
        </w:tc>
        <w:tc>
          <w:tcPr>
            <w:tcW w:w="680" w:type="dxa"/>
            <w:vAlign w:val="bottom"/>
          </w:tcPr>
          <w:p>
            <w:pPr>
              <w:jc w:val="right"/>
              <w:spacing w:after="0"/>
              <w:rPr>
                <w:sz w:val="20"/>
                <w:szCs w:val="20"/>
                <w:color w:val="auto"/>
              </w:rPr>
            </w:pPr>
            <w:r>
              <w:rPr>
                <w:rFonts w:ascii="Arial" w:cs="Arial" w:eastAsia="Arial" w:hAnsi="Arial"/>
                <w:sz w:val="18"/>
                <w:szCs w:val="18"/>
                <w:color w:val="auto"/>
              </w:rPr>
              <w:t>15,498</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73,000</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480" w:type="dxa"/>
            <w:vAlign w:val="bottom"/>
          </w:tcPr>
          <w:p>
            <w:pPr>
              <w:spacing w:after="0"/>
              <w:rPr>
                <w:sz w:val="20"/>
                <w:szCs w:val="20"/>
                <w:color w:val="auto"/>
              </w:rPr>
            </w:pPr>
            <w:r>
              <w:rPr>
                <w:rFonts w:ascii="Arial" w:cs="Arial" w:eastAsia="Arial" w:hAnsi="Arial"/>
                <w:sz w:val="18"/>
                <w:szCs w:val="18"/>
                <w:color w:val="auto"/>
                <w:w w:val="83"/>
              </w:rPr>
              <w:t>30,000</w:t>
            </w:r>
          </w:p>
        </w:tc>
        <w:tc>
          <w:tcPr>
            <w:tcW w:w="1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w w:val="94"/>
              </w:rPr>
              <w:t>Whole Foods</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VA</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Laurel</w:t>
            </w:r>
          </w:p>
        </w:tc>
        <w:tc>
          <w:tcPr>
            <w:tcW w:w="4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Washington, DC-MD-</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1986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46,234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386,000</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83"/>
              </w:rPr>
              <w:t>61,000</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Giant Food</w:t>
            </w: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w w:val="98"/>
              </w:rPr>
              <w:t>Marshalls / Toys R Us</w:t>
            </w:r>
          </w:p>
        </w:tc>
        <w:tc>
          <w:tcPr>
            <w:tcW w:w="0" w:type="dxa"/>
            <w:vAlign w:val="bottom"/>
          </w:tcPr>
          <w:p>
            <w:pPr>
              <w:spacing w:after="0"/>
              <w:rPr>
                <w:sz w:val="1"/>
                <w:szCs w:val="1"/>
                <w:color w:val="auto"/>
              </w:rPr>
            </w:pPr>
          </w:p>
        </w:tc>
      </w:tr>
      <w:tr>
        <w:trPr>
          <w:trHeight w:val="224"/>
        </w:trPr>
        <w:tc>
          <w:tcPr>
            <w:tcW w:w="1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VA</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760" w:type="dxa"/>
            <w:vAlign w:val="bottom"/>
          </w:tcPr>
          <w:p>
            <w:pPr>
              <w:spacing w:after="0"/>
              <w:rPr>
                <w:sz w:val="20"/>
                <w:szCs w:val="20"/>
                <w:color w:val="auto"/>
              </w:rPr>
            </w:pPr>
            <w:r>
              <w:rPr>
                <w:rFonts w:ascii="Arial" w:cs="Arial" w:eastAsia="Arial" w:hAnsi="Arial"/>
                <w:sz w:val="18"/>
                <w:szCs w:val="18"/>
                <w:color w:val="auto"/>
              </w:rPr>
              <w:t>Leesburg Plaza</w:t>
            </w:r>
          </w:p>
        </w:tc>
        <w:tc>
          <w:tcPr>
            <w:tcW w:w="420" w:type="dxa"/>
            <w:vAlign w:val="bottom"/>
          </w:tcPr>
          <w:p>
            <w:pPr>
              <w:ind w:left="100"/>
              <w:spacing w:after="0"/>
              <w:rPr>
                <w:sz w:val="20"/>
                <w:szCs w:val="20"/>
                <w:color w:val="auto"/>
              </w:rPr>
            </w:pPr>
            <w:r>
              <w:rPr>
                <w:rFonts w:ascii="Arial" w:cs="Arial" w:eastAsia="Arial" w:hAnsi="Arial"/>
                <w:sz w:val="18"/>
                <w:szCs w:val="18"/>
                <w:color w:val="auto"/>
              </w:rPr>
              <w:t>(6)</w:t>
            </w:r>
          </w:p>
        </w:tc>
        <w:tc>
          <w:tcPr>
            <w:tcW w:w="1760" w:type="dxa"/>
            <w:vAlign w:val="bottom"/>
          </w:tcPr>
          <w:p>
            <w:pPr>
              <w:spacing w:after="0"/>
              <w:rPr>
                <w:sz w:val="20"/>
                <w:szCs w:val="20"/>
                <w:color w:val="auto"/>
              </w:rPr>
            </w:pPr>
            <w:r>
              <w:rPr>
                <w:rFonts w:ascii="Arial" w:cs="Arial" w:eastAsia="Arial" w:hAnsi="Arial"/>
                <w:sz w:val="18"/>
                <w:szCs w:val="18"/>
                <w:color w:val="auto"/>
              </w:rPr>
              <w:t>Washington, DC-MD-</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1998</w:t>
            </w:r>
          </w:p>
        </w:tc>
        <w:tc>
          <w:tcPr>
            <w:tcW w:w="680" w:type="dxa"/>
            <w:vAlign w:val="bottom"/>
          </w:tcPr>
          <w:p>
            <w:pPr>
              <w:jc w:val="right"/>
              <w:spacing w:after="0"/>
              <w:rPr>
                <w:sz w:val="20"/>
                <w:szCs w:val="20"/>
                <w:color w:val="auto"/>
              </w:rPr>
            </w:pPr>
            <w:r>
              <w:rPr>
                <w:rFonts w:ascii="Arial" w:cs="Arial" w:eastAsia="Arial" w:hAnsi="Arial"/>
                <w:sz w:val="18"/>
                <w:szCs w:val="18"/>
                <w:color w:val="auto"/>
              </w:rPr>
              <w:t>32,785</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9,696</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235,000</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480" w:type="dxa"/>
            <w:vAlign w:val="bottom"/>
          </w:tcPr>
          <w:p>
            <w:pPr>
              <w:spacing w:after="0"/>
              <w:rPr>
                <w:sz w:val="20"/>
                <w:szCs w:val="20"/>
                <w:color w:val="auto"/>
              </w:rPr>
            </w:pPr>
            <w:r>
              <w:rPr>
                <w:rFonts w:ascii="Arial" w:cs="Arial" w:eastAsia="Arial" w:hAnsi="Arial"/>
                <w:sz w:val="18"/>
                <w:szCs w:val="18"/>
                <w:color w:val="auto"/>
                <w:w w:val="83"/>
              </w:rPr>
              <w:t>55,000</w:t>
            </w:r>
          </w:p>
        </w:tc>
        <w:tc>
          <w:tcPr>
            <w:tcW w:w="1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Giant Food</w:t>
            </w:r>
          </w:p>
        </w:tc>
        <w:tc>
          <w:tcPr>
            <w:tcW w:w="1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Petsmart / Pier One /</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VA</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Office Depot</w:t>
            </w:r>
          </w:p>
        </w:tc>
        <w:tc>
          <w:tcPr>
            <w:tcW w:w="0" w:type="dxa"/>
            <w:vAlign w:val="bottom"/>
          </w:tcPr>
          <w:p>
            <w:pPr>
              <w:spacing w:after="0"/>
              <w:rPr>
                <w:sz w:val="1"/>
                <w:szCs w:val="1"/>
                <w:color w:val="auto"/>
              </w:rPr>
            </w:pPr>
          </w:p>
        </w:tc>
      </w:tr>
      <w:tr>
        <w:trPr>
          <w:trHeight w:val="210"/>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Loehmann’s Plaza</w:t>
            </w:r>
          </w:p>
        </w:tc>
        <w:tc>
          <w:tcPr>
            <w:tcW w:w="4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Washington, DC-MD-</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1983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Bally’s / Loehmann’s</w:t>
            </w:r>
          </w:p>
        </w:tc>
        <w:tc>
          <w:tcPr>
            <w:tcW w:w="0" w:type="dxa"/>
            <w:vAlign w:val="bottom"/>
          </w:tcPr>
          <w:p>
            <w:pPr>
              <w:spacing w:after="0"/>
              <w:rPr>
                <w:sz w:val="1"/>
                <w:szCs w:val="1"/>
                <w:color w:val="auto"/>
              </w:rPr>
            </w:pPr>
          </w:p>
        </w:tc>
      </w:tr>
      <w:tr>
        <w:trPr>
          <w:trHeight w:val="224"/>
        </w:trPr>
        <w:tc>
          <w:tcPr>
            <w:tcW w:w="1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VA</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760" w:type="dxa"/>
            <w:vAlign w:val="bottom"/>
          </w:tcPr>
          <w:p>
            <w:pPr>
              <w:spacing w:after="0"/>
              <w:rPr>
                <w:sz w:val="20"/>
                <w:szCs w:val="20"/>
                <w:color w:val="auto"/>
              </w:rPr>
            </w:pPr>
            <w:r>
              <w:rPr>
                <w:rFonts w:ascii="Arial" w:cs="Arial" w:eastAsia="Arial" w:hAnsi="Arial"/>
                <w:sz w:val="18"/>
                <w:szCs w:val="18"/>
                <w:color w:val="auto"/>
              </w:rPr>
              <w:t>Mid-Pike Plaza</w:t>
            </w:r>
          </w:p>
        </w:tc>
        <w:tc>
          <w:tcPr>
            <w:tcW w:w="420" w:type="dxa"/>
            <w:vAlign w:val="bottom"/>
          </w:tcPr>
          <w:p>
            <w:pPr>
              <w:ind w:left="100"/>
              <w:spacing w:after="0"/>
              <w:rPr>
                <w:sz w:val="20"/>
                <w:szCs w:val="20"/>
                <w:color w:val="auto"/>
              </w:rPr>
            </w:pPr>
            <w:r>
              <w:rPr>
                <w:rFonts w:ascii="Arial" w:cs="Arial" w:eastAsia="Arial" w:hAnsi="Arial"/>
                <w:sz w:val="18"/>
                <w:szCs w:val="18"/>
                <w:color w:val="auto"/>
              </w:rPr>
              <w:t>(7)</w:t>
            </w:r>
          </w:p>
        </w:tc>
        <w:tc>
          <w:tcPr>
            <w:tcW w:w="1760" w:type="dxa"/>
            <w:vAlign w:val="bottom"/>
          </w:tcPr>
          <w:p>
            <w:pPr>
              <w:spacing w:after="0"/>
              <w:rPr>
                <w:sz w:val="20"/>
                <w:szCs w:val="20"/>
                <w:color w:val="auto"/>
              </w:rPr>
            </w:pPr>
            <w:r>
              <w:rPr>
                <w:rFonts w:ascii="Arial" w:cs="Arial" w:eastAsia="Arial" w:hAnsi="Arial"/>
                <w:sz w:val="18"/>
                <w:szCs w:val="18"/>
                <w:color w:val="auto"/>
              </w:rPr>
              <w:t>Washington, DC-MD-</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1982</w:t>
            </w:r>
          </w:p>
        </w:tc>
        <w:tc>
          <w:tcPr>
            <w:tcW w:w="680" w:type="dxa"/>
            <w:vAlign w:val="bottom"/>
          </w:tcPr>
          <w:p>
            <w:pPr>
              <w:jc w:val="right"/>
              <w:spacing w:after="0"/>
              <w:rPr>
                <w:sz w:val="20"/>
                <w:szCs w:val="20"/>
                <w:color w:val="auto"/>
              </w:rPr>
            </w:pPr>
            <w:r>
              <w:rPr>
                <w:rFonts w:ascii="Arial" w:cs="Arial" w:eastAsia="Arial" w:hAnsi="Arial"/>
                <w:sz w:val="18"/>
                <w:szCs w:val="18"/>
                <w:color w:val="auto"/>
              </w:rPr>
              <w:t>17,933</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10,041</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309,000</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w w:val="93"/>
              </w:rPr>
              <w:t>Linens ‘n Things / Toys</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VA</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R Us / Bally’s / AC</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Moore / Filene’s</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Basement</w:t>
            </w:r>
          </w:p>
        </w:tc>
        <w:tc>
          <w:tcPr>
            <w:tcW w:w="0" w:type="dxa"/>
            <w:vAlign w:val="bottom"/>
          </w:tcPr>
          <w:p>
            <w:pPr>
              <w:spacing w:after="0"/>
              <w:rPr>
                <w:sz w:val="1"/>
                <w:szCs w:val="1"/>
                <w:color w:val="auto"/>
              </w:rPr>
            </w:pPr>
          </w:p>
        </w:tc>
      </w:tr>
      <w:tr>
        <w:trPr>
          <w:trHeight w:val="210"/>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Mount Vernon/South</w:t>
            </w:r>
          </w:p>
        </w:tc>
        <w:tc>
          <w:tcPr>
            <w:tcW w:w="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(6)</w:t>
            </w: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Washington, DC-MD-</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2003-2006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76,322</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12,117</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566,000</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83"/>
              </w:rPr>
              <w:t>62,000</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S</w:t>
            </w: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Bed, Bath &amp; Beyond /</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w w:val="96"/>
              </w:rPr>
              <w:t>Valley/7770 Richmond</w:t>
            </w:r>
          </w:p>
        </w:tc>
        <w:tc>
          <w:tcPr>
            <w:tcW w:w="4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VA</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w w:val="89"/>
              </w:rPr>
              <w:t>hoppers Food</w:t>
            </w: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w w:val="92"/>
              </w:rPr>
              <w:t>Michaels / Home Depot</w:t>
            </w:r>
          </w:p>
        </w:tc>
        <w:tc>
          <w:tcPr>
            <w:tcW w:w="0" w:type="dxa"/>
            <w:vAlign w:val="bottom"/>
          </w:tcPr>
          <w:p>
            <w:pPr>
              <w:spacing w:after="0"/>
              <w:rPr>
                <w:sz w:val="1"/>
                <w:szCs w:val="1"/>
                <w:color w:val="auto"/>
              </w:rPr>
            </w:pPr>
          </w:p>
        </w:tc>
      </w:tr>
      <w:tr>
        <w:trPr>
          <w:trHeight w:val="238"/>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Hwy</w:t>
            </w:r>
          </w:p>
        </w:tc>
        <w:tc>
          <w:tcPr>
            <w:tcW w:w="42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Warehouse</w:t>
            </w:r>
          </w:p>
        </w:tc>
        <w:tc>
          <w:tcPr>
            <w:tcW w:w="12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w w:val="93"/>
              </w:rPr>
              <w:t>/ TJ Maxx / Gold’s Gym</w:t>
            </w:r>
          </w:p>
        </w:tc>
        <w:tc>
          <w:tcPr>
            <w:tcW w:w="0" w:type="dxa"/>
            <w:vAlign w:val="bottom"/>
          </w:tcPr>
          <w:p>
            <w:pPr>
              <w:spacing w:after="0"/>
              <w:rPr>
                <w:sz w:val="1"/>
                <w:szCs w:val="1"/>
                <w:color w:val="auto"/>
              </w:rPr>
            </w:pPr>
          </w:p>
        </w:tc>
      </w:tr>
      <w:tr>
        <w:trPr>
          <w:trHeight w:val="208"/>
        </w:trPr>
        <w:tc>
          <w:tcPr>
            <w:tcW w:w="1760" w:type="dxa"/>
            <w:vAlign w:val="bottom"/>
          </w:tcPr>
          <w:p>
            <w:pPr>
              <w:spacing w:after="0"/>
              <w:rPr>
                <w:sz w:val="20"/>
                <w:szCs w:val="20"/>
                <w:color w:val="auto"/>
              </w:rPr>
            </w:pPr>
            <w:r>
              <w:rPr>
                <w:rFonts w:ascii="Arial" w:cs="Arial" w:eastAsia="Arial" w:hAnsi="Arial"/>
                <w:sz w:val="18"/>
                <w:szCs w:val="18"/>
                <w:color w:val="auto"/>
              </w:rPr>
              <w:t>Old Keene Mill</w:t>
            </w:r>
          </w:p>
        </w:tc>
        <w:tc>
          <w:tcPr>
            <w:tcW w:w="4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Washington, DC-MD-</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1976</w:t>
            </w:r>
          </w:p>
        </w:tc>
        <w:tc>
          <w:tcPr>
            <w:tcW w:w="680" w:type="dxa"/>
            <w:vAlign w:val="bottom"/>
          </w:tcPr>
          <w:p>
            <w:pPr>
              <w:jc w:val="right"/>
              <w:spacing w:after="0"/>
              <w:rPr>
                <w:sz w:val="20"/>
                <w:szCs w:val="20"/>
                <w:color w:val="auto"/>
              </w:rPr>
            </w:pPr>
            <w:r>
              <w:rPr>
                <w:rFonts w:ascii="Arial" w:cs="Arial" w:eastAsia="Arial" w:hAnsi="Arial"/>
                <w:sz w:val="18"/>
                <w:szCs w:val="18"/>
                <w:color w:val="auto"/>
              </w:rPr>
              <w:t>5,396</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92,000</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480" w:type="dxa"/>
            <w:vAlign w:val="bottom"/>
          </w:tcPr>
          <w:p>
            <w:pPr>
              <w:spacing w:after="0"/>
              <w:rPr>
                <w:sz w:val="20"/>
                <w:szCs w:val="20"/>
                <w:color w:val="auto"/>
              </w:rPr>
            </w:pPr>
            <w:r>
              <w:rPr>
                <w:rFonts w:ascii="Arial" w:cs="Arial" w:eastAsia="Arial" w:hAnsi="Arial"/>
                <w:sz w:val="18"/>
                <w:szCs w:val="18"/>
                <w:color w:val="auto"/>
                <w:w w:val="83"/>
              </w:rPr>
              <w:t>24,000</w:t>
            </w:r>
          </w:p>
        </w:tc>
        <w:tc>
          <w:tcPr>
            <w:tcW w:w="1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w w:val="94"/>
              </w:rPr>
              <w:t>Whole Foods</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VA</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Pan Am</w:t>
            </w:r>
          </w:p>
        </w:tc>
        <w:tc>
          <w:tcPr>
            <w:tcW w:w="4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Washington, DC-MD-</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1993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227,000</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83"/>
              </w:rPr>
              <w:t>63,000</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Safeway</w:t>
            </w: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w w:val="92"/>
              </w:rPr>
              <w:t>Micro Center / Michaels</w:t>
            </w:r>
          </w:p>
        </w:tc>
        <w:tc>
          <w:tcPr>
            <w:tcW w:w="0" w:type="dxa"/>
            <w:vAlign w:val="bottom"/>
          </w:tcPr>
          <w:p>
            <w:pPr>
              <w:spacing w:after="0"/>
              <w:rPr>
                <w:sz w:val="1"/>
                <w:szCs w:val="1"/>
                <w:color w:val="auto"/>
              </w:rPr>
            </w:pPr>
          </w:p>
        </w:tc>
      </w:tr>
      <w:tr>
        <w:trPr>
          <w:trHeight w:val="224"/>
        </w:trPr>
        <w:tc>
          <w:tcPr>
            <w:tcW w:w="1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VA</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760" w:type="dxa"/>
            <w:vAlign w:val="bottom"/>
          </w:tcPr>
          <w:p>
            <w:pPr>
              <w:spacing w:after="0"/>
              <w:rPr>
                <w:sz w:val="20"/>
                <w:szCs w:val="20"/>
                <w:color w:val="auto"/>
              </w:rPr>
            </w:pPr>
            <w:r>
              <w:rPr>
                <w:rFonts w:ascii="Arial" w:cs="Arial" w:eastAsia="Arial" w:hAnsi="Arial"/>
                <w:sz w:val="18"/>
                <w:szCs w:val="18"/>
                <w:color w:val="auto"/>
              </w:rPr>
              <w:t>Pentagon Row</w:t>
            </w:r>
          </w:p>
        </w:tc>
        <w:tc>
          <w:tcPr>
            <w:tcW w:w="4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Washington, DC-MD-</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1999</w:t>
            </w:r>
          </w:p>
        </w:tc>
        <w:tc>
          <w:tcPr>
            <w:tcW w:w="680" w:type="dxa"/>
            <w:vAlign w:val="bottom"/>
          </w:tcPr>
          <w:p>
            <w:pPr>
              <w:jc w:val="right"/>
              <w:spacing w:after="0"/>
              <w:rPr>
                <w:sz w:val="20"/>
                <w:szCs w:val="20"/>
                <w:color w:val="auto"/>
              </w:rPr>
            </w:pPr>
            <w:r>
              <w:rPr>
                <w:rFonts w:ascii="Arial" w:cs="Arial" w:eastAsia="Arial" w:hAnsi="Arial"/>
                <w:sz w:val="18"/>
                <w:szCs w:val="18"/>
                <w:color w:val="auto"/>
              </w:rPr>
              <w:t>87,978</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296,000</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480" w:type="dxa"/>
            <w:vAlign w:val="bottom"/>
          </w:tcPr>
          <w:p>
            <w:pPr>
              <w:spacing w:after="0"/>
              <w:rPr>
                <w:sz w:val="20"/>
                <w:szCs w:val="20"/>
                <w:color w:val="auto"/>
              </w:rPr>
            </w:pPr>
            <w:r>
              <w:rPr>
                <w:rFonts w:ascii="Arial" w:cs="Arial" w:eastAsia="Arial" w:hAnsi="Arial"/>
                <w:sz w:val="18"/>
                <w:szCs w:val="18"/>
                <w:color w:val="auto"/>
                <w:w w:val="83"/>
              </w:rPr>
              <w:t>45,000</w:t>
            </w:r>
          </w:p>
        </w:tc>
        <w:tc>
          <w:tcPr>
            <w:tcW w:w="1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w w:val="95"/>
              </w:rPr>
              <w:t>Harris Teeter</w:t>
            </w:r>
          </w:p>
        </w:tc>
        <w:tc>
          <w:tcPr>
            <w:tcW w:w="1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Bally’s / Bed, Bath &amp;</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VA</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Beyond / DSW / Cost</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Plus</w:t>
            </w:r>
          </w:p>
        </w:tc>
        <w:tc>
          <w:tcPr>
            <w:tcW w:w="0" w:type="dxa"/>
            <w:vAlign w:val="bottom"/>
          </w:tcPr>
          <w:p>
            <w:pPr>
              <w:spacing w:after="0"/>
              <w:rPr>
                <w:sz w:val="1"/>
                <w:szCs w:val="1"/>
                <w:color w:val="auto"/>
              </w:rPr>
            </w:pPr>
          </w:p>
        </w:tc>
      </w:tr>
      <w:tr>
        <w:trPr>
          <w:trHeight w:val="210"/>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Pike 7</w:t>
            </w:r>
          </w:p>
        </w:tc>
        <w:tc>
          <w:tcPr>
            <w:tcW w:w="4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Washington, DC-MD-</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1997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33,910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164,000</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Staples / TJ Maxx</w:t>
            </w:r>
          </w:p>
        </w:tc>
        <w:tc>
          <w:tcPr>
            <w:tcW w:w="0" w:type="dxa"/>
            <w:vAlign w:val="bottom"/>
          </w:tcPr>
          <w:p>
            <w:pPr>
              <w:spacing w:after="0"/>
              <w:rPr>
                <w:sz w:val="1"/>
                <w:szCs w:val="1"/>
                <w:color w:val="auto"/>
              </w:rPr>
            </w:pPr>
          </w:p>
        </w:tc>
      </w:tr>
      <w:tr>
        <w:trPr>
          <w:trHeight w:val="224"/>
        </w:trPr>
        <w:tc>
          <w:tcPr>
            <w:tcW w:w="1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VA</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760" w:type="dxa"/>
            <w:vAlign w:val="bottom"/>
          </w:tcPr>
          <w:p>
            <w:pPr>
              <w:spacing w:after="0"/>
              <w:rPr>
                <w:sz w:val="20"/>
                <w:szCs w:val="20"/>
                <w:color w:val="auto"/>
              </w:rPr>
            </w:pPr>
            <w:r>
              <w:rPr>
                <w:rFonts w:ascii="Arial" w:cs="Arial" w:eastAsia="Arial" w:hAnsi="Arial"/>
                <w:sz w:val="18"/>
                <w:szCs w:val="18"/>
                <w:color w:val="auto"/>
              </w:rPr>
              <w:t>Quince Orchard</w:t>
            </w:r>
          </w:p>
        </w:tc>
        <w:tc>
          <w:tcPr>
            <w:tcW w:w="4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Washington, DC-MD-</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1993</w:t>
            </w:r>
          </w:p>
        </w:tc>
        <w:tc>
          <w:tcPr>
            <w:tcW w:w="680" w:type="dxa"/>
            <w:vAlign w:val="bottom"/>
          </w:tcPr>
          <w:p>
            <w:pPr>
              <w:jc w:val="right"/>
              <w:spacing w:after="0"/>
              <w:rPr>
                <w:sz w:val="20"/>
                <w:szCs w:val="20"/>
                <w:color w:val="auto"/>
              </w:rPr>
            </w:pPr>
            <w:r>
              <w:rPr>
                <w:rFonts w:ascii="Arial" w:cs="Arial" w:eastAsia="Arial" w:hAnsi="Arial"/>
                <w:sz w:val="18"/>
                <w:szCs w:val="18"/>
                <w:color w:val="auto"/>
              </w:rPr>
              <w:t>20,100</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253,000</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480" w:type="dxa"/>
            <w:vAlign w:val="bottom"/>
          </w:tcPr>
          <w:p>
            <w:pPr>
              <w:spacing w:after="0"/>
              <w:rPr>
                <w:sz w:val="20"/>
                <w:szCs w:val="20"/>
                <w:color w:val="auto"/>
              </w:rPr>
            </w:pPr>
            <w:r>
              <w:rPr>
                <w:rFonts w:ascii="Arial" w:cs="Arial" w:eastAsia="Arial" w:hAnsi="Arial"/>
                <w:sz w:val="18"/>
                <w:szCs w:val="18"/>
                <w:color w:val="auto"/>
                <w:w w:val="83"/>
              </w:rPr>
              <w:t>24,000</w:t>
            </w:r>
          </w:p>
        </w:tc>
        <w:tc>
          <w:tcPr>
            <w:tcW w:w="1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Magruders</w:t>
            </w:r>
          </w:p>
        </w:tc>
        <w:tc>
          <w:tcPr>
            <w:tcW w:w="1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Circuit City / Staples</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VA</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w w:val="94"/>
              </w:rPr>
              <w:t>Rockville Town Square</w:t>
            </w:r>
          </w:p>
        </w:tc>
        <w:tc>
          <w:tcPr>
            <w:tcW w:w="4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Washington, DC-MD-</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2006-2007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177,000</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VA</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760" w:type="dxa"/>
            <w:vAlign w:val="bottom"/>
          </w:tcPr>
          <w:p>
            <w:pPr>
              <w:spacing w:after="0"/>
              <w:rPr>
                <w:sz w:val="20"/>
                <w:szCs w:val="20"/>
                <w:color w:val="auto"/>
              </w:rPr>
            </w:pPr>
            <w:r>
              <w:rPr>
                <w:rFonts w:ascii="Arial" w:cs="Arial" w:eastAsia="Arial" w:hAnsi="Arial"/>
                <w:sz w:val="18"/>
                <w:szCs w:val="18"/>
                <w:color w:val="auto"/>
              </w:rPr>
              <w:t>Rollingwood</w:t>
            </w:r>
          </w:p>
        </w:tc>
        <w:tc>
          <w:tcPr>
            <w:tcW w:w="4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Washington, DC-MD-</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1971</w:t>
            </w:r>
          </w:p>
        </w:tc>
        <w:tc>
          <w:tcPr>
            <w:tcW w:w="680" w:type="dxa"/>
            <w:vAlign w:val="bottom"/>
          </w:tcPr>
          <w:p>
            <w:pPr>
              <w:jc w:val="right"/>
              <w:spacing w:after="0"/>
              <w:rPr>
                <w:sz w:val="20"/>
                <w:szCs w:val="20"/>
                <w:color w:val="auto"/>
              </w:rPr>
            </w:pPr>
            <w:r>
              <w:rPr>
                <w:rFonts w:ascii="Arial" w:cs="Arial" w:eastAsia="Arial" w:hAnsi="Arial"/>
                <w:sz w:val="18"/>
                <w:szCs w:val="18"/>
                <w:color w:val="auto"/>
              </w:rPr>
              <w:t>6,896</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N/A</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8"/>
                <w:szCs w:val="18"/>
                <w:color w:val="auto"/>
              </w:rPr>
              <w:t>Apartments</w:t>
            </w:r>
          </w:p>
        </w:tc>
        <w:tc>
          <w:tcPr>
            <w:tcW w:w="420" w:type="dxa"/>
            <w:vAlign w:val="bottom"/>
          </w:tcPr>
          <w:p>
            <w:pPr>
              <w:spacing w:after="0"/>
              <w:rPr>
                <w:sz w:val="19"/>
                <w:szCs w:val="19"/>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VA</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Sam’s Park &amp; Shop</w:t>
            </w:r>
          </w:p>
        </w:tc>
        <w:tc>
          <w:tcPr>
            <w:tcW w:w="4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Washington, DC-MD-</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1995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49,000</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Petco</w:t>
            </w:r>
          </w:p>
        </w:tc>
        <w:tc>
          <w:tcPr>
            <w:tcW w:w="0" w:type="dxa"/>
            <w:vAlign w:val="bottom"/>
          </w:tcPr>
          <w:p>
            <w:pPr>
              <w:spacing w:after="0"/>
              <w:rPr>
                <w:sz w:val="1"/>
                <w:szCs w:val="1"/>
                <w:color w:val="auto"/>
              </w:rPr>
            </w:pPr>
          </w:p>
        </w:tc>
      </w:tr>
      <w:tr>
        <w:trPr>
          <w:trHeight w:val="224"/>
        </w:trPr>
        <w:tc>
          <w:tcPr>
            <w:tcW w:w="1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VA</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760" w:type="dxa"/>
            <w:vAlign w:val="bottom"/>
          </w:tcPr>
          <w:p>
            <w:pPr>
              <w:spacing w:after="0"/>
              <w:rPr>
                <w:sz w:val="20"/>
                <w:szCs w:val="20"/>
                <w:color w:val="auto"/>
              </w:rPr>
            </w:pPr>
            <w:r>
              <w:rPr>
                <w:rFonts w:ascii="Arial" w:cs="Arial" w:eastAsia="Arial" w:hAnsi="Arial"/>
                <w:sz w:val="18"/>
                <w:szCs w:val="18"/>
                <w:color w:val="auto"/>
              </w:rPr>
              <w:t>Tower</w:t>
            </w:r>
          </w:p>
        </w:tc>
        <w:tc>
          <w:tcPr>
            <w:tcW w:w="4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Washington, DC-MD-</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1998</w:t>
            </w:r>
          </w:p>
        </w:tc>
        <w:tc>
          <w:tcPr>
            <w:tcW w:w="680" w:type="dxa"/>
            <w:vAlign w:val="bottom"/>
          </w:tcPr>
          <w:p>
            <w:pPr>
              <w:jc w:val="right"/>
              <w:spacing w:after="0"/>
              <w:rPr>
                <w:sz w:val="20"/>
                <w:szCs w:val="20"/>
                <w:color w:val="auto"/>
              </w:rPr>
            </w:pPr>
            <w:r>
              <w:rPr>
                <w:rFonts w:ascii="Arial" w:cs="Arial" w:eastAsia="Arial" w:hAnsi="Arial"/>
                <w:sz w:val="18"/>
                <w:szCs w:val="18"/>
                <w:color w:val="auto"/>
              </w:rPr>
              <w:t>19,718</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112,000</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Virginia Fine Wine /</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VA</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Talbots</w:t>
            </w:r>
          </w:p>
        </w:tc>
        <w:tc>
          <w:tcPr>
            <w:tcW w:w="0" w:type="dxa"/>
            <w:vAlign w:val="bottom"/>
          </w:tcPr>
          <w:p>
            <w:pPr>
              <w:spacing w:after="0"/>
              <w:rPr>
                <w:sz w:val="1"/>
                <w:szCs w:val="1"/>
                <w:color w:val="auto"/>
              </w:rPr>
            </w:pPr>
          </w:p>
        </w:tc>
      </w:tr>
      <w:tr>
        <w:trPr>
          <w:trHeight w:val="210"/>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Tyson’s Station</w:t>
            </w:r>
          </w:p>
        </w:tc>
        <w:tc>
          <w:tcPr>
            <w:tcW w:w="4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Washington, DC-MD-</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1978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3,456</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6,293</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Trader Joes</w:t>
            </w:r>
          </w:p>
        </w:tc>
        <w:tc>
          <w:tcPr>
            <w:tcW w:w="0" w:type="dxa"/>
            <w:vAlign w:val="bottom"/>
          </w:tcPr>
          <w:p>
            <w:pPr>
              <w:spacing w:after="0"/>
              <w:rPr>
                <w:sz w:val="1"/>
                <w:szCs w:val="1"/>
                <w:color w:val="auto"/>
              </w:rPr>
            </w:pPr>
          </w:p>
        </w:tc>
      </w:tr>
      <w:tr>
        <w:trPr>
          <w:trHeight w:val="224"/>
        </w:trPr>
        <w:tc>
          <w:tcPr>
            <w:tcW w:w="1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VA</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760" w:type="dxa"/>
            <w:vAlign w:val="bottom"/>
          </w:tcPr>
          <w:p>
            <w:pPr>
              <w:spacing w:after="0"/>
              <w:rPr>
                <w:sz w:val="20"/>
                <w:szCs w:val="20"/>
                <w:color w:val="auto"/>
              </w:rPr>
            </w:pPr>
            <w:r>
              <w:rPr>
                <w:rFonts w:ascii="Arial" w:cs="Arial" w:eastAsia="Arial" w:hAnsi="Arial"/>
                <w:sz w:val="18"/>
                <w:szCs w:val="18"/>
                <w:color w:val="auto"/>
              </w:rPr>
              <w:t>Village at Shirlington</w:t>
            </w:r>
          </w:p>
        </w:tc>
        <w:tc>
          <w:tcPr>
            <w:tcW w:w="420" w:type="dxa"/>
            <w:vAlign w:val="bottom"/>
          </w:tcPr>
          <w:p>
            <w:pPr>
              <w:ind w:left="100"/>
              <w:spacing w:after="0"/>
              <w:rPr>
                <w:sz w:val="20"/>
                <w:szCs w:val="20"/>
                <w:color w:val="auto"/>
              </w:rPr>
            </w:pPr>
            <w:r>
              <w:rPr>
                <w:rFonts w:ascii="Arial" w:cs="Arial" w:eastAsia="Arial" w:hAnsi="Arial"/>
                <w:sz w:val="18"/>
                <w:szCs w:val="18"/>
                <w:color w:val="auto"/>
              </w:rPr>
              <w:t>(4)</w:t>
            </w:r>
          </w:p>
        </w:tc>
        <w:tc>
          <w:tcPr>
            <w:tcW w:w="1760" w:type="dxa"/>
            <w:vAlign w:val="bottom"/>
          </w:tcPr>
          <w:p>
            <w:pPr>
              <w:spacing w:after="0"/>
              <w:rPr>
                <w:sz w:val="20"/>
                <w:szCs w:val="20"/>
                <w:color w:val="auto"/>
              </w:rPr>
            </w:pPr>
            <w:r>
              <w:rPr>
                <w:rFonts w:ascii="Arial" w:cs="Arial" w:eastAsia="Arial" w:hAnsi="Arial"/>
                <w:sz w:val="18"/>
                <w:szCs w:val="18"/>
                <w:color w:val="auto"/>
              </w:rPr>
              <w:t>Washington, DC-MD-</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1995</w:t>
            </w:r>
          </w:p>
        </w:tc>
        <w:tc>
          <w:tcPr>
            <w:tcW w:w="680" w:type="dxa"/>
            <w:vAlign w:val="bottom"/>
          </w:tcPr>
          <w:p>
            <w:pPr>
              <w:jc w:val="right"/>
              <w:spacing w:after="0"/>
              <w:rPr>
                <w:sz w:val="20"/>
                <w:szCs w:val="20"/>
                <w:color w:val="auto"/>
              </w:rPr>
            </w:pPr>
            <w:r>
              <w:rPr>
                <w:rFonts w:ascii="Arial" w:cs="Arial" w:eastAsia="Arial" w:hAnsi="Arial"/>
                <w:sz w:val="18"/>
                <w:szCs w:val="18"/>
                <w:color w:val="auto"/>
              </w:rPr>
              <w:t>42,079</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3,881</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216,000</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AMC Loews / Carlyle</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VA</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Grand Café</w:t>
            </w:r>
          </w:p>
        </w:tc>
        <w:tc>
          <w:tcPr>
            <w:tcW w:w="0" w:type="dxa"/>
            <w:vAlign w:val="bottom"/>
          </w:tcPr>
          <w:p>
            <w:pPr>
              <w:spacing w:after="0"/>
              <w:rPr>
                <w:sz w:val="1"/>
                <w:szCs w:val="1"/>
                <w:color w:val="auto"/>
              </w:rPr>
            </w:pPr>
          </w:p>
        </w:tc>
      </w:tr>
      <w:tr>
        <w:trPr>
          <w:trHeight w:val="210"/>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Wildwood</w:t>
            </w:r>
          </w:p>
        </w:tc>
        <w:tc>
          <w:tcPr>
            <w:tcW w:w="4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Washington, DC-MD-</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1969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17,506</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26,358</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85,000</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83"/>
              </w:rPr>
              <w:t>20,000</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Balducci’s</w:t>
            </w: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CVS</w:t>
            </w:r>
          </w:p>
        </w:tc>
        <w:tc>
          <w:tcPr>
            <w:tcW w:w="0" w:type="dxa"/>
            <w:vAlign w:val="bottom"/>
          </w:tcPr>
          <w:p>
            <w:pPr>
              <w:spacing w:after="0"/>
              <w:rPr>
                <w:sz w:val="1"/>
                <w:szCs w:val="1"/>
                <w:color w:val="auto"/>
              </w:rPr>
            </w:pPr>
          </w:p>
        </w:tc>
      </w:tr>
      <w:tr>
        <w:trPr>
          <w:trHeight w:val="224"/>
        </w:trPr>
        <w:tc>
          <w:tcPr>
            <w:tcW w:w="1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VA</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b w:val="1"/>
                <w:bCs w:val="1"/>
                <w:color w:val="auto"/>
              </w:rPr>
              <w:t>Total Washington</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855,274</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5,111,000</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60" w:type="dxa"/>
            <w:vAlign w:val="bottom"/>
          </w:tcPr>
          <w:p>
            <w:pPr>
              <w:ind w:left="220"/>
              <w:spacing w:after="0"/>
              <w:rPr>
                <w:sz w:val="20"/>
                <w:szCs w:val="20"/>
                <w:color w:val="auto"/>
              </w:rPr>
            </w:pPr>
            <w:r>
              <w:rPr>
                <w:rFonts w:ascii="Arial" w:cs="Arial" w:eastAsia="Arial" w:hAnsi="Arial"/>
                <w:sz w:val="18"/>
                <w:szCs w:val="18"/>
                <w:b w:val="1"/>
                <w:bCs w:val="1"/>
                <w:color w:val="auto"/>
                <w:w w:val="99"/>
              </w:rPr>
              <w:t>Metropolitan Area</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8"/>
              </w:rPr>
              <w:t>New York / New Jersey</w:t>
            </w:r>
          </w:p>
        </w:tc>
        <w:tc>
          <w:tcPr>
            <w:tcW w:w="4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Allwood</w:t>
            </w:r>
          </w:p>
        </w:tc>
        <w:tc>
          <w:tcPr>
            <w:tcW w:w="420" w:type="dxa"/>
            <w:vAlign w:val="bottom"/>
          </w:tcPr>
          <w:p>
            <w:pPr>
              <w:ind w:left="100"/>
              <w:spacing w:after="0"/>
              <w:rPr>
                <w:sz w:val="20"/>
                <w:szCs w:val="20"/>
                <w:color w:val="auto"/>
              </w:rPr>
            </w:pPr>
            <w:r>
              <w:rPr>
                <w:rFonts w:ascii="Arial" w:cs="Arial" w:eastAsia="Arial" w:hAnsi="Arial"/>
                <w:sz w:val="18"/>
                <w:szCs w:val="18"/>
                <w:color w:val="auto"/>
              </w:rPr>
              <w:t>(7)</w:t>
            </w:r>
          </w:p>
        </w:tc>
        <w:tc>
          <w:tcPr>
            <w:tcW w:w="1760" w:type="dxa"/>
            <w:vAlign w:val="bottom"/>
          </w:tcPr>
          <w:p>
            <w:pPr>
              <w:spacing w:after="0"/>
              <w:rPr>
                <w:sz w:val="20"/>
                <w:szCs w:val="20"/>
                <w:color w:val="auto"/>
              </w:rPr>
            </w:pPr>
            <w:r>
              <w:rPr>
                <w:rFonts w:ascii="Arial" w:cs="Arial" w:eastAsia="Arial" w:hAnsi="Arial"/>
                <w:sz w:val="18"/>
                <w:szCs w:val="18"/>
                <w:color w:val="auto"/>
              </w:rPr>
              <w:t>Bergen-Passaic, NJ</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1988</w:t>
            </w:r>
          </w:p>
        </w:tc>
        <w:tc>
          <w:tcPr>
            <w:tcW w:w="680" w:type="dxa"/>
            <w:vAlign w:val="bottom"/>
          </w:tcPr>
          <w:p>
            <w:pPr>
              <w:jc w:val="right"/>
              <w:spacing w:after="0"/>
              <w:rPr>
                <w:sz w:val="20"/>
                <w:szCs w:val="20"/>
                <w:color w:val="auto"/>
              </w:rPr>
            </w:pPr>
            <w:r>
              <w:rPr>
                <w:rFonts w:ascii="Arial" w:cs="Arial" w:eastAsia="Arial" w:hAnsi="Arial"/>
                <w:sz w:val="18"/>
                <w:szCs w:val="18"/>
                <w:color w:val="auto"/>
              </w:rPr>
              <w:t>3,885</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3,040</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480" w:type="dxa"/>
            <w:vAlign w:val="bottom"/>
          </w:tcPr>
          <w:p>
            <w:pPr>
              <w:spacing w:after="0"/>
              <w:rPr>
                <w:sz w:val="20"/>
                <w:szCs w:val="20"/>
                <w:color w:val="auto"/>
              </w:rPr>
            </w:pPr>
            <w:r>
              <w:rPr>
                <w:rFonts w:ascii="Arial" w:cs="Arial" w:eastAsia="Arial" w:hAnsi="Arial"/>
                <w:sz w:val="18"/>
                <w:szCs w:val="18"/>
                <w:color w:val="auto"/>
                <w:w w:val="83"/>
              </w:rPr>
              <w:t>50,000</w:t>
            </w:r>
          </w:p>
        </w:tc>
        <w:tc>
          <w:tcPr>
            <w:tcW w:w="1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w w:val="98"/>
              </w:rPr>
              <w:t>Stop &amp; Shop</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Blue Star</w:t>
            </w:r>
          </w:p>
        </w:tc>
        <w:tc>
          <w:tcPr>
            <w:tcW w:w="2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(7)  Middlesex-Somerset-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1988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37,533</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23,204</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410,000</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83"/>
              </w:rPr>
              <w:t>43,000</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Shop Rite</w:t>
            </w: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w w:val="92"/>
              </w:rPr>
              <w:t>Kohl’s / Michaels / Toys</w:t>
            </w:r>
          </w:p>
        </w:tc>
        <w:tc>
          <w:tcPr>
            <w:tcW w:w="0" w:type="dxa"/>
            <w:vAlign w:val="bottom"/>
          </w:tcPr>
          <w:p>
            <w:pPr>
              <w:spacing w:after="0"/>
              <w:rPr>
                <w:sz w:val="1"/>
                <w:szCs w:val="1"/>
                <w:color w:val="auto"/>
              </w:rPr>
            </w:pPr>
          </w:p>
        </w:tc>
      </w:tr>
      <w:tr>
        <w:trPr>
          <w:trHeight w:val="224"/>
        </w:trPr>
        <w:tc>
          <w:tcPr>
            <w:tcW w:w="1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Hunterdon, NJ</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R Us / Marshalls</w:t>
            </w:r>
          </w:p>
        </w:tc>
        <w:tc>
          <w:tcPr>
            <w:tcW w:w="0" w:type="dxa"/>
            <w:vAlign w:val="bottom"/>
          </w:tcPr>
          <w:p>
            <w:pPr>
              <w:spacing w:after="0"/>
              <w:rPr>
                <w:sz w:val="1"/>
                <w:szCs w:val="1"/>
                <w:color w:val="auto"/>
              </w:rPr>
            </w:pPr>
          </w:p>
        </w:tc>
      </w:tr>
      <w:tr>
        <w:trPr>
          <w:trHeight w:val="208"/>
        </w:trPr>
        <w:tc>
          <w:tcPr>
            <w:tcW w:w="1760" w:type="dxa"/>
            <w:vAlign w:val="bottom"/>
          </w:tcPr>
          <w:p>
            <w:pPr>
              <w:spacing w:after="0"/>
              <w:rPr>
                <w:sz w:val="20"/>
                <w:szCs w:val="20"/>
                <w:color w:val="auto"/>
              </w:rPr>
            </w:pPr>
            <w:r>
              <w:rPr>
                <w:rFonts w:ascii="Arial" w:cs="Arial" w:eastAsia="Arial" w:hAnsi="Arial"/>
                <w:sz w:val="18"/>
                <w:szCs w:val="18"/>
                <w:color w:val="auto"/>
              </w:rPr>
              <w:t>Brick Plaza</w:t>
            </w:r>
          </w:p>
        </w:tc>
        <w:tc>
          <w:tcPr>
            <w:tcW w:w="4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w w:val="98"/>
              </w:rPr>
              <w:t>Monmouth-Ocean, NJ</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1989</w:t>
            </w:r>
          </w:p>
        </w:tc>
        <w:tc>
          <w:tcPr>
            <w:tcW w:w="680" w:type="dxa"/>
            <w:vAlign w:val="bottom"/>
          </w:tcPr>
          <w:p>
            <w:pPr>
              <w:jc w:val="right"/>
              <w:spacing w:after="0"/>
              <w:rPr>
                <w:sz w:val="20"/>
                <w:szCs w:val="20"/>
                <w:color w:val="auto"/>
              </w:rPr>
            </w:pPr>
            <w:r>
              <w:rPr>
                <w:rFonts w:ascii="Arial" w:cs="Arial" w:eastAsia="Arial" w:hAnsi="Arial"/>
                <w:sz w:val="18"/>
                <w:szCs w:val="18"/>
                <w:color w:val="auto"/>
              </w:rPr>
              <w:t>56,037</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31,384</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409,000</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480" w:type="dxa"/>
            <w:vAlign w:val="bottom"/>
          </w:tcPr>
          <w:p>
            <w:pPr>
              <w:spacing w:after="0"/>
              <w:rPr>
                <w:sz w:val="20"/>
                <w:szCs w:val="20"/>
                <w:color w:val="auto"/>
              </w:rPr>
            </w:pPr>
            <w:r>
              <w:rPr>
                <w:rFonts w:ascii="Arial" w:cs="Arial" w:eastAsia="Arial" w:hAnsi="Arial"/>
                <w:sz w:val="18"/>
                <w:szCs w:val="18"/>
                <w:color w:val="auto"/>
                <w:w w:val="83"/>
              </w:rPr>
              <w:t>66,000</w:t>
            </w:r>
          </w:p>
        </w:tc>
        <w:tc>
          <w:tcPr>
            <w:tcW w:w="1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A&amp;P</w:t>
            </w:r>
          </w:p>
        </w:tc>
        <w:tc>
          <w:tcPr>
            <w:tcW w:w="1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w w:val="93"/>
              </w:rPr>
              <w:t>AMC Loews / Barnes &amp;</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20"/>
                <w:szCs w:val="20"/>
                <w:color w:val="auto"/>
              </w:rPr>
            </w:pPr>
            <w:r>
              <w:rPr>
                <w:rFonts w:ascii="Arial" w:cs="Arial" w:eastAsia="Arial" w:hAnsi="Arial"/>
                <w:sz w:val="18"/>
                <w:szCs w:val="18"/>
                <w:color w:val="auto"/>
                <w:w w:val="91"/>
              </w:rPr>
              <w:t>Noble / Sports Authority</w:t>
            </w:r>
          </w:p>
        </w:tc>
        <w:tc>
          <w:tcPr>
            <w:tcW w:w="0" w:type="dxa"/>
            <w:vAlign w:val="bottom"/>
          </w:tcPr>
          <w:p>
            <w:pPr>
              <w:spacing w:after="0"/>
              <w:rPr>
                <w:sz w:val="1"/>
                <w:szCs w:val="1"/>
                <w:color w:val="auto"/>
              </w:rPr>
            </w:pPr>
          </w:p>
        </w:tc>
      </w:tr>
      <w:tr>
        <w:trPr>
          <w:trHeight w:val="207"/>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Brunswick</w:t>
            </w:r>
          </w:p>
        </w:tc>
        <w:tc>
          <w:tcPr>
            <w:tcW w:w="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(7)</w:t>
            </w: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Middlesex-Somerset-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1988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22,600</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9,660</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303,000</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83"/>
              </w:rPr>
              <w:t>55,000</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A&amp;P</w:t>
            </w: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A.J. Wright / L.A.</w:t>
            </w:r>
          </w:p>
        </w:tc>
        <w:tc>
          <w:tcPr>
            <w:tcW w:w="0" w:type="dxa"/>
            <w:vAlign w:val="bottom"/>
          </w:tcPr>
          <w:p>
            <w:pPr>
              <w:spacing w:after="0"/>
              <w:rPr>
                <w:sz w:val="1"/>
                <w:szCs w:val="1"/>
                <w:color w:val="auto"/>
              </w:rPr>
            </w:pPr>
          </w:p>
        </w:tc>
      </w:tr>
    </w:tbl>
    <w:p>
      <w:pPr>
        <w:sectPr>
          <w:pgSz w:w="11900" w:h="16900" w:orient="portrait"/>
          <w:cols w:equalWidth="0" w:num="1">
            <w:col w:w="11420"/>
          </w:cols>
          <w:pgMar w:left="240" w:top="274" w:right="239" w:bottom="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Hunterdon, NJ</w:t>
            </w: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Fitness</w:t>
            </w:r>
          </w:p>
        </w:tc>
        <w:tc>
          <w:tcPr>
            <w:tcW w:w="0" w:type="dxa"/>
            <w:vAlign w:val="bottom"/>
          </w:tcPr>
          <w:p>
            <w:pPr>
              <w:spacing w:after="0"/>
              <w:rPr>
                <w:sz w:val="1"/>
                <w:szCs w:val="1"/>
                <w:color w:val="auto"/>
              </w:rPr>
            </w:pPr>
          </w:p>
        </w:tc>
      </w:tr>
      <w:tr>
        <w:trPr>
          <w:trHeight w:val="208"/>
        </w:trPr>
        <w:tc>
          <w:tcPr>
            <w:tcW w:w="1780" w:type="dxa"/>
            <w:vAlign w:val="bottom"/>
          </w:tcPr>
          <w:p>
            <w:pPr>
              <w:spacing w:after="0"/>
              <w:rPr>
                <w:sz w:val="20"/>
                <w:szCs w:val="20"/>
                <w:color w:val="auto"/>
              </w:rPr>
            </w:pPr>
            <w:r>
              <w:rPr>
                <w:rFonts w:ascii="Arial" w:cs="Arial" w:eastAsia="Arial" w:hAnsi="Arial"/>
                <w:sz w:val="18"/>
                <w:szCs w:val="18"/>
                <w:color w:val="auto"/>
              </w:rPr>
              <w:t>Clifton</w:t>
            </w:r>
          </w:p>
        </w:tc>
        <w:tc>
          <w:tcPr>
            <w:tcW w:w="340" w:type="dxa"/>
            <w:vAlign w:val="bottom"/>
          </w:tcPr>
          <w:p>
            <w:pPr>
              <w:ind w:left="80"/>
              <w:spacing w:after="0"/>
              <w:rPr>
                <w:sz w:val="20"/>
                <w:szCs w:val="20"/>
                <w:color w:val="auto"/>
              </w:rPr>
            </w:pPr>
            <w:r>
              <w:rPr>
                <w:rFonts w:ascii="Arial" w:cs="Arial" w:eastAsia="Arial" w:hAnsi="Arial"/>
                <w:sz w:val="18"/>
                <w:szCs w:val="18"/>
                <w:color w:val="auto"/>
              </w:rPr>
              <w:t>(7)</w:t>
            </w:r>
          </w:p>
        </w:tc>
        <w:tc>
          <w:tcPr>
            <w:tcW w:w="1820" w:type="dxa"/>
            <w:vAlign w:val="bottom"/>
          </w:tcPr>
          <w:p>
            <w:pPr>
              <w:ind w:left="60"/>
              <w:spacing w:after="0"/>
              <w:rPr>
                <w:sz w:val="20"/>
                <w:szCs w:val="20"/>
                <w:color w:val="auto"/>
              </w:rPr>
            </w:pPr>
            <w:r>
              <w:rPr>
                <w:rFonts w:ascii="Arial" w:cs="Arial" w:eastAsia="Arial" w:hAnsi="Arial"/>
                <w:sz w:val="18"/>
                <w:szCs w:val="18"/>
                <w:color w:val="auto"/>
              </w:rPr>
              <w:t>Bergen-Passaic, NJ</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1988</w:t>
            </w:r>
          </w:p>
        </w:tc>
        <w:tc>
          <w:tcPr>
            <w:tcW w:w="680" w:type="dxa"/>
            <w:vAlign w:val="bottom"/>
          </w:tcPr>
          <w:p>
            <w:pPr>
              <w:jc w:val="right"/>
              <w:spacing w:after="0"/>
              <w:rPr>
                <w:sz w:val="20"/>
                <w:szCs w:val="20"/>
                <w:color w:val="auto"/>
              </w:rPr>
            </w:pPr>
            <w:r>
              <w:rPr>
                <w:rFonts w:ascii="Arial" w:cs="Arial" w:eastAsia="Arial" w:hAnsi="Arial"/>
                <w:sz w:val="18"/>
                <w:szCs w:val="18"/>
                <w:color w:val="auto"/>
              </w:rPr>
              <w:t>5,019</w:t>
            </w:r>
          </w:p>
        </w:tc>
        <w:tc>
          <w:tcPr>
            <w:tcW w:w="800" w:type="dxa"/>
            <w:vAlign w:val="bottom"/>
          </w:tcPr>
          <w:p>
            <w:pPr>
              <w:jc w:val="right"/>
              <w:spacing w:after="0"/>
              <w:rPr>
                <w:sz w:val="20"/>
                <w:szCs w:val="20"/>
                <w:color w:val="auto"/>
              </w:rPr>
            </w:pPr>
            <w:r>
              <w:rPr>
                <w:rFonts w:ascii="Arial" w:cs="Arial" w:eastAsia="Arial" w:hAnsi="Arial"/>
                <w:sz w:val="18"/>
                <w:szCs w:val="18"/>
                <w:color w:val="auto"/>
              </w:rPr>
              <w:t>2,827</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80,000</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80" w:type="dxa"/>
            <w:vAlign w:val="bottom"/>
          </w:tcPr>
          <w:p>
            <w:pPr>
              <w:ind w:left="120"/>
              <w:spacing w:after="0"/>
              <w:rPr>
                <w:sz w:val="20"/>
                <w:szCs w:val="20"/>
                <w:color w:val="auto"/>
              </w:rPr>
            </w:pPr>
            <w:r>
              <w:rPr>
                <w:rFonts w:ascii="Arial" w:cs="Arial" w:eastAsia="Arial" w:hAnsi="Arial"/>
                <w:sz w:val="18"/>
                <w:szCs w:val="18"/>
                <w:color w:val="auto"/>
              </w:rPr>
              <w:t>Drug Fair / Dollar</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80" w:type="dxa"/>
            <w:vAlign w:val="bottom"/>
          </w:tcPr>
          <w:p>
            <w:pPr>
              <w:ind w:left="120"/>
              <w:spacing w:after="0"/>
              <w:rPr>
                <w:sz w:val="20"/>
                <w:szCs w:val="20"/>
                <w:color w:val="auto"/>
              </w:rPr>
            </w:pPr>
            <w:r>
              <w:rPr>
                <w:rFonts w:ascii="Arial" w:cs="Arial" w:eastAsia="Arial" w:hAnsi="Arial"/>
                <w:sz w:val="18"/>
                <w:szCs w:val="18"/>
                <w:color w:val="auto"/>
              </w:rPr>
              <w:t>Express</w:t>
            </w:r>
          </w:p>
        </w:tc>
        <w:tc>
          <w:tcPr>
            <w:tcW w:w="0" w:type="dxa"/>
            <w:vAlign w:val="bottom"/>
          </w:tcPr>
          <w:p>
            <w:pPr>
              <w:spacing w:after="0"/>
              <w:rPr>
                <w:sz w:val="1"/>
                <w:szCs w:val="1"/>
                <w:color w:val="auto"/>
              </w:rPr>
            </w:pPr>
          </w:p>
        </w:tc>
      </w:tr>
      <w:tr>
        <w:trPr>
          <w:trHeight w:val="210"/>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Forest Hills</w:t>
            </w:r>
          </w:p>
        </w:tc>
        <w:tc>
          <w:tcPr>
            <w:tcW w:w="340" w:type="dxa"/>
            <w:vAlign w:val="bottom"/>
            <w:shd w:val="clear" w:color="auto" w:fill="CCEEFF"/>
          </w:tcPr>
          <w:p>
            <w:pPr>
              <w:spacing w:after="0"/>
              <w:rPr>
                <w:sz w:val="18"/>
                <w:szCs w:val="18"/>
                <w:color w:val="auto"/>
              </w:rPr>
            </w:pPr>
          </w:p>
        </w:tc>
        <w:tc>
          <w:tcPr>
            <w:tcW w:w="1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New York, NY</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1997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24,055</w:t>
            </w:r>
          </w:p>
        </w:tc>
        <w:tc>
          <w:tcPr>
            <w:tcW w:w="8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85,000</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8"/>
              </w:rPr>
              <w:t>Midway Theatre / Duane</w:t>
            </w:r>
          </w:p>
        </w:tc>
        <w:tc>
          <w:tcPr>
            <w:tcW w:w="0" w:type="dxa"/>
            <w:vAlign w:val="bottom"/>
          </w:tcPr>
          <w:p>
            <w:pPr>
              <w:spacing w:after="0"/>
              <w:rPr>
                <w:sz w:val="1"/>
                <w:szCs w:val="1"/>
                <w:color w:val="auto"/>
              </w:rPr>
            </w:pPr>
          </w:p>
        </w:tc>
      </w:tr>
      <w:tr>
        <w:trPr>
          <w:trHeight w:val="224"/>
        </w:trPr>
        <w:tc>
          <w:tcPr>
            <w:tcW w:w="17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Reade / Gap</w:t>
            </w:r>
          </w:p>
        </w:tc>
        <w:tc>
          <w:tcPr>
            <w:tcW w:w="0" w:type="dxa"/>
            <w:vAlign w:val="bottom"/>
          </w:tcPr>
          <w:p>
            <w:pPr>
              <w:spacing w:after="0"/>
              <w:rPr>
                <w:sz w:val="1"/>
                <w:szCs w:val="1"/>
                <w:color w:val="auto"/>
              </w:rPr>
            </w:pPr>
          </w:p>
        </w:tc>
      </w:tr>
      <w:tr>
        <w:trPr>
          <w:trHeight w:val="208"/>
        </w:trPr>
        <w:tc>
          <w:tcPr>
            <w:tcW w:w="1780" w:type="dxa"/>
            <w:vAlign w:val="bottom"/>
          </w:tcPr>
          <w:p>
            <w:pPr>
              <w:spacing w:after="0"/>
              <w:rPr>
                <w:sz w:val="20"/>
                <w:szCs w:val="20"/>
                <w:color w:val="auto"/>
              </w:rPr>
            </w:pPr>
            <w:r>
              <w:rPr>
                <w:rFonts w:ascii="Arial" w:cs="Arial" w:eastAsia="Arial" w:hAnsi="Arial"/>
                <w:sz w:val="18"/>
                <w:szCs w:val="18"/>
                <w:color w:val="auto"/>
              </w:rPr>
              <w:t>Fresh Meadows</w:t>
            </w:r>
          </w:p>
        </w:tc>
        <w:tc>
          <w:tcPr>
            <w:tcW w:w="340" w:type="dxa"/>
            <w:vAlign w:val="bottom"/>
          </w:tcPr>
          <w:p>
            <w:pPr>
              <w:spacing w:after="0"/>
              <w:rPr>
                <w:sz w:val="18"/>
                <w:szCs w:val="18"/>
                <w:color w:val="auto"/>
              </w:rPr>
            </w:pPr>
          </w:p>
        </w:tc>
        <w:tc>
          <w:tcPr>
            <w:tcW w:w="1820" w:type="dxa"/>
            <w:vAlign w:val="bottom"/>
          </w:tcPr>
          <w:p>
            <w:pPr>
              <w:ind w:left="60"/>
              <w:spacing w:after="0"/>
              <w:rPr>
                <w:sz w:val="20"/>
                <w:szCs w:val="20"/>
                <w:color w:val="auto"/>
              </w:rPr>
            </w:pPr>
            <w:r>
              <w:rPr>
                <w:rFonts w:ascii="Arial" w:cs="Arial" w:eastAsia="Arial" w:hAnsi="Arial"/>
                <w:sz w:val="18"/>
                <w:szCs w:val="18"/>
                <w:color w:val="auto"/>
              </w:rPr>
              <w:t>New York, NY</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1997</w:t>
            </w:r>
          </w:p>
        </w:tc>
        <w:tc>
          <w:tcPr>
            <w:tcW w:w="680" w:type="dxa"/>
            <w:vAlign w:val="bottom"/>
          </w:tcPr>
          <w:p>
            <w:pPr>
              <w:jc w:val="right"/>
              <w:spacing w:after="0"/>
              <w:rPr>
                <w:sz w:val="20"/>
                <w:szCs w:val="20"/>
                <w:color w:val="auto"/>
              </w:rPr>
            </w:pPr>
            <w:r>
              <w:rPr>
                <w:rFonts w:ascii="Arial" w:cs="Arial" w:eastAsia="Arial" w:hAnsi="Arial"/>
                <w:sz w:val="18"/>
                <w:szCs w:val="18"/>
                <w:color w:val="auto"/>
              </w:rPr>
              <w:t>67,935</w:t>
            </w:r>
          </w:p>
        </w:tc>
        <w:tc>
          <w:tcPr>
            <w:tcW w:w="80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403,000</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15,000</w:t>
            </w:r>
          </w:p>
        </w:tc>
        <w:tc>
          <w:tcPr>
            <w:tcW w:w="1080" w:type="dxa"/>
            <w:vAlign w:val="bottom"/>
          </w:tcPr>
          <w:p>
            <w:pPr>
              <w:ind w:left="60"/>
              <w:spacing w:after="0"/>
              <w:rPr>
                <w:sz w:val="20"/>
                <w:szCs w:val="20"/>
                <w:color w:val="auto"/>
              </w:rPr>
            </w:pPr>
            <w:r>
              <w:rPr>
                <w:rFonts w:ascii="Arial" w:cs="Arial" w:eastAsia="Arial" w:hAnsi="Arial"/>
                <w:sz w:val="18"/>
                <w:szCs w:val="18"/>
                <w:color w:val="auto"/>
              </w:rPr>
              <w:t>Associated</w:t>
            </w:r>
          </w:p>
        </w:tc>
        <w:tc>
          <w:tcPr>
            <w:tcW w:w="1880" w:type="dxa"/>
            <w:vAlign w:val="bottom"/>
          </w:tcPr>
          <w:p>
            <w:pPr>
              <w:ind w:left="120"/>
              <w:spacing w:after="0"/>
              <w:rPr>
                <w:sz w:val="20"/>
                <w:szCs w:val="20"/>
                <w:color w:val="auto"/>
              </w:rPr>
            </w:pPr>
            <w:r>
              <w:rPr>
                <w:rFonts w:ascii="Arial" w:cs="Arial" w:eastAsia="Arial" w:hAnsi="Arial"/>
                <w:sz w:val="18"/>
                <w:szCs w:val="18"/>
                <w:color w:val="auto"/>
              </w:rPr>
              <w:t>Filene’s Basement /</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auto"/>
              </w:rPr>
              <w:t>Food Stores</w:t>
            </w:r>
          </w:p>
        </w:tc>
        <w:tc>
          <w:tcPr>
            <w:tcW w:w="1880" w:type="dxa"/>
            <w:vAlign w:val="bottom"/>
          </w:tcPr>
          <w:p>
            <w:pPr>
              <w:ind w:left="120"/>
              <w:spacing w:after="0"/>
              <w:rPr>
                <w:sz w:val="20"/>
                <w:szCs w:val="20"/>
                <w:color w:val="auto"/>
              </w:rPr>
            </w:pPr>
            <w:r>
              <w:rPr>
                <w:rFonts w:ascii="Arial" w:cs="Arial" w:eastAsia="Arial" w:hAnsi="Arial"/>
                <w:sz w:val="18"/>
                <w:szCs w:val="18"/>
                <w:color w:val="auto"/>
              </w:rPr>
              <w:t>Kohl’s / AMC Loews</w:t>
            </w:r>
          </w:p>
        </w:tc>
        <w:tc>
          <w:tcPr>
            <w:tcW w:w="0" w:type="dxa"/>
            <w:vAlign w:val="bottom"/>
          </w:tcPr>
          <w:p>
            <w:pPr>
              <w:spacing w:after="0"/>
              <w:rPr>
                <w:sz w:val="1"/>
                <w:szCs w:val="1"/>
                <w:color w:val="auto"/>
              </w:rPr>
            </w:pPr>
          </w:p>
        </w:tc>
      </w:tr>
      <w:tr>
        <w:trPr>
          <w:trHeight w:val="218"/>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Hamilton</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(7)</w:t>
            </w:r>
          </w:p>
        </w:tc>
        <w:tc>
          <w:tcPr>
            <w:tcW w:w="1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Trenton, NJ</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1988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4,191</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190,000</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53,000</w:t>
            </w:r>
          </w:p>
        </w:tc>
        <w:tc>
          <w:tcPr>
            <w:tcW w:w="1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Shop Rite</w:t>
            </w:r>
          </w:p>
        </w:tc>
        <w:tc>
          <w:tcPr>
            <w:tcW w:w="1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 Moore</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Hauppauge</w:t>
            </w:r>
          </w:p>
        </w:tc>
        <w:tc>
          <w:tcPr>
            <w:tcW w:w="340" w:type="dxa"/>
            <w:vAlign w:val="bottom"/>
          </w:tcPr>
          <w:p>
            <w:pPr>
              <w:spacing w:after="0"/>
              <w:rPr>
                <w:sz w:val="18"/>
                <w:szCs w:val="18"/>
                <w:color w:val="auto"/>
              </w:rPr>
            </w:pPr>
          </w:p>
        </w:tc>
        <w:tc>
          <w:tcPr>
            <w:tcW w:w="1820" w:type="dxa"/>
            <w:vAlign w:val="bottom"/>
          </w:tcPr>
          <w:p>
            <w:pPr>
              <w:ind w:left="60"/>
              <w:spacing w:after="0"/>
              <w:rPr>
                <w:sz w:val="20"/>
                <w:szCs w:val="20"/>
                <w:color w:val="auto"/>
              </w:rPr>
            </w:pPr>
            <w:r>
              <w:rPr>
                <w:rFonts w:ascii="Arial" w:cs="Arial" w:eastAsia="Arial" w:hAnsi="Arial"/>
                <w:sz w:val="18"/>
                <w:szCs w:val="18"/>
                <w:color w:val="auto"/>
              </w:rPr>
              <w:t>Nassau-Suffolk, NY</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1998</w:t>
            </w:r>
          </w:p>
        </w:tc>
        <w:tc>
          <w:tcPr>
            <w:tcW w:w="680" w:type="dxa"/>
            <w:vAlign w:val="bottom"/>
          </w:tcPr>
          <w:p>
            <w:pPr>
              <w:jc w:val="right"/>
              <w:spacing w:after="0"/>
              <w:rPr>
                <w:sz w:val="20"/>
                <w:szCs w:val="20"/>
                <w:color w:val="auto"/>
              </w:rPr>
            </w:pPr>
            <w:r>
              <w:rPr>
                <w:rFonts w:ascii="Arial" w:cs="Arial" w:eastAsia="Arial" w:hAnsi="Arial"/>
                <w:sz w:val="18"/>
                <w:szCs w:val="18"/>
                <w:color w:val="auto"/>
              </w:rPr>
              <w:t>27,400</w:t>
            </w:r>
          </w:p>
        </w:tc>
        <w:tc>
          <w:tcPr>
            <w:tcW w:w="800" w:type="dxa"/>
            <w:vAlign w:val="bottom"/>
          </w:tcPr>
          <w:p>
            <w:pPr>
              <w:jc w:val="right"/>
              <w:spacing w:after="0"/>
              <w:rPr>
                <w:sz w:val="20"/>
                <w:szCs w:val="20"/>
                <w:color w:val="auto"/>
              </w:rPr>
            </w:pPr>
            <w:r>
              <w:rPr>
                <w:rFonts w:ascii="Arial" w:cs="Arial" w:eastAsia="Arial" w:hAnsi="Arial"/>
                <w:sz w:val="18"/>
                <w:szCs w:val="18"/>
                <w:color w:val="auto"/>
              </w:rPr>
              <w:t>15,949</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133,000</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61,000</w:t>
            </w:r>
          </w:p>
        </w:tc>
        <w:tc>
          <w:tcPr>
            <w:tcW w:w="1080" w:type="dxa"/>
            <w:vAlign w:val="bottom"/>
          </w:tcPr>
          <w:p>
            <w:pPr>
              <w:ind w:left="60"/>
              <w:spacing w:after="0"/>
              <w:rPr>
                <w:sz w:val="20"/>
                <w:szCs w:val="20"/>
                <w:color w:val="auto"/>
              </w:rPr>
            </w:pPr>
            <w:r>
              <w:rPr>
                <w:rFonts w:ascii="Arial" w:cs="Arial" w:eastAsia="Arial" w:hAnsi="Arial"/>
                <w:sz w:val="18"/>
                <w:szCs w:val="18"/>
                <w:color w:val="auto"/>
              </w:rPr>
              <w:t>Shop Rite</w:t>
            </w:r>
          </w:p>
        </w:tc>
        <w:tc>
          <w:tcPr>
            <w:tcW w:w="1880" w:type="dxa"/>
            <w:vAlign w:val="bottom"/>
          </w:tcPr>
          <w:p>
            <w:pPr>
              <w:ind w:left="120"/>
              <w:spacing w:after="0"/>
              <w:rPr>
                <w:sz w:val="20"/>
                <w:szCs w:val="20"/>
                <w:color w:val="auto"/>
              </w:rPr>
            </w:pPr>
            <w:r>
              <w:rPr>
                <w:rFonts w:ascii="Arial" w:cs="Arial" w:eastAsia="Arial" w:hAnsi="Arial"/>
                <w:sz w:val="18"/>
                <w:szCs w:val="18"/>
                <w:color w:val="auto"/>
              </w:rPr>
              <w:t>AC Moore</w:t>
            </w:r>
          </w:p>
        </w:tc>
        <w:tc>
          <w:tcPr>
            <w:tcW w:w="0" w:type="dxa"/>
            <w:vAlign w:val="bottom"/>
          </w:tcPr>
          <w:p>
            <w:pPr>
              <w:spacing w:after="0"/>
              <w:rPr>
                <w:sz w:val="1"/>
                <w:szCs w:val="1"/>
                <w:color w:val="auto"/>
              </w:rPr>
            </w:pPr>
          </w:p>
        </w:tc>
      </w:tr>
      <w:tr>
        <w:trPr>
          <w:trHeight w:val="208"/>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Huntington</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(7)</w:t>
            </w:r>
          </w:p>
        </w:tc>
        <w:tc>
          <w:tcPr>
            <w:tcW w:w="1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Nassau-Suffolk, NY</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1988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12,403</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279,000</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3"/>
              </w:rPr>
              <w:t>Buy Buy Baby / Toys R</w:t>
            </w: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 Bed, Bath &amp;</w:t>
            </w: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Beyond / Barnes &amp;</w:t>
            </w:r>
          </w:p>
        </w:tc>
        <w:tc>
          <w:tcPr>
            <w:tcW w:w="0" w:type="dxa"/>
            <w:vAlign w:val="bottom"/>
          </w:tcPr>
          <w:p>
            <w:pPr>
              <w:spacing w:after="0"/>
              <w:rPr>
                <w:sz w:val="1"/>
                <w:szCs w:val="1"/>
                <w:color w:val="auto"/>
              </w:rPr>
            </w:pPr>
          </w:p>
        </w:tc>
      </w:tr>
      <w:tr>
        <w:trPr>
          <w:trHeight w:val="224"/>
        </w:trPr>
        <w:tc>
          <w:tcPr>
            <w:tcW w:w="17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Noble</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Melville Mall</w:t>
            </w:r>
          </w:p>
        </w:tc>
        <w:tc>
          <w:tcPr>
            <w:tcW w:w="340" w:type="dxa"/>
            <w:vAlign w:val="bottom"/>
          </w:tcPr>
          <w:p>
            <w:pPr>
              <w:ind w:left="80"/>
              <w:spacing w:after="0"/>
              <w:rPr>
                <w:sz w:val="20"/>
                <w:szCs w:val="20"/>
                <w:color w:val="auto"/>
              </w:rPr>
            </w:pPr>
            <w:r>
              <w:rPr>
                <w:rFonts w:ascii="Arial" w:cs="Arial" w:eastAsia="Arial" w:hAnsi="Arial"/>
                <w:sz w:val="18"/>
                <w:szCs w:val="18"/>
                <w:color w:val="auto"/>
              </w:rPr>
              <w:t>(8)</w:t>
            </w:r>
          </w:p>
        </w:tc>
        <w:tc>
          <w:tcPr>
            <w:tcW w:w="1820" w:type="dxa"/>
            <w:vAlign w:val="bottom"/>
          </w:tcPr>
          <w:p>
            <w:pPr>
              <w:ind w:left="60"/>
              <w:spacing w:after="0"/>
              <w:rPr>
                <w:sz w:val="20"/>
                <w:szCs w:val="20"/>
                <w:color w:val="auto"/>
              </w:rPr>
            </w:pPr>
            <w:r>
              <w:rPr>
                <w:rFonts w:ascii="Arial" w:cs="Arial" w:eastAsia="Arial" w:hAnsi="Arial"/>
                <w:sz w:val="18"/>
                <w:szCs w:val="18"/>
                <w:color w:val="auto"/>
              </w:rPr>
              <w:t>Nassau-Suffolk, NY</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2006</w:t>
            </w:r>
          </w:p>
        </w:tc>
        <w:tc>
          <w:tcPr>
            <w:tcW w:w="680" w:type="dxa"/>
            <w:vAlign w:val="bottom"/>
          </w:tcPr>
          <w:p>
            <w:pPr>
              <w:jc w:val="right"/>
              <w:spacing w:after="0"/>
              <w:rPr>
                <w:sz w:val="20"/>
                <w:szCs w:val="20"/>
                <w:color w:val="auto"/>
              </w:rPr>
            </w:pPr>
            <w:r>
              <w:rPr>
                <w:rFonts w:ascii="Arial" w:cs="Arial" w:eastAsia="Arial" w:hAnsi="Arial"/>
                <w:sz w:val="18"/>
                <w:szCs w:val="18"/>
                <w:color w:val="auto"/>
              </w:rPr>
              <w:t>68,504</w:t>
            </w:r>
          </w:p>
        </w:tc>
        <w:tc>
          <w:tcPr>
            <w:tcW w:w="800" w:type="dxa"/>
            <w:vAlign w:val="bottom"/>
          </w:tcPr>
          <w:p>
            <w:pPr>
              <w:jc w:val="right"/>
              <w:spacing w:after="0"/>
              <w:rPr>
                <w:sz w:val="20"/>
                <w:szCs w:val="20"/>
                <w:color w:val="auto"/>
              </w:rPr>
            </w:pPr>
            <w:r>
              <w:rPr>
                <w:rFonts w:ascii="Arial" w:cs="Arial" w:eastAsia="Arial" w:hAnsi="Arial"/>
                <w:sz w:val="18"/>
                <w:szCs w:val="18"/>
                <w:color w:val="auto"/>
              </w:rPr>
              <w:t>25,403</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248,000</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54,000</w:t>
            </w:r>
          </w:p>
        </w:tc>
        <w:tc>
          <w:tcPr>
            <w:tcW w:w="1080" w:type="dxa"/>
            <w:vAlign w:val="bottom"/>
          </w:tcPr>
          <w:p>
            <w:pPr>
              <w:ind w:left="60"/>
              <w:spacing w:after="0"/>
              <w:rPr>
                <w:sz w:val="20"/>
                <w:szCs w:val="20"/>
                <w:color w:val="auto"/>
              </w:rPr>
            </w:pPr>
            <w:r>
              <w:rPr>
                <w:rFonts w:ascii="Arial" w:cs="Arial" w:eastAsia="Arial" w:hAnsi="Arial"/>
                <w:sz w:val="18"/>
                <w:szCs w:val="18"/>
                <w:color w:val="auto"/>
              </w:rPr>
              <w:t>Waldbaum’s</w:t>
            </w:r>
          </w:p>
        </w:tc>
        <w:tc>
          <w:tcPr>
            <w:tcW w:w="1880" w:type="dxa"/>
            <w:vAlign w:val="bottom"/>
          </w:tcPr>
          <w:p>
            <w:pPr>
              <w:ind w:left="120"/>
              <w:spacing w:after="0"/>
              <w:rPr>
                <w:sz w:val="20"/>
                <w:szCs w:val="20"/>
                <w:color w:val="auto"/>
              </w:rPr>
            </w:pPr>
            <w:r>
              <w:rPr>
                <w:rFonts w:ascii="Arial" w:cs="Arial" w:eastAsia="Arial" w:hAnsi="Arial"/>
                <w:sz w:val="18"/>
                <w:szCs w:val="18"/>
                <w:color w:val="auto"/>
              </w:rPr>
              <w:t>Kohl’s / Marshalls</w:t>
            </w:r>
          </w:p>
        </w:tc>
        <w:tc>
          <w:tcPr>
            <w:tcW w:w="0" w:type="dxa"/>
            <w:vAlign w:val="bottom"/>
          </w:tcPr>
          <w:p>
            <w:pPr>
              <w:spacing w:after="0"/>
              <w:rPr>
                <w:sz w:val="1"/>
                <w:szCs w:val="1"/>
                <w:color w:val="auto"/>
              </w:rPr>
            </w:pPr>
          </w:p>
        </w:tc>
      </w:tr>
      <w:tr>
        <w:trPr>
          <w:trHeight w:val="208"/>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Mercer Mall</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(7)</w:t>
            </w:r>
          </w:p>
        </w:tc>
        <w:tc>
          <w:tcPr>
            <w:tcW w:w="1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Trenton, NJ</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2003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102,749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57,368</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501,000</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75,000</w:t>
            </w:r>
          </w:p>
        </w:tc>
        <w:tc>
          <w:tcPr>
            <w:tcW w:w="1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Shop Rite</w:t>
            </w:r>
          </w:p>
        </w:tc>
        <w:tc>
          <w:tcPr>
            <w:tcW w:w="1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Bed, Bath &amp; Beyond /</w:t>
            </w: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DSW / TJ Maxx /</w:t>
            </w:r>
          </w:p>
        </w:tc>
        <w:tc>
          <w:tcPr>
            <w:tcW w:w="0" w:type="dxa"/>
            <w:vAlign w:val="bottom"/>
          </w:tcPr>
          <w:p>
            <w:pPr>
              <w:spacing w:after="0"/>
              <w:rPr>
                <w:sz w:val="1"/>
                <w:szCs w:val="1"/>
                <w:color w:val="auto"/>
              </w:rPr>
            </w:pPr>
          </w:p>
        </w:tc>
      </w:tr>
      <w:tr>
        <w:trPr>
          <w:trHeight w:val="224"/>
        </w:trPr>
        <w:tc>
          <w:tcPr>
            <w:tcW w:w="17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Raymour &amp; Flanigan</w:t>
            </w:r>
          </w:p>
        </w:tc>
        <w:tc>
          <w:tcPr>
            <w:tcW w:w="0" w:type="dxa"/>
            <w:vAlign w:val="bottom"/>
          </w:tcPr>
          <w:p>
            <w:pPr>
              <w:spacing w:after="0"/>
              <w:rPr>
                <w:sz w:val="1"/>
                <w:szCs w:val="1"/>
                <w:color w:val="auto"/>
              </w:rPr>
            </w:pPr>
          </w:p>
        </w:tc>
      </w:tr>
      <w:tr>
        <w:trPr>
          <w:trHeight w:val="208"/>
        </w:trPr>
        <w:tc>
          <w:tcPr>
            <w:tcW w:w="1780" w:type="dxa"/>
            <w:vAlign w:val="bottom"/>
          </w:tcPr>
          <w:p>
            <w:pPr>
              <w:spacing w:after="0"/>
              <w:rPr>
                <w:sz w:val="20"/>
                <w:szCs w:val="20"/>
                <w:color w:val="auto"/>
              </w:rPr>
            </w:pPr>
            <w:r>
              <w:rPr>
                <w:rFonts w:ascii="Arial" w:cs="Arial" w:eastAsia="Arial" w:hAnsi="Arial"/>
                <w:sz w:val="18"/>
                <w:szCs w:val="18"/>
                <w:color w:val="auto"/>
              </w:rPr>
              <w:t>Rutgers</w:t>
            </w:r>
          </w:p>
        </w:tc>
        <w:tc>
          <w:tcPr>
            <w:tcW w:w="2160" w:type="dxa"/>
            <w:vAlign w:val="bottom"/>
            <w:gridSpan w:val="2"/>
          </w:tcPr>
          <w:p>
            <w:pPr>
              <w:ind w:left="80"/>
              <w:spacing w:after="0"/>
              <w:rPr>
                <w:sz w:val="20"/>
                <w:szCs w:val="20"/>
                <w:color w:val="auto"/>
              </w:rPr>
            </w:pPr>
            <w:r>
              <w:rPr>
                <w:rFonts w:ascii="Arial" w:cs="Arial" w:eastAsia="Arial" w:hAnsi="Arial"/>
                <w:sz w:val="18"/>
                <w:szCs w:val="18"/>
                <w:color w:val="auto"/>
              </w:rPr>
              <w:t>(7)  Middlesex-Somerset-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1988</w:t>
            </w:r>
          </w:p>
        </w:tc>
        <w:tc>
          <w:tcPr>
            <w:tcW w:w="680" w:type="dxa"/>
            <w:vAlign w:val="bottom"/>
          </w:tcPr>
          <w:p>
            <w:pPr>
              <w:jc w:val="right"/>
              <w:spacing w:after="0"/>
              <w:rPr>
                <w:sz w:val="20"/>
                <w:szCs w:val="20"/>
                <w:color w:val="auto"/>
              </w:rPr>
            </w:pPr>
            <w:r>
              <w:rPr>
                <w:rFonts w:ascii="Arial" w:cs="Arial" w:eastAsia="Arial" w:hAnsi="Arial"/>
                <w:sz w:val="18"/>
                <w:szCs w:val="18"/>
                <w:color w:val="auto"/>
              </w:rPr>
              <w:t>17,519</w:t>
            </w:r>
          </w:p>
        </w:tc>
        <w:tc>
          <w:tcPr>
            <w:tcW w:w="800" w:type="dxa"/>
            <w:vAlign w:val="bottom"/>
          </w:tcPr>
          <w:p>
            <w:pPr>
              <w:jc w:val="right"/>
              <w:spacing w:after="0"/>
              <w:rPr>
                <w:sz w:val="20"/>
                <w:szCs w:val="20"/>
                <w:color w:val="auto"/>
              </w:rPr>
            </w:pPr>
            <w:r>
              <w:rPr>
                <w:rFonts w:ascii="Arial" w:cs="Arial" w:eastAsia="Arial" w:hAnsi="Arial"/>
                <w:sz w:val="18"/>
                <w:szCs w:val="18"/>
                <w:color w:val="auto"/>
              </w:rPr>
              <w:t>11,190</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267,000</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74,000</w:t>
            </w:r>
          </w:p>
        </w:tc>
        <w:tc>
          <w:tcPr>
            <w:tcW w:w="1080" w:type="dxa"/>
            <w:vAlign w:val="bottom"/>
          </w:tcPr>
          <w:p>
            <w:pPr>
              <w:ind w:left="60"/>
              <w:spacing w:after="0"/>
              <w:rPr>
                <w:sz w:val="20"/>
                <w:szCs w:val="20"/>
                <w:color w:val="auto"/>
              </w:rPr>
            </w:pPr>
            <w:r>
              <w:rPr>
                <w:rFonts w:ascii="Arial" w:cs="Arial" w:eastAsia="Arial" w:hAnsi="Arial"/>
                <w:sz w:val="18"/>
                <w:szCs w:val="18"/>
                <w:color w:val="auto"/>
                <w:w w:val="98"/>
              </w:rPr>
              <w:t>Stop &amp; Shop</w:t>
            </w:r>
          </w:p>
        </w:tc>
        <w:tc>
          <w:tcPr>
            <w:tcW w:w="1880" w:type="dxa"/>
            <w:vAlign w:val="bottom"/>
          </w:tcPr>
          <w:p>
            <w:pPr>
              <w:ind w:left="120"/>
              <w:spacing w:after="0"/>
              <w:rPr>
                <w:sz w:val="20"/>
                <w:szCs w:val="20"/>
                <w:color w:val="auto"/>
              </w:rPr>
            </w:pPr>
            <w:r>
              <w:rPr>
                <w:rFonts w:ascii="Arial" w:cs="Arial" w:eastAsia="Arial" w:hAnsi="Arial"/>
                <w:sz w:val="18"/>
                <w:szCs w:val="18"/>
                <w:color w:val="auto"/>
              </w:rPr>
              <w:t>Kmart</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ind w:left="60"/>
              <w:spacing w:after="0"/>
              <w:rPr>
                <w:sz w:val="20"/>
                <w:szCs w:val="20"/>
                <w:color w:val="auto"/>
              </w:rPr>
            </w:pPr>
            <w:r>
              <w:rPr>
                <w:rFonts w:ascii="Arial" w:cs="Arial" w:eastAsia="Arial" w:hAnsi="Arial"/>
                <w:sz w:val="18"/>
                <w:szCs w:val="18"/>
                <w:color w:val="auto"/>
              </w:rPr>
              <w:t>Hunterdon, NJ</w:t>
            </w: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Troy</w:t>
            </w:r>
          </w:p>
        </w:tc>
        <w:tc>
          <w:tcPr>
            <w:tcW w:w="340" w:type="dxa"/>
            <w:vAlign w:val="bottom"/>
            <w:shd w:val="clear" w:color="auto" w:fill="CCEEFF"/>
          </w:tcPr>
          <w:p>
            <w:pPr>
              <w:spacing w:after="0"/>
              <w:rPr>
                <w:sz w:val="18"/>
                <w:szCs w:val="18"/>
                <w:color w:val="auto"/>
              </w:rPr>
            </w:pPr>
          </w:p>
        </w:tc>
        <w:tc>
          <w:tcPr>
            <w:tcW w:w="1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Newark, NJ</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1980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21,598</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202,000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64,000</w:t>
            </w:r>
          </w:p>
        </w:tc>
        <w:tc>
          <w:tcPr>
            <w:tcW w:w="1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Pathmark</w:t>
            </w:r>
          </w:p>
        </w:tc>
        <w:tc>
          <w:tcPr>
            <w:tcW w:w="18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6"/>
              </w:rPr>
              <w:t>AC Moore / Toys R Us</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vMerge w:val="restart"/>
          </w:tcPr>
          <w:p>
            <w:pPr>
              <w:ind w:left="60"/>
              <w:spacing w:after="0"/>
              <w:rPr>
                <w:sz w:val="20"/>
                <w:szCs w:val="20"/>
                <w:color w:val="auto"/>
              </w:rPr>
            </w:pPr>
            <w:r>
              <w:rPr>
                <w:rFonts w:ascii="Arial" w:cs="Arial" w:eastAsia="Arial" w:hAnsi="Arial"/>
                <w:sz w:val="18"/>
                <w:szCs w:val="18"/>
                <w:b w:val="1"/>
                <w:bCs w:val="1"/>
                <w:color w:val="auto"/>
                <w:w w:val="95"/>
              </w:rPr>
              <w:t>Total New York / New</w:t>
            </w:r>
          </w:p>
        </w:tc>
        <w:tc>
          <w:tcPr>
            <w:tcW w:w="9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483,861</w:t>
            </w:r>
          </w:p>
        </w:tc>
        <w:tc>
          <w:tcPr>
            <w:tcW w:w="80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w w:val="92"/>
              </w:rPr>
              <w:t>3,560,000</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ind w:left="280"/>
              <w:spacing w:after="0"/>
              <w:rPr>
                <w:sz w:val="20"/>
                <w:szCs w:val="20"/>
                <w:color w:val="auto"/>
              </w:rPr>
            </w:pPr>
            <w:r>
              <w:rPr>
                <w:rFonts w:ascii="Arial" w:cs="Arial" w:eastAsia="Arial" w:hAnsi="Arial"/>
                <w:sz w:val="18"/>
                <w:szCs w:val="18"/>
                <w:b w:val="1"/>
                <w:bCs w:val="1"/>
                <w:color w:val="auto"/>
              </w:rPr>
              <w:t>Jersey</w:t>
            </w: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780" w:type="dxa"/>
            <w:vAlign w:val="bottom"/>
            <w:shd w:val="clear" w:color="auto" w:fill="CCEEFF"/>
          </w:tcPr>
          <w:p>
            <w:pPr>
              <w:spacing w:after="0" w:line="204" w:lineRule="exact"/>
              <w:rPr>
                <w:sz w:val="20"/>
                <w:szCs w:val="20"/>
                <w:color w:val="auto"/>
              </w:rPr>
            </w:pPr>
            <w:r>
              <w:rPr>
                <w:rFonts w:ascii="Arial" w:cs="Arial" w:eastAsia="Arial" w:hAnsi="Arial"/>
                <w:sz w:val="18"/>
                <w:szCs w:val="18"/>
                <w:b w:val="1"/>
                <w:bCs w:val="1"/>
                <w:color w:val="auto"/>
              </w:rPr>
              <w:t>Philadelphia</w:t>
            </w:r>
          </w:p>
        </w:tc>
        <w:tc>
          <w:tcPr>
            <w:tcW w:w="34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Metropolitan Area</w:t>
            </w:r>
          </w:p>
        </w:tc>
        <w:tc>
          <w:tcPr>
            <w:tcW w:w="34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780" w:type="dxa"/>
            <w:vAlign w:val="bottom"/>
          </w:tcPr>
          <w:p>
            <w:pPr>
              <w:spacing w:after="0"/>
              <w:rPr>
                <w:sz w:val="20"/>
                <w:szCs w:val="20"/>
                <w:color w:val="auto"/>
              </w:rPr>
            </w:pPr>
            <w:r>
              <w:rPr>
                <w:rFonts w:ascii="Arial" w:cs="Arial" w:eastAsia="Arial" w:hAnsi="Arial"/>
                <w:sz w:val="18"/>
                <w:szCs w:val="18"/>
                <w:color w:val="auto"/>
              </w:rPr>
              <w:t>Andorra</w:t>
            </w:r>
          </w:p>
        </w:tc>
        <w:tc>
          <w:tcPr>
            <w:tcW w:w="340" w:type="dxa"/>
            <w:vAlign w:val="bottom"/>
          </w:tcPr>
          <w:p>
            <w:pPr>
              <w:spacing w:after="0"/>
              <w:rPr>
                <w:sz w:val="18"/>
                <w:szCs w:val="18"/>
                <w:color w:val="auto"/>
              </w:rPr>
            </w:pPr>
          </w:p>
        </w:tc>
        <w:tc>
          <w:tcPr>
            <w:tcW w:w="1820" w:type="dxa"/>
            <w:vAlign w:val="bottom"/>
          </w:tcPr>
          <w:p>
            <w:pPr>
              <w:ind w:left="60"/>
              <w:spacing w:after="0"/>
              <w:rPr>
                <w:sz w:val="20"/>
                <w:szCs w:val="20"/>
                <w:color w:val="auto"/>
              </w:rPr>
            </w:pPr>
            <w:r>
              <w:rPr>
                <w:rFonts w:ascii="Arial" w:cs="Arial" w:eastAsia="Arial" w:hAnsi="Arial"/>
                <w:sz w:val="18"/>
                <w:szCs w:val="18"/>
                <w:color w:val="auto"/>
              </w:rPr>
              <w:t>Philadelphia, PA-NJ</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1988</w:t>
            </w:r>
          </w:p>
        </w:tc>
        <w:tc>
          <w:tcPr>
            <w:tcW w:w="680" w:type="dxa"/>
            <w:vAlign w:val="bottom"/>
          </w:tcPr>
          <w:p>
            <w:pPr>
              <w:jc w:val="right"/>
              <w:spacing w:after="0"/>
              <w:rPr>
                <w:sz w:val="20"/>
                <w:szCs w:val="20"/>
                <w:color w:val="auto"/>
              </w:rPr>
            </w:pPr>
            <w:r>
              <w:rPr>
                <w:rFonts w:ascii="Arial" w:cs="Arial" w:eastAsia="Arial" w:hAnsi="Arial"/>
                <w:sz w:val="18"/>
                <w:szCs w:val="18"/>
                <w:color w:val="auto"/>
              </w:rPr>
              <w:t>23,025</w:t>
            </w:r>
          </w:p>
        </w:tc>
        <w:tc>
          <w:tcPr>
            <w:tcW w:w="80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267,000</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24,000</w:t>
            </w:r>
          </w:p>
        </w:tc>
        <w:tc>
          <w:tcPr>
            <w:tcW w:w="1080" w:type="dxa"/>
            <w:vAlign w:val="bottom"/>
          </w:tcPr>
          <w:p>
            <w:pPr>
              <w:ind w:left="60"/>
              <w:spacing w:after="0"/>
              <w:rPr>
                <w:sz w:val="20"/>
                <w:szCs w:val="20"/>
                <w:color w:val="auto"/>
              </w:rPr>
            </w:pPr>
            <w:r>
              <w:rPr>
                <w:rFonts w:ascii="Arial" w:cs="Arial" w:eastAsia="Arial" w:hAnsi="Arial"/>
                <w:sz w:val="18"/>
                <w:szCs w:val="18"/>
                <w:color w:val="auto"/>
              </w:rPr>
              <w:t>Acme</w:t>
            </w:r>
          </w:p>
        </w:tc>
        <w:tc>
          <w:tcPr>
            <w:tcW w:w="1880" w:type="dxa"/>
            <w:vAlign w:val="bottom"/>
          </w:tcPr>
          <w:p>
            <w:pPr>
              <w:ind w:left="120"/>
              <w:spacing w:after="0"/>
              <w:rPr>
                <w:sz w:val="20"/>
                <w:szCs w:val="20"/>
                <w:color w:val="auto"/>
              </w:rPr>
            </w:pPr>
            <w:r>
              <w:rPr>
                <w:rFonts w:ascii="Arial" w:cs="Arial" w:eastAsia="Arial" w:hAnsi="Arial"/>
                <w:sz w:val="18"/>
                <w:szCs w:val="18"/>
                <w:color w:val="auto"/>
              </w:rPr>
              <w:t>Kohl’s / Staples / L.A.</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auto"/>
              </w:rPr>
              <w:t>Markets</w:t>
            </w:r>
          </w:p>
        </w:tc>
        <w:tc>
          <w:tcPr>
            <w:tcW w:w="1880" w:type="dxa"/>
            <w:vAlign w:val="bottom"/>
          </w:tcPr>
          <w:p>
            <w:pPr>
              <w:ind w:left="120"/>
              <w:spacing w:after="0"/>
              <w:rPr>
                <w:sz w:val="20"/>
                <w:szCs w:val="20"/>
                <w:color w:val="auto"/>
              </w:rPr>
            </w:pPr>
            <w:r>
              <w:rPr>
                <w:rFonts w:ascii="Arial" w:cs="Arial" w:eastAsia="Arial" w:hAnsi="Arial"/>
                <w:sz w:val="18"/>
                <w:szCs w:val="18"/>
                <w:color w:val="auto"/>
              </w:rPr>
              <w:t>Fitness</w:t>
            </w:r>
          </w:p>
        </w:tc>
        <w:tc>
          <w:tcPr>
            <w:tcW w:w="0" w:type="dxa"/>
            <w:vAlign w:val="bottom"/>
          </w:tcPr>
          <w:p>
            <w:pPr>
              <w:spacing w:after="0"/>
              <w:rPr>
                <w:sz w:val="1"/>
                <w:szCs w:val="1"/>
                <w:color w:val="auto"/>
              </w:rPr>
            </w:pPr>
          </w:p>
        </w:tc>
      </w:tr>
      <w:tr>
        <w:trPr>
          <w:trHeight w:val="210"/>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Bala Cynwyd</w:t>
            </w:r>
          </w:p>
        </w:tc>
        <w:tc>
          <w:tcPr>
            <w:tcW w:w="340" w:type="dxa"/>
            <w:vAlign w:val="bottom"/>
            <w:shd w:val="clear" w:color="auto" w:fill="CCEEFF"/>
          </w:tcPr>
          <w:p>
            <w:pPr>
              <w:spacing w:after="0"/>
              <w:rPr>
                <w:sz w:val="18"/>
                <w:szCs w:val="18"/>
                <w:color w:val="auto"/>
              </w:rPr>
            </w:pPr>
          </w:p>
        </w:tc>
        <w:tc>
          <w:tcPr>
            <w:tcW w:w="1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Philadelphia, PA-NJ</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1993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26,258</w:t>
            </w:r>
          </w:p>
        </w:tc>
        <w:tc>
          <w:tcPr>
            <w:tcW w:w="8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280,000</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45,000</w:t>
            </w:r>
          </w:p>
        </w:tc>
        <w:tc>
          <w:tcPr>
            <w:tcW w:w="1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Acme</w:t>
            </w:r>
          </w:p>
        </w:tc>
        <w:tc>
          <w:tcPr>
            <w:tcW w:w="1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Lord &amp; Taylor / L.A.</w:t>
            </w:r>
          </w:p>
        </w:tc>
        <w:tc>
          <w:tcPr>
            <w:tcW w:w="0" w:type="dxa"/>
            <w:vAlign w:val="bottom"/>
          </w:tcPr>
          <w:p>
            <w:pPr>
              <w:spacing w:after="0"/>
              <w:rPr>
                <w:sz w:val="1"/>
                <w:szCs w:val="1"/>
                <w:color w:val="auto"/>
              </w:rPr>
            </w:pPr>
          </w:p>
        </w:tc>
      </w:tr>
      <w:tr>
        <w:trPr>
          <w:trHeight w:val="224"/>
        </w:trPr>
        <w:tc>
          <w:tcPr>
            <w:tcW w:w="17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Markets</w:t>
            </w:r>
          </w:p>
        </w:tc>
        <w:tc>
          <w:tcPr>
            <w:tcW w:w="1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Fitness</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Ellisburg Circle</w:t>
            </w:r>
          </w:p>
        </w:tc>
        <w:tc>
          <w:tcPr>
            <w:tcW w:w="340" w:type="dxa"/>
            <w:vAlign w:val="bottom"/>
          </w:tcPr>
          <w:p>
            <w:pPr>
              <w:spacing w:after="0"/>
              <w:rPr>
                <w:sz w:val="18"/>
                <w:szCs w:val="18"/>
                <w:color w:val="auto"/>
              </w:rPr>
            </w:pPr>
          </w:p>
        </w:tc>
        <w:tc>
          <w:tcPr>
            <w:tcW w:w="1820" w:type="dxa"/>
            <w:vAlign w:val="bottom"/>
          </w:tcPr>
          <w:p>
            <w:pPr>
              <w:ind w:left="60"/>
              <w:spacing w:after="0"/>
              <w:rPr>
                <w:sz w:val="20"/>
                <w:szCs w:val="20"/>
                <w:color w:val="auto"/>
              </w:rPr>
            </w:pPr>
            <w:r>
              <w:rPr>
                <w:rFonts w:ascii="Arial" w:cs="Arial" w:eastAsia="Arial" w:hAnsi="Arial"/>
                <w:sz w:val="18"/>
                <w:szCs w:val="18"/>
                <w:color w:val="auto"/>
              </w:rPr>
              <w:t>Philadelphia, PA-NJ</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1992</w:t>
            </w:r>
          </w:p>
        </w:tc>
        <w:tc>
          <w:tcPr>
            <w:tcW w:w="680" w:type="dxa"/>
            <w:vAlign w:val="bottom"/>
          </w:tcPr>
          <w:p>
            <w:pPr>
              <w:jc w:val="right"/>
              <w:spacing w:after="0"/>
              <w:rPr>
                <w:sz w:val="20"/>
                <w:szCs w:val="20"/>
                <w:color w:val="auto"/>
              </w:rPr>
            </w:pPr>
            <w:r>
              <w:rPr>
                <w:rFonts w:ascii="Arial" w:cs="Arial" w:eastAsia="Arial" w:hAnsi="Arial"/>
                <w:sz w:val="18"/>
                <w:szCs w:val="18"/>
                <w:color w:val="auto"/>
              </w:rPr>
              <w:t>26,895</w:t>
            </w:r>
          </w:p>
        </w:tc>
        <w:tc>
          <w:tcPr>
            <w:tcW w:w="80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267,000</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47,000</w:t>
            </w:r>
          </w:p>
        </w:tc>
        <w:tc>
          <w:tcPr>
            <w:tcW w:w="1080" w:type="dxa"/>
            <w:vAlign w:val="bottom"/>
          </w:tcPr>
          <w:p>
            <w:pPr>
              <w:ind w:left="60"/>
              <w:spacing w:after="0"/>
              <w:rPr>
                <w:sz w:val="20"/>
                <w:szCs w:val="20"/>
                <w:color w:val="auto"/>
              </w:rPr>
            </w:pPr>
            <w:r>
              <w:rPr>
                <w:rFonts w:ascii="Arial" w:cs="Arial" w:eastAsia="Arial" w:hAnsi="Arial"/>
                <w:sz w:val="18"/>
                <w:szCs w:val="18"/>
                <w:color w:val="auto"/>
              </w:rPr>
              <w:t>Genuardi’s</w:t>
            </w:r>
          </w:p>
        </w:tc>
        <w:tc>
          <w:tcPr>
            <w:tcW w:w="1880" w:type="dxa"/>
            <w:vAlign w:val="bottom"/>
          </w:tcPr>
          <w:p>
            <w:pPr>
              <w:ind w:left="120"/>
              <w:spacing w:after="0"/>
              <w:rPr>
                <w:sz w:val="20"/>
                <w:szCs w:val="20"/>
                <w:color w:val="auto"/>
              </w:rPr>
            </w:pPr>
            <w:r>
              <w:rPr>
                <w:rFonts w:ascii="Arial" w:cs="Arial" w:eastAsia="Arial" w:hAnsi="Arial"/>
                <w:sz w:val="18"/>
                <w:szCs w:val="18"/>
                <w:color w:val="auto"/>
              </w:rPr>
              <w:t>Stein Mart</w:t>
            </w: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Feasterville</w:t>
            </w:r>
          </w:p>
        </w:tc>
        <w:tc>
          <w:tcPr>
            <w:tcW w:w="340" w:type="dxa"/>
            <w:vAlign w:val="bottom"/>
            <w:shd w:val="clear" w:color="auto" w:fill="CCEEFF"/>
          </w:tcPr>
          <w:p>
            <w:pPr>
              <w:spacing w:after="0"/>
              <w:rPr>
                <w:sz w:val="18"/>
                <w:szCs w:val="18"/>
                <w:color w:val="auto"/>
              </w:rPr>
            </w:pPr>
          </w:p>
        </w:tc>
        <w:tc>
          <w:tcPr>
            <w:tcW w:w="1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Philadelphia, PA-NJ</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1980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11,672</w:t>
            </w:r>
          </w:p>
        </w:tc>
        <w:tc>
          <w:tcPr>
            <w:tcW w:w="8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111,000</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53,000</w:t>
            </w:r>
          </w:p>
        </w:tc>
        <w:tc>
          <w:tcPr>
            <w:tcW w:w="1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Genuardi’s</w:t>
            </w:r>
          </w:p>
        </w:tc>
        <w:tc>
          <w:tcPr>
            <w:tcW w:w="1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OfficeMax</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Flourtown</w:t>
            </w:r>
          </w:p>
        </w:tc>
        <w:tc>
          <w:tcPr>
            <w:tcW w:w="340" w:type="dxa"/>
            <w:vAlign w:val="bottom"/>
          </w:tcPr>
          <w:p>
            <w:pPr>
              <w:spacing w:after="0"/>
              <w:rPr>
                <w:sz w:val="18"/>
                <w:szCs w:val="18"/>
                <w:color w:val="auto"/>
              </w:rPr>
            </w:pPr>
          </w:p>
        </w:tc>
        <w:tc>
          <w:tcPr>
            <w:tcW w:w="1820" w:type="dxa"/>
            <w:vAlign w:val="bottom"/>
          </w:tcPr>
          <w:p>
            <w:pPr>
              <w:ind w:left="60"/>
              <w:spacing w:after="0"/>
              <w:rPr>
                <w:sz w:val="20"/>
                <w:szCs w:val="20"/>
                <w:color w:val="auto"/>
              </w:rPr>
            </w:pPr>
            <w:r>
              <w:rPr>
                <w:rFonts w:ascii="Arial" w:cs="Arial" w:eastAsia="Arial" w:hAnsi="Arial"/>
                <w:sz w:val="18"/>
                <w:szCs w:val="18"/>
                <w:color w:val="auto"/>
              </w:rPr>
              <w:t>Philadelphia, PA-NJ</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1980</w:t>
            </w:r>
          </w:p>
        </w:tc>
        <w:tc>
          <w:tcPr>
            <w:tcW w:w="680" w:type="dxa"/>
            <w:vAlign w:val="bottom"/>
          </w:tcPr>
          <w:p>
            <w:pPr>
              <w:jc w:val="right"/>
              <w:spacing w:after="0"/>
              <w:rPr>
                <w:sz w:val="20"/>
                <w:szCs w:val="20"/>
                <w:color w:val="auto"/>
              </w:rPr>
            </w:pPr>
            <w:r>
              <w:rPr>
                <w:rFonts w:ascii="Arial" w:cs="Arial" w:eastAsia="Arial" w:hAnsi="Arial"/>
                <w:sz w:val="18"/>
                <w:szCs w:val="18"/>
                <w:color w:val="auto"/>
              </w:rPr>
              <w:t>9,666</w:t>
            </w:r>
          </w:p>
        </w:tc>
        <w:tc>
          <w:tcPr>
            <w:tcW w:w="80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181,000</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98%</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42,000</w:t>
            </w:r>
          </w:p>
        </w:tc>
        <w:tc>
          <w:tcPr>
            <w:tcW w:w="1080" w:type="dxa"/>
            <w:vAlign w:val="bottom"/>
          </w:tcPr>
          <w:p>
            <w:pPr>
              <w:ind w:left="60"/>
              <w:spacing w:after="0"/>
              <w:rPr>
                <w:sz w:val="20"/>
                <w:szCs w:val="20"/>
                <w:color w:val="auto"/>
              </w:rPr>
            </w:pPr>
            <w:r>
              <w:rPr>
                <w:rFonts w:ascii="Arial" w:cs="Arial" w:eastAsia="Arial" w:hAnsi="Arial"/>
                <w:sz w:val="18"/>
                <w:szCs w:val="18"/>
                <w:color w:val="auto"/>
              </w:rPr>
              <w:t>Genuardi’s</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Langhorne Square</w:t>
            </w:r>
          </w:p>
        </w:tc>
        <w:tc>
          <w:tcPr>
            <w:tcW w:w="340" w:type="dxa"/>
            <w:vAlign w:val="bottom"/>
            <w:shd w:val="clear" w:color="auto" w:fill="CCEEFF"/>
          </w:tcPr>
          <w:p>
            <w:pPr>
              <w:spacing w:after="0"/>
              <w:rPr>
                <w:sz w:val="18"/>
                <w:szCs w:val="18"/>
                <w:color w:val="auto"/>
              </w:rPr>
            </w:pPr>
          </w:p>
        </w:tc>
        <w:tc>
          <w:tcPr>
            <w:tcW w:w="1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Philadelphia, PA-NJ</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1985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18,409</w:t>
            </w:r>
          </w:p>
        </w:tc>
        <w:tc>
          <w:tcPr>
            <w:tcW w:w="8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216,000</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55,000</w:t>
            </w:r>
          </w:p>
        </w:tc>
        <w:tc>
          <w:tcPr>
            <w:tcW w:w="1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Redner’s</w:t>
            </w:r>
          </w:p>
        </w:tc>
        <w:tc>
          <w:tcPr>
            <w:tcW w:w="1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Marshalls</w:t>
            </w: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Warehouse</w:t>
            </w: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Mkts.</w:t>
            </w: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780" w:type="dxa"/>
            <w:vAlign w:val="bottom"/>
          </w:tcPr>
          <w:p>
            <w:pPr>
              <w:spacing w:after="0"/>
              <w:rPr>
                <w:sz w:val="20"/>
                <w:szCs w:val="20"/>
                <w:color w:val="auto"/>
              </w:rPr>
            </w:pPr>
            <w:r>
              <w:rPr>
                <w:rFonts w:ascii="Arial" w:cs="Arial" w:eastAsia="Arial" w:hAnsi="Arial"/>
                <w:sz w:val="18"/>
                <w:szCs w:val="18"/>
                <w:color w:val="auto"/>
              </w:rPr>
              <w:t>Lawrence Park</w:t>
            </w:r>
          </w:p>
        </w:tc>
        <w:tc>
          <w:tcPr>
            <w:tcW w:w="340" w:type="dxa"/>
            <w:vAlign w:val="bottom"/>
          </w:tcPr>
          <w:p>
            <w:pPr>
              <w:spacing w:after="0"/>
              <w:rPr>
                <w:sz w:val="18"/>
                <w:szCs w:val="18"/>
                <w:color w:val="auto"/>
              </w:rPr>
            </w:pPr>
          </w:p>
        </w:tc>
        <w:tc>
          <w:tcPr>
            <w:tcW w:w="1820" w:type="dxa"/>
            <w:vAlign w:val="bottom"/>
          </w:tcPr>
          <w:p>
            <w:pPr>
              <w:ind w:left="60"/>
              <w:spacing w:after="0"/>
              <w:rPr>
                <w:sz w:val="20"/>
                <w:szCs w:val="20"/>
                <w:color w:val="auto"/>
              </w:rPr>
            </w:pPr>
            <w:r>
              <w:rPr>
                <w:rFonts w:ascii="Arial" w:cs="Arial" w:eastAsia="Arial" w:hAnsi="Arial"/>
                <w:sz w:val="18"/>
                <w:szCs w:val="18"/>
                <w:color w:val="auto"/>
              </w:rPr>
              <w:t>Philadelphia, PA-NJ</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1980</w:t>
            </w:r>
          </w:p>
        </w:tc>
        <w:tc>
          <w:tcPr>
            <w:tcW w:w="680" w:type="dxa"/>
            <w:vAlign w:val="bottom"/>
          </w:tcPr>
          <w:p>
            <w:pPr>
              <w:jc w:val="right"/>
              <w:spacing w:after="0"/>
              <w:rPr>
                <w:sz w:val="20"/>
                <w:szCs w:val="20"/>
                <w:color w:val="auto"/>
              </w:rPr>
            </w:pPr>
            <w:r>
              <w:rPr>
                <w:rFonts w:ascii="Arial" w:cs="Arial" w:eastAsia="Arial" w:hAnsi="Arial"/>
                <w:sz w:val="18"/>
                <w:szCs w:val="18"/>
                <w:color w:val="auto"/>
              </w:rPr>
              <w:t>29,066</w:t>
            </w:r>
          </w:p>
        </w:tc>
        <w:tc>
          <w:tcPr>
            <w:tcW w:w="800" w:type="dxa"/>
            <w:vAlign w:val="bottom"/>
          </w:tcPr>
          <w:p>
            <w:pPr>
              <w:jc w:val="right"/>
              <w:spacing w:after="0"/>
              <w:rPr>
                <w:sz w:val="20"/>
                <w:szCs w:val="20"/>
                <w:color w:val="auto"/>
              </w:rPr>
            </w:pPr>
            <w:r>
              <w:rPr>
                <w:rFonts w:ascii="Arial" w:cs="Arial" w:eastAsia="Arial" w:hAnsi="Arial"/>
                <w:sz w:val="18"/>
                <w:szCs w:val="18"/>
                <w:color w:val="auto"/>
              </w:rPr>
              <w:t>29,987</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353,000</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53,000</w:t>
            </w:r>
          </w:p>
        </w:tc>
        <w:tc>
          <w:tcPr>
            <w:tcW w:w="1080" w:type="dxa"/>
            <w:vAlign w:val="bottom"/>
          </w:tcPr>
          <w:p>
            <w:pPr>
              <w:ind w:left="60"/>
              <w:spacing w:after="0"/>
              <w:rPr>
                <w:sz w:val="20"/>
                <w:szCs w:val="20"/>
                <w:color w:val="auto"/>
              </w:rPr>
            </w:pPr>
            <w:r>
              <w:rPr>
                <w:rFonts w:ascii="Arial" w:cs="Arial" w:eastAsia="Arial" w:hAnsi="Arial"/>
                <w:sz w:val="18"/>
                <w:szCs w:val="18"/>
                <w:color w:val="auto"/>
              </w:rPr>
              <w:t>Acme</w:t>
            </w:r>
          </w:p>
        </w:tc>
        <w:tc>
          <w:tcPr>
            <w:tcW w:w="1880" w:type="dxa"/>
            <w:vAlign w:val="bottom"/>
          </w:tcPr>
          <w:p>
            <w:pPr>
              <w:ind w:left="120"/>
              <w:spacing w:after="0"/>
              <w:rPr>
                <w:sz w:val="20"/>
                <w:szCs w:val="20"/>
                <w:color w:val="auto"/>
              </w:rPr>
            </w:pPr>
            <w:r>
              <w:rPr>
                <w:rFonts w:ascii="Arial" w:cs="Arial" w:eastAsia="Arial" w:hAnsi="Arial"/>
                <w:sz w:val="18"/>
                <w:szCs w:val="18"/>
                <w:color w:val="auto"/>
              </w:rPr>
              <w:t>CHI / TJ Maxx /</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auto"/>
              </w:rPr>
              <w:t>Markets</w:t>
            </w:r>
          </w:p>
        </w:tc>
        <w:tc>
          <w:tcPr>
            <w:tcW w:w="1880" w:type="dxa"/>
            <w:vAlign w:val="bottom"/>
          </w:tcPr>
          <w:p>
            <w:pPr>
              <w:ind w:left="120"/>
              <w:spacing w:after="0"/>
              <w:rPr>
                <w:sz w:val="20"/>
                <w:szCs w:val="20"/>
                <w:color w:val="auto"/>
              </w:rPr>
            </w:pPr>
            <w:r>
              <w:rPr>
                <w:rFonts w:ascii="Arial" w:cs="Arial" w:eastAsia="Arial" w:hAnsi="Arial"/>
                <w:sz w:val="18"/>
                <w:szCs w:val="18"/>
                <w:color w:val="auto"/>
              </w:rPr>
              <w:t>HomeGoods</w:t>
            </w:r>
          </w:p>
        </w:tc>
        <w:tc>
          <w:tcPr>
            <w:tcW w:w="0" w:type="dxa"/>
            <w:vAlign w:val="bottom"/>
          </w:tcPr>
          <w:p>
            <w:pPr>
              <w:spacing w:after="0"/>
              <w:rPr>
                <w:sz w:val="1"/>
                <w:szCs w:val="1"/>
                <w:color w:val="auto"/>
              </w:rPr>
            </w:pPr>
          </w:p>
        </w:tc>
      </w:tr>
      <w:tr>
        <w:trPr>
          <w:trHeight w:val="210"/>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Northeast</w:t>
            </w:r>
          </w:p>
        </w:tc>
        <w:tc>
          <w:tcPr>
            <w:tcW w:w="340" w:type="dxa"/>
            <w:vAlign w:val="bottom"/>
            <w:shd w:val="clear" w:color="auto" w:fill="CCEEFF"/>
          </w:tcPr>
          <w:p>
            <w:pPr>
              <w:spacing w:after="0"/>
              <w:rPr>
                <w:sz w:val="18"/>
                <w:szCs w:val="18"/>
                <w:color w:val="auto"/>
              </w:rPr>
            </w:pPr>
          </w:p>
        </w:tc>
        <w:tc>
          <w:tcPr>
            <w:tcW w:w="1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Philadelphia, PA-NJ</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1983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22,437</w:t>
            </w:r>
          </w:p>
        </w:tc>
        <w:tc>
          <w:tcPr>
            <w:tcW w:w="8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287,000</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w:t>
            </w: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Burlington Coat /</w:t>
            </w:r>
          </w:p>
        </w:tc>
        <w:tc>
          <w:tcPr>
            <w:tcW w:w="0" w:type="dxa"/>
            <w:vAlign w:val="bottom"/>
          </w:tcPr>
          <w:p>
            <w:pPr>
              <w:spacing w:after="0"/>
              <w:rPr>
                <w:sz w:val="1"/>
                <w:szCs w:val="1"/>
                <w:color w:val="auto"/>
              </w:rPr>
            </w:pPr>
          </w:p>
        </w:tc>
      </w:tr>
      <w:tr>
        <w:trPr>
          <w:trHeight w:val="224"/>
        </w:trPr>
        <w:tc>
          <w:tcPr>
            <w:tcW w:w="17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Marshalls</w:t>
            </w:r>
          </w:p>
        </w:tc>
        <w:tc>
          <w:tcPr>
            <w:tcW w:w="0" w:type="dxa"/>
            <w:vAlign w:val="bottom"/>
          </w:tcPr>
          <w:p>
            <w:pPr>
              <w:spacing w:after="0"/>
              <w:rPr>
                <w:sz w:val="1"/>
                <w:szCs w:val="1"/>
                <w:color w:val="auto"/>
              </w:rPr>
            </w:pPr>
          </w:p>
        </w:tc>
      </w:tr>
      <w:tr>
        <w:trPr>
          <w:trHeight w:val="208"/>
        </w:trPr>
        <w:tc>
          <w:tcPr>
            <w:tcW w:w="1780" w:type="dxa"/>
            <w:vAlign w:val="bottom"/>
          </w:tcPr>
          <w:p>
            <w:pPr>
              <w:spacing w:after="0"/>
              <w:rPr>
                <w:sz w:val="20"/>
                <w:szCs w:val="20"/>
                <w:color w:val="auto"/>
              </w:rPr>
            </w:pPr>
            <w:r>
              <w:rPr>
                <w:rFonts w:ascii="Arial" w:cs="Arial" w:eastAsia="Arial" w:hAnsi="Arial"/>
                <w:sz w:val="18"/>
                <w:szCs w:val="18"/>
                <w:color w:val="auto"/>
              </w:rPr>
              <w:t>Town Center of New</w:t>
            </w:r>
          </w:p>
        </w:tc>
        <w:tc>
          <w:tcPr>
            <w:tcW w:w="340" w:type="dxa"/>
            <w:vAlign w:val="bottom"/>
          </w:tcPr>
          <w:p>
            <w:pPr>
              <w:spacing w:after="0"/>
              <w:rPr>
                <w:sz w:val="18"/>
                <w:szCs w:val="18"/>
                <w:color w:val="auto"/>
              </w:rPr>
            </w:pPr>
          </w:p>
        </w:tc>
        <w:tc>
          <w:tcPr>
            <w:tcW w:w="1820" w:type="dxa"/>
            <w:vAlign w:val="bottom"/>
          </w:tcPr>
          <w:p>
            <w:pPr>
              <w:ind w:left="60"/>
              <w:spacing w:after="0"/>
              <w:rPr>
                <w:sz w:val="20"/>
                <w:szCs w:val="20"/>
                <w:color w:val="auto"/>
              </w:rPr>
            </w:pPr>
            <w:r>
              <w:rPr>
                <w:rFonts w:ascii="Arial" w:cs="Arial" w:eastAsia="Arial" w:hAnsi="Arial"/>
                <w:sz w:val="18"/>
                <w:szCs w:val="18"/>
                <w:color w:val="auto"/>
              </w:rPr>
              <w:t>Philadelphia, PA-NJ</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2006</w:t>
            </w:r>
          </w:p>
        </w:tc>
        <w:tc>
          <w:tcPr>
            <w:tcW w:w="680" w:type="dxa"/>
            <w:vAlign w:val="bottom"/>
          </w:tcPr>
          <w:p>
            <w:pPr>
              <w:jc w:val="right"/>
              <w:spacing w:after="0"/>
              <w:rPr>
                <w:sz w:val="20"/>
                <w:szCs w:val="20"/>
                <w:color w:val="auto"/>
              </w:rPr>
            </w:pPr>
            <w:r>
              <w:rPr>
                <w:rFonts w:ascii="Arial" w:cs="Arial" w:eastAsia="Arial" w:hAnsi="Arial"/>
                <w:sz w:val="18"/>
                <w:szCs w:val="18"/>
                <w:color w:val="auto"/>
              </w:rPr>
              <w:t>13,911</w:t>
            </w:r>
          </w:p>
        </w:tc>
        <w:tc>
          <w:tcPr>
            <w:tcW w:w="80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125,000</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36,000</w:t>
            </w:r>
          </w:p>
        </w:tc>
        <w:tc>
          <w:tcPr>
            <w:tcW w:w="1080" w:type="dxa"/>
            <w:vAlign w:val="bottom"/>
          </w:tcPr>
          <w:p>
            <w:pPr>
              <w:ind w:left="60"/>
              <w:spacing w:after="0"/>
              <w:rPr>
                <w:sz w:val="20"/>
                <w:szCs w:val="20"/>
                <w:color w:val="auto"/>
              </w:rPr>
            </w:pPr>
            <w:r>
              <w:rPr>
                <w:rFonts w:ascii="Arial" w:cs="Arial" w:eastAsia="Arial" w:hAnsi="Arial"/>
                <w:sz w:val="18"/>
                <w:szCs w:val="18"/>
                <w:color w:val="auto"/>
              </w:rPr>
              <w:t>Giant Food</w:t>
            </w:r>
          </w:p>
        </w:tc>
        <w:tc>
          <w:tcPr>
            <w:tcW w:w="1880" w:type="dxa"/>
            <w:vAlign w:val="bottom"/>
          </w:tcPr>
          <w:p>
            <w:pPr>
              <w:ind w:left="120"/>
              <w:spacing w:after="0"/>
              <w:rPr>
                <w:sz w:val="20"/>
                <w:szCs w:val="20"/>
                <w:color w:val="auto"/>
              </w:rPr>
            </w:pPr>
            <w:r>
              <w:rPr>
                <w:rFonts w:ascii="Arial" w:cs="Arial" w:eastAsia="Arial" w:hAnsi="Arial"/>
                <w:sz w:val="18"/>
                <w:szCs w:val="18"/>
                <w:color w:val="auto"/>
              </w:rPr>
              <w:t>Rite Aid</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rPr>
              <w:t>Britain</w:t>
            </w:r>
          </w:p>
        </w:tc>
        <w:tc>
          <w:tcPr>
            <w:tcW w:w="3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Willow Grove</w:t>
            </w:r>
          </w:p>
        </w:tc>
        <w:tc>
          <w:tcPr>
            <w:tcW w:w="340" w:type="dxa"/>
            <w:vAlign w:val="bottom"/>
            <w:shd w:val="clear" w:color="auto" w:fill="CCEEFF"/>
          </w:tcPr>
          <w:p>
            <w:pPr>
              <w:spacing w:after="0"/>
              <w:rPr>
                <w:sz w:val="18"/>
                <w:szCs w:val="18"/>
                <w:color w:val="auto"/>
              </w:rPr>
            </w:pPr>
          </w:p>
        </w:tc>
        <w:tc>
          <w:tcPr>
            <w:tcW w:w="1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Philadelphia, PA-NJ</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1984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26,772</w:t>
            </w:r>
          </w:p>
        </w:tc>
        <w:tc>
          <w:tcPr>
            <w:tcW w:w="8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215,000</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Barnes &amp; Noble /</w:t>
            </w:r>
          </w:p>
        </w:tc>
        <w:tc>
          <w:tcPr>
            <w:tcW w:w="0" w:type="dxa"/>
            <w:vAlign w:val="bottom"/>
          </w:tcPr>
          <w:p>
            <w:pPr>
              <w:spacing w:after="0"/>
              <w:rPr>
                <w:sz w:val="1"/>
                <w:szCs w:val="1"/>
                <w:color w:val="auto"/>
              </w:rPr>
            </w:pPr>
          </w:p>
        </w:tc>
      </w:tr>
      <w:tr>
        <w:trPr>
          <w:trHeight w:val="224"/>
        </w:trPr>
        <w:tc>
          <w:tcPr>
            <w:tcW w:w="17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Marshalls / Toys R Us</w:t>
            </w:r>
          </w:p>
        </w:tc>
        <w:tc>
          <w:tcPr>
            <w:tcW w:w="0" w:type="dxa"/>
            <w:vAlign w:val="bottom"/>
          </w:tcPr>
          <w:p>
            <w:pPr>
              <w:spacing w:after="0"/>
              <w:rPr>
                <w:sz w:val="1"/>
                <w:szCs w:val="1"/>
                <w:color w:val="auto"/>
              </w:rPr>
            </w:pPr>
          </w:p>
        </w:tc>
      </w:tr>
      <w:tr>
        <w:trPr>
          <w:trHeight w:val="208"/>
        </w:trPr>
        <w:tc>
          <w:tcPr>
            <w:tcW w:w="1780" w:type="dxa"/>
            <w:vAlign w:val="bottom"/>
          </w:tcPr>
          <w:p>
            <w:pPr>
              <w:spacing w:after="0"/>
              <w:rPr>
                <w:sz w:val="20"/>
                <w:szCs w:val="20"/>
                <w:color w:val="auto"/>
              </w:rPr>
            </w:pPr>
            <w:r>
              <w:rPr>
                <w:rFonts w:ascii="Arial" w:cs="Arial" w:eastAsia="Arial" w:hAnsi="Arial"/>
                <w:sz w:val="18"/>
                <w:szCs w:val="18"/>
                <w:color w:val="auto"/>
              </w:rPr>
              <w:t>Wynnewood</w:t>
            </w:r>
          </w:p>
        </w:tc>
        <w:tc>
          <w:tcPr>
            <w:tcW w:w="340" w:type="dxa"/>
            <w:vAlign w:val="bottom"/>
          </w:tcPr>
          <w:p>
            <w:pPr>
              <w:spacing w:after="0"/>
              <w:rPr>
                <w:sz w:val="18"/>
                <w:szCs w:val="18"/>
                <w:color w:val="auto"/>
              </w:rPr>
            </w:pPr>
          </w:p>
        </w:tc>
        <w:tc>
          <w:tcPr>
            <w:tcW w:w="1820" w:type="dxa"/>
            <w:vAlign w:val="bottom"/>
          </w:tcPr>
          <w:p>
            <w:pPr>
              <w:ind w:left="60"/>
              <w:spacing w:after="0"/>
              <w:rPr>
                <w:sz w:val="20"/>
                <w:szCs w:val="20"/>
                <w:color w:val="auto"/>
              </w:rPr>
            </w:pPr>
            <w:r>
              <w:rPr>
                <w:rFonts w:ascii="Arial" w:cs="Arial" w:eastAsia="Arial" w:hAnsi="Arial"/>
                <w:sz w:val="18"/>
                <w:szCs w:val="18"/>
                <w:color w:val="auto"/>
              </w:rPr>
              <w:t>Philadelphia, PA-NJ</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1996</w:t>
            </w:r>
          </w:p>
        </w:tc>
        <w:tc>
          <w:tcPr>
            <w:tcW w:w="680" w:type="dxa"/>
            <w:vAlign w:val="bottom"/>
          </w:tcPr>
          <w:p>
            <w:pPr>
              <w:jc w:val="right"/>
              <w:spacing w:after="0"/>
              <w:rPr>
                <w:sz w:val="20"/>
                <w:szCs w:val="20"/>
                <w:color w:val="auto"/>
              </w:rPr>
            </w:pPr>
            <w:r>
              <w:rPr>
                <w:rFonts w:ascii="Arial" w:cs="Arial" w:eastAsia="Arial" w:hAnsi="Arial"/>
                <w:sz w:val="18"/>
                <w:szCs w:val="18"/>
                <w:color w:val="auto"/>
              </w:rPr>
              <w:t>36,023</w:t>
            </w:r>
          </w:p>
        </w:tc>
        <w:tc>
          <w:tcPr>
            <w:tcW w:w="800" w:type="dxa"/>
            <w:vAlign w:val="bottom"/>
          </w:tcPr>
          <w:p>
            <w:pPr>
              <w:jc w:val="right"/>
              <w:spacing w:after="0"/>
              <w:rPr>
                <w:sz w:val="20"/>
                <w:szCs w:val="20"/>
                <w:color w:val="auto"/>
              </w:rPr>
            </w:pPr>
            <w:r>
              <w:rPr>
                <w:rFonts w:ascii="Arial" w:cs="Arial" w:eastAsia="Arial" w:hAnsi="Arial"/>
                <w:sz w:val="18"/>
                <w:szCs w:val="18"/>
                <w:color w:val="auto"/>
              </w:rPr>
              <w:t>30,560</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255,000</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98%</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98,000</w:t>
            </w:r>
          </w:p>
        </w:tc>
        <w:tc>
          <w:tcPr>
            <w:tcW w:w="1080" w:type="dxa"/>
            <w:vAlign w:val="bottom"/>
          </w:tcPr>
          <w:p>
            <w:pPr>
              <w:ind w:left="60"/>
              <w:spacing w:after="0"/>
              <w:rPr>
                <w:sz w:val="20"/>
                <w:szCs w:val="20"/>
                <w:color w:val="auto"/>
              </w:rPr>
            </w:pPr>
            <w:r>
              <w:rPr>
                <w:rFonts w:ascii="Arial" w:cs="Arial" w:eastAsia="Arial" w:hAnsi="Arial"/>
                <w:sz w:val="18"/>
                <w:szCs w:val="18"/>
                <w:color w:val="auto"/>
              </w:rPr>
              <w:t>Genuardi’s</w:t>
            </w:r>
          </w:p>
        </w:tc>
        <w:tc>
          <w:tcPr>
            <w:tcW w:w="1880" w:type="dxa"/>
            <w:vAlign w:val="bottom"/>
          </w:tcPr>
          <w:p>
            <w:pPr>
              <w:ind w:left="120"/>
              <w:spacing w:after="0"/>
              <w:rPr>
                <w:sz w:val="20"/>
                <w:szCs w:val="20"/>
                <w:color w:val="auto"/>
              </w:rPr>
            </w:pPr>
            <w:r>
              <w:rPr>
                <w:rFonts w:ascii="Arial" w:cs="Arial" w:eastAsia="Arial" w:hAnsi="Arial"/>
                <w:sz w:val="18"/>
                <w:szCs w:val="18"/>
                <w:color w:val="auto"/>
              </w:rPr>
              <w:t>Bed, Bath &amp; Beyond /</w:t>
            </w:r>
          </w:p>
        </w:tc>
        <w:tc>
          <w:tcPr>
            <w:tcW w:w="0" w:type="dxa"/>
            <w:vAlign w:val="bottom"/>
          </w:tcPr>
          <w:p>
            <w:pPr>
              <w:spacing w:after="0"/>
              <w:rPr>
                <w:sz w:val="1"/>
                <w:szCs w:val="1"/>
                <w:color w:val="auto"/>
              </w:rPr>
            </w:pPr>
          </w:p>
        </w:tc>
      </w:tr>
      <w:tr>
        <w:trPr>
          <w:trHeight w:val="231"/>
        </w:trPr>
        <w:tc>
          <w:tcPr>
            <w:tcW w:w="1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80" w:type="dxa"/>
            <w:vAlign w:val="bottom"/>
          </w:tcPr>
          <w:p>
            <w:pPr>
              <w:ind w:left="120"/>
              <w:spacing w:after="0"/>
              <w:rPr>
                <w:sz w:val="20"/>
                <w:szCs w:val="20"/>
                <w:color w:val="auto"/>
              </w:rPr>
            </w:pPr>
            <w:r>
              <w:rPr>
                <w:rFonts w:ascii="Arial" w:cs="Arial" w:eastAsia="Arial" w:hAnsi="Arial"/>
                <w:sz w:val="18"/>
                <w:szCs w:val="18"/>
                <w:color w:val="auto"/>
              </w:rPr>
              <w:t>Borders / Old Navy</w:t>
            </w:r>
          </w:p>
        </w:tc>
        <w:tc>
          <w:tcPr>
            <w:tcW w:w="0" w:type="dxa"/>
            <w:vAlign w:val="bottom"/>
          </w:tcPr>
          <w:p>
            <w:pPr>
              <w:spacing w:after="0"/>
              <w:rPr>
                <w:sz w:val="1"/>
                <w:szCs w:val="1"/>
                <w:color w:val="auto"/>
              </w:rPr>
            </w:pPr>
          </w:p>
        </w:tc>
      </w:tr>
      <w:tr>
        <w:trPr>
          <w:trHeight w:val="202"/>
        </w:trPr>
        <w:tc>
          <w:tcPr>
            <w:tcW w:w="1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2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b w:val="1"/>
                <w:bCs w:val="1"/>
                <w:color w:val="auto"/>
              </w:rPr>
              <w:t>Total Philadelphia</w:t>
            </w:r>
          </w:p>
        </w:tc>
        <w:tc>
          <w:tcPr>
            <w:tcW w:w="9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244,134</w:t>
            </w:r>
          </w:p>
        </w:tc>
        <w:tc>
          <w:tcPr>
            <w:tcW w:w="8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w w:val="92"/>
              </w:rPr>
              <w:t>2,557,000</w:t>
            </w:r>
          </w:p>
        </w:tc>
        <w:tc>
          <w:tcPr>
            <w:tcW w:w="600" w:type="dxa"/>
            <w:vAlign w:val="bottom"/>
            <w:gridSpan w:val="2"/>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96%</w:t>
            </w:r>
          </w:p>
        </w:tc>
        <w:tc>
          <w:tcPr>
            <w:tcW w:w="6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2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w w:val="99"/>
              </w:rPr>
              <w:t>Metropolitan Area</w:t>
            </w:r>
          </w:p>
        </w:tc>
        <w:tc>
          <w:tcPr>
            <w:tcW w:w="9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b w:val="1"/>
                <w:bCs w:val="1"/>
                <w:color w:val="auto"/>
              </w:rPr>
              <w:t>New England</w:t>
            </w:r>
          </w:p>
        </w:tc>
        <w:tc>
          <w:tcPr>
            <w:tcW w:w="3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Assembly</w:t>
            </w:r>
          </w:p>
        </w:tc>
        <w:tc>
          <w:tcPr>
            <w:tcW w:w="340" w:type="dxa"/>
            <w:vAlign w:val="bottom"/>
            <w:shd w:val="clear" w:color="auto" w:fill="CCEEFF"/>
          </w:tcPr>
          <w:p>
            <w:pPr>
              <w:spacing w:after="0"/>
              <w:rPr>
                <w:sz w:val="18"/>
                <w:szCs w:val="18"/>
                <w:color w:val="auto"/>
              </w:rPr>
            </w:pPr>
          </w:p>
        </w:tc>
        <w:tc>
          <w:tcPr>
            <w:tcW w:w="1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Boston-Cambridge-</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2005-2006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118,525</w:t>
            </w:r>
          </w:p>
        </w:tc>
        <w:tc>
          <w:tcPr>
            <w:tcW w:w="8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554,000</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AC Moore / Bed, Bath</w:t>
            </w: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w w:val="88"/>
              </w:rPr>
              <w:t>Square/Sturtevant Street</w:t>
            </w:r>
          </w:p>
        </w:tc>
        <w:tc>
          <w:tcPr>
            <w:tcW w:w="340" w:type="dxa"/>
            <w:vAlign w:val="bottom"/>
            <w:shd w:val="clear" w:color="auto" w:fill="CCEEFF"/>
          </w:tcPr>
          <w:p>
            <w:pPr>
              <w:spacing w:after="0"/>
              <w:rPr>
                <w:sz w:val="18"/>
                <w:szCs w:val="18"/>
                <w:color w:val="auto"/>
              </w:rPr>
            </w:pPr>
          </w:p>
        </w:tc>
        <w:tc>
          <w:tcPr>
            <w:tcW w:w="1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Quincy, MA-NH</w:t>
            </w: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&amp; Beyond / Christmas</w:t>
            </w: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Tree Shops / Kmart /</w:t>
            </w: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Staples / Sports</w:t>
            </w:r>
          </w:p>
        </w:tc>
        <w:tc>
          <w:tcPr>
            <w:tcW w:w="0" w:type="dxa"/>
            <w:vAlign w:val="bottom"/>
          </w:tcPr>
          <w:p>
            <w:pPr>
              <w:spacing w:after="0"/>
              <w:rPr>
                <w:sz w:val="1"/>
                <w:szCs w:val="1"/>
                <w:color w:val="auto"/>
              </w:rPr>
            </w:pPr>
          </w:p>
        </w:tc>
      </w:tr>
      <w:tr>
        <w:trPr>
          <w:trHeight w:val="224"/>
        </w:trPr>
        <w:tc>
          <w:tcPr>
            <w:tcW w:w="17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Authority / TJ Maxx</w:t>
            </w:r>
          </w:p>
        </w:tc>
        <w:tc>
          <w:tcPr>
            <w:tcW w:w="0" w:type="dxa"/>
            <w:vAlign w:val="bottom"/>
          </w:tcPr>
          <w:p>
            <w:pPr>
              <w:spacing w:after="0"/>
              <w:rPr>
                <w:sz w:val="1"/>
                <w:szCs w:val="1"/>
                <w:color w:val="auto"/>
              </w:rPr>
            </w:pPr>
          </w:p>
        </w:tc>
      </w:tr>
      <w:tr>
        <w:trPr>
          <w:trHeight w:val="208"/>
        </w:trPr>
        <w:tc>
          <w:tcPr>
            <w:tcW w:w="1780" w:type="dxa"/>
            <w:vAlign w:val="bottom"/>
          </w:tcPr>
          <w:p>
            <w:pPr>
              <w:spacing w:after="0"/>
              <w:rPr>
                <w:sz w:val="20"/>
                <w:szCs w:val="20"/>
                <w:color w:val="auto"/>
              </w:rPr>
            </w:pPr>
            <w:r>
              <w:rPr>
                <w:rFonts w:ascii="Arial" w:cs="Arial" w:eastAsia="Arial" w:hAnsi="Arial"/>
                <w:sz w:val="18"/>
                <w:szCs w:val="18"/>
                <w:color w:val="auto"/>
              </w:rPr>
              <w:t>Chelsea Commons</w:t>
            </w:r>
          </w:p>
        </w:tc>
        <w:tc>
          <w:tcPr>
            <w:tcW w:w="340" w:type="dxa"/>
            <w:vAlign w:val="bottom"/>
          </w:tcPr>
          <w:p>
            <w:pPr>
              <w:spacing w:after="0"/>
              <w:rPr>
                <w:sz w:val="18"/>
                <w:szCs w:val="18"/>
                <w:color w:val="auto"/>
              </w:rPr>
            </w:pPr>
          </w:p>
        </w:tc>
        <w:tc>
          <w:tcPr>
            <w:tcW w:w="1820" w:type="dxa"/>
            <w:vAlign w:val="bottom"/>
          </w:tcPr>
          <w:p>
            <w:pPr>
              <w:ind w:left="60"/>
              <w:spacing w:after="0"/>
              <w:rPr>
                <w:sz w:val="20"/>
                <w:szCs w:val="20"/>
                <w:color w:val="auto"/>
              </w:rPr>
            </w:pPr>
            <w:r>
              <w:rPr>
                <w:rFonts w:ascii="Arial" w:cs="Arial" w:eastAsia="Arial" w:hAnsi="Arial"/>
                <w:sz w:val="18"/>
                <w:szCs w:val="18"/>
                <w:color w:val="auto"/>
              </w:rPr>
              <w:t>Boston-Cambridge-</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w w:val="99"/>
              </w:rPr>
              <w:t>2006-2007</w:t>
            </w:r>
          </w:p>
        </w:tc>
        <w:tc>
          <w:tcPr>
            <w:tcW w:w="680" w:type="dxa"/>
            <w:vAlign w:val="bottom"/>
          </w:tcPr>
          <w:p>
            <w:pPr>
              <w:jc w:val="right"/>
              <w:spacing w:after="0"/>
              <w:rPr>
                <w:sz w:val="20"/>
                <w:szCs w:val="20"/>
                <w:color w:val="auto"/>
              </w:rPr>
            </w:pPr>
            <w:r>
              <w:rPr>
                <w:rFonts w:ascii="Arial" w:cs="Arial" w:eastAsia="Arial" w:hAnsi="Arial"/>
                <w:sz w:val="18"/>
                <w:szCs w:val="18"/>
                <w:color w:val="auto"/>
              </w:rPr>
              <w:t>20,634</w:t>
            </w:r>
          </w:p>
        </w:tc>
        <w:tc>
          <w:tcPr>
            <w:tcW w:w="800" w:type="dxa"/>
            <w:vAlign w:val="bottom"/>
          </w:tcPr>
          <w:p>
            <w:pPr>
              <w:jc w:val="right"/>
              <w:spacing w:after="0"/>
              <w:rPr>
                <w:sz w:val="20"/>
                <w:szCs w:val="20"/>
                <w:color w:val="auto"/>
              </w:rPr>
            </w:pPr>
            <w:r>
              <w:rPr>
                <w:rFonts w:ascii="Arial" w:cs="Arial" w:eastAsia="Arial" w:hAnsi="Arial"/>
                <w:sz w:val="18"/>
                <w:szCs w:val="18"/>
                <w:color w:val="auto"/>
              </w:rPr>
              <w:t>8,318</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196,000</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16,000</w:t>
            </w:r>
          </w:p>
        </w:tc>
        <w:tc>
          <w:tcPr>
            <w:tcW w:w="1080" w:type="dxa"/>
            <w:vAlign w:val="bottom"/>
          </w:tcPr>
          <w:p>
            <w:pPr>
              <w:ind w:left="60"/>
              <w:spacing w:after="0"/>
              <w:rPr>
                <w:sz w:val="20"/>
                <w:szCs w:val="20"/>
                <w:color w:val="auto"/>
              </w:rPr>
            </w:pPr>
            <w:r>
              <w:rPr>
                <w:rFonts w:ascii="Arial" w:cs="Arial" w:eastAsia="Arial" w:hAnsi="Arial"/>
                <w:sz w:val="18"/>
                <w:szCs w:val="18"/>
                <w:color w:val="auto"/>
              </w:rPr>
              <w:t>Sav-A-Lot</w:t>
            </w:r>
          </w:p>
        </w:tc>
        <w:tc>
          <w:tcPr>
            <w:tcW w:w="1880" w:type="dxa"/>
            <w:vAlign w:val="bottom"/>
          </w:tcPr>
          <w:p>
            <w:pPr>
              <w:ind w:left="120"/>
              <w:spacing w:after="0"/>
              <w:rPr>
                <w:sz w:val="20"/>
                <w:szCs w:val="20"/>
                <w:color w:val="auto"/>
              </w:rPr>
            </w:pPr>
            <w:r>
              <w:rPr>
                <w:rFonts w:ascii="Arial" w:cs="Arial" w:eastAsia="Arial" w:hAnsi="Arial"/>
                <w:sz w:val="18"/>
                <w:szCs w:val="18"/>
                <w:color w:val="auto"/>
              </w:rPr>
              <w:t>Home Depot</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ind w:left="60"/>
              <w:spacing w:after="0"/>
              <w:rPr>
                <w:sz w:val="20"/>
                <w:szCs w:val="20"/>
                <w:color w:val="auto"/>
              </w:rPr>
            </w:pPr>
            <w:r>
              <w:rPr>
                <w:rFonts w:ascii="Arial" w:cs="Arial" w:eastAsia="Arial" w:hAnsi="Arial"/>
                <w:sz w:val="18"/>
                <w:szCs w:val="18"/>
                <w:color w:val="auto"/>
              </w:rPr>
              <w:t>Quincy, MA-NH</w:t>
            </w: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1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jc w:val="right"/>
              <w:ind w:right="512"/>
              <w:spacing w:after="0"/>
              <w:rPr>
                <w:sz w:val="20"/>
                <w:szCs w:val="20"/>
                <w:color w:val="auto"/>
              </w:rPr>
            </w:pPr>
            <w:r>
              <w:rPr>
                <w:rFonts w:ascii="Arial" w:cs="Arial" w:eastAsia="Arial" w:hAnsi="Arial"/>
                <w:sz w:val="18"/>
                <w:szCs w:val="18"/>
                <w:color w:val="auto"/>
                <w:w w:val="89"/>
              </w:rPr>
              <w:t>17</w:t>
            </w: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sectPr>
      </w:pPr>
    </w:p>
    <w:bookmarkStart w:id="22" w:name="page23"/>
    <w:bookmarkEnd w:id="22"/>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Status Report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Mortgage or</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Grocery</w:t>
            </w:r>
          </w:p>
        </w:tc>
        <w:tc>
          <w:tcPr>
            <w:tcW w:w="9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Grocery</w:t>
            </w: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ind w:right="192"/>
              <w:spacing w:after="0" w:line="135" w:lineRule="exact"/>
              <w:rPr>
                <w:sz w:val="20"/>
                <w:szCs w:val="20"/>
                <w:color w:val="auto"/>
              </w:rPr>
            </w:pPr>
            <w:r>
              <w:rPr>
                <w:rFonts w:ascii="Arial" w:cs="Arial" w:eastAsia="Arial" w:hAnsi="Arial"/>
                <w:sz w:val="14"/>
                <w:szCs w:val="14"/>
                <w:b w:val="1"/>
                <w:bCs w:val="1"/>
                <w:color w:val="auto"/>
              </w:rPr>
              <w:t>Year</w:t>
            </w:r>
          </w:p>
        </w:tc>
        <w:tc>
          <w:tcPr>
            <w:tcW w:w="80" w:type="dxa"/>
            <w:vAlign w:val="bottom"/>
          </w:tcPr>
          <w:p>
            <w:pPr>
              <w:spacing w:after="0"/>
              <w:rPr>
                <w:sz w:val="11"/>
                <w:szCs w:val="11"/>
                <w:color w:val="auto"/>
              </w:rPr>
            </w:pPr>
          </w:p>
        </w:tc>
        <w:tc>
          <w:tcPr>
            <w:tcW w:w="800" w:type="dxa"/>
            <w:vAlign w:val="bottom"/>
          </w:tcPr>
          <w:p>
            <w:pPr>
              <w:jc w:val="right"/>
              <w:ind w:right="162"/>
              <w:spacing w:after="0" w:line="13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Capital Lease</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gridSpan w:val="2"/>
          </w:tcPr>
          <w:p>
            <w:pPr>
              <w:jc w:val="right"/>
              <w:ind w:right="59"/>
              <w:spacing w:after="0" w:line="135"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Anchor</w:t>
            </w:r>
          </w:p>
        </w:tc>
        <w:tc>
          <w:tcPr>
            <w:tcW w:w="9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580" w:type="dxa"/>
            <w:vAlign w:val="bottom"/>
            <w:gridSpan w:val="2"/>
          </w:tcPr>
          <w:p>
            <w:pPr>
              <w:spacing w:after="0"/>
              <w:rPr>
                <w:sz w:val="20"/>
                <w:szCs w:val="20"/>
                <w:color w:val="auto"/>
              </w:rPr>
            </w:pPr>
            <w:r>
              <w:rPr>
                <w:rFonts w:ascii="Arial" w:cs="Arial" w:eastAsia="Arial" w:hAnsi="Arial"/>
                <w:sz w:val="14"/>
                <w:szCs w:val="14"/>
                <w:b w:val="1"/>
                <w:bCs w:val="1"/>
                <w:color w:val="auto"/>
              </w:rPr>
              <w:t>Property Name</w:t>
            </w:r>
          </w:p>
        </w:tc>
        <w:tc>
          <w:tcPr>
            <w:tcW w:w="560" w:type="dxa"/>
            <w:vAlign w:val="bottom"/>
          </w:tcPr>
          <w:p>
            <w:pPr>
              <w:spacing w:after="0"/>
              <w:rPr>
                <w:sz w:val="14"/>
                <w:szCs w:val="14"/>
                <w:color w:val="auto"/>
              </w:rPr>
            </w:pPr>
          </w:p>
        </w:tc>
        <w:tc>
          <w:tcPr>
            <w:tcW w:w="1740" w:type="dxa"/>
            <w:vAlign w:val="bottom"/>
            <w:gridSpan w:val="2"/>
          </w:tcPr>
          <w:p>
            <w:pPr>
              <w:ind w:left="60"/>
              <w:spacing w:after="0"/>
              <w:rPr>
                <w:sz w:val="20"/>
                <w:szCs w:val="20"/>
                <w:color w:val="auto"/>
              </w:rPr>
            </w:pPr>
            <w:r>
              <w:rPr>
                <w:rFonts w:ascii="Arial" w:cs="Arial" w:eastAsia="Arial" w:hAnsi="Arial"/>
                <w:sz w:val="14"/>
                <w:szCs w:val="14"/>
                <w:b w:val="1"/>
                <w:bCs w:val="1"/>
                <w:color w:val="auto"/>
              </w:rPr>
              <w:t>MSA Description</w:t>
            </w:r>
          </w:p>
        </w:tc>
        <w:tc>
          <w:tcPr>
            <w:tcW w:w="80" w:type="dxa"/>
            <w:vAlign w:val="bottom"/>
          </w:tcPr>
          <w:p>
            <w:pPr>
              <w:spacing w:after="0"/>
              <w:rPr>
                <w:sz w:val="14"/>
                <w:szCs w:val="14"/>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b w:val="1"/>
                <w:bCs w:val="1"/>
                <w:color w:val="auto"/>
              </w:rPr>
              <w:t>Acquired</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97"/>
              </w:rPr>
              <w:t>Investment</w:t>
            </w:r>
          </w:p>
        </w:tc>
        <w:tc>
          <w:tcPr>
            <w:tcW w:w="1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Obligation (1)</w:t>
            </w:r>
          </w:p>
        </w:tc>
        <w:tc>
          <w:tcPr>
            <w:tcW w:w="80" w:type="dxa"/>
            <w:vAlign w:val="bottom"/>
          </w:tcPr>
          <w:p>
            <w:pPr>
              <w:spacing w:after="0"/>
              <w:rPr>
                <w:sz w:val="14"/>
                <w:szCs w:val="14"/>
                <w:color w:val="auto"/>
              </w:rPr>
            </w:pPr>
          </w:p>
        </w:tc>
        <w:tc>
          <w:tcPr>
            <w:tcW w:w="800" w:type="dxa"/>
            <w:vAlign w:val="bottom"/>
          </w:tcPr>
          <w:p>
            <w:pPr>
              <w:jc w:val="right"/>
              <w:ind w:right="79"/>
              <w:spacing w:after="0"/>
              <w:rPr>
                <w:sz w:val="20"/>
                <w:szCs w:val="20"/>
                <w:color w:val="auto"/>
              </w:rPr>
            </w:pPr>
            <w:r>
              <w:rPr>
                <w:rFonts w:ascii="Arial" w:cs="Arial" w:eastAsia="Arial" w:hAnsi="Arial"/>
                <w:sz w:val="14"/>
                <w:szCs w:val="14"/>
                <w:b w:val="1"/>
                <w:bCs w:val="1"/>
                <w:color w:val="auto"/>
              </w:rPr>
              <w:t>GLA (2)</w:t>
            </w:r>
          </w:p>
        </w:tc>
        <w:tc>
          <w:tcPr>
            <w:tcW w:w="100" w:type="dxa"/>
            <w:vAlign w:val="bottom"/>
          </w:tcPr>
          <w:p>
            <w:pPr>
              <w:spacing w:after="0"/>
              <w:rPr>
                <w:sz w:val="14"/>
                <w:szCs w:val="14"/>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Leased</w:t>
            </w: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GLA (3)</w:t>
            </w:r>
          </w:p>
        </w:tc>
        <w:tc>
          <w:tcPr>
            <w:tcW w:w="960" w:type="dxa"/>
            <w:vAlign w:val="bottom"/>
          </w:tcPr>
          <w:p>
            <w:pPr>
              <w:ind w:left="160"/>
              <w:spacing w:after="0"/>
              <w:rPr>
                <w:sz w:val="20"/>
                <w:szCs w:val="20"/>
                <w:color w:val="auto"/>
              </w:rPr>
            </w:pPr>
            <w:r>
              <w:rPr>
                <w:rFonts w:ascii="Arial" w:cs="Arial" w:eastAsia="Arial" w:hAnsi="Arial"/>
                <w:sz w:val="14"/>
                <w:szCs w:val="14"/>
                <w:b w:val="1"/>
                <w:bCs w:val="1"/>
                <w:color w:val="auto"/>
              </w:rPr>
              <w:t>Anchor (3)</w:t>
            </w:r>
          </w:p>
        </w:tc>
        <w:tc>
          <w:tcPr>
            <w:tcW w:w="1680" w:type="dxa"/>
            <w:vAlign w:val="bottom"/>
            <w:gridSpan w:val="2"/>
          </w:tcPr>
          <w:p>
            <w:pPr>
              <w:ind w:left="100"/>
              <w:spacing w:after="0"/>
              <w:rPr>
                <w:sz w:val="20"/>
                <w:szCs w:val="20"/>
                <w:color w:val="auto"/>
              </w:rPr>
            </w:pPr>
            <w:r>
              <w:rPr>
                <w:rFonts w:ascii="Arial" w:cs="Arial" w:eastAsia="Arial" w:hAnsi="Arial"/>
                <w:sz w:val="14"/>
                <w:szCs w:val="14"/>
                <w:b w:val="1"/>
                <w:bCs w:val="1"/>
                <w:color w:val="auto"/>
                <w:w w:val="98"/>
              </w:rPr>
              <w:t>Other Principal Tenants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Dedham Plaza</w:t>
            </w:r>
          </w:p>
        </w:tc>
        <w:tc>
          <w:tcPr>
            <w:tcW w:w="5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Boston-Cambridge-</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29,876</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241,000</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91%</w:t>
            </w:r>
          </w:p>
        </w:tc>
        <w:tc>
          <w:tcPr>
            <w:tcW w:w="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80,000</w:t>
            </w: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Star Market</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Quincy, MA-NH</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Linden Square</w:t>
            </w:r>
          </w:p>
        </w:tc>
        <w:tc>
          <w:tcPr>
            <w:tcW w:w="56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Arial" w:cs="Arial" w:eastAsia="Arial" w:hAnsi="Arial"/>
                <w:sz w:val="18"/>
                <w:szCs w:val="18"/>
                <w:color w:val="auto"/>
              </w:rPr>
              <w:t>Boston-Cambridge-</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7"/>
              </w:rPr>
              <w:t>2006-2007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123,738</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146,000</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97%</w:t>
            </w:r>
          </w:p>
        </w:tc>
        <w:tc>
          <w:tcPr>
            <w:tcW w:w="580" w:type="dxa"/>
            <w:vAlign w:val="bottom"/>
            <w:gridSpan w:val="2"/>
          </w:tcPr>
          <w:p>
            <w:pPr>
              <w:spacing w:after="0"/>
              <w:rPr>
                <w:sz w:val="20"/>
                <w:szCs w:val="20"/>
                <w:color w:val="auto"/>
              </w:rPr>
            </w:pPr>
            <w:r>
              <w:rPr>
                <w:rFonts w:ascii="Arial" w:cs="Arial" w:eastAsia="Arial" w:hAnsi="Arial"/>
                <w:sz w:val="18"/>
                <w:szCs w:val="18"/>
                <w:color w:val="auto"/>
              </w:rPr>
              <w:t>33,000</w:t>
            </w:r>
          </w:p>
        </w:tc>
        <w:tc>
          <w:tcPr>
            <w:tcW w:w="960" w:type="dxa"/>
            <w:vAlign w:val="bottom"/>
          </w:tcPr>
          <w:p>
            <w:pPr>
              <w:spacing w:after="0"/>
              <w:rPr>
                <w:sz w:val="20"/>
                <w:szCs w:val="20"/>
                <w:color w:val="auto"/>
              </w:rPr>
            </w:pPr>
            <w:r>
              <w:rPr>
                <w:rFonts w:ascii="Arial" w:cs="Arial" w:eastAsia="Arial" w:hAnsi="Arial"/>
                <w:sz w:val="18"/>
                <w:szCs w:val="18"/>
                <w:color w:val="auto"/>
              </w:rPr>
              <w:t>Roche</w:t>
            </w: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Fitness Club for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Arial" w:cs="Arial" w:eastAsia="Arial" w:hAnsi="Arial"/>
                <w:sz w:val="18"/>
                <w:szCs w:val="18"/>
                <w:color w:val="auto"/>
              </w:rPr>
              <w:t>Quincy, MA-NH</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Brothers</w:t>
            </w: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Women / Wellesley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20"/>
                <w:szCs w:val="20"/>
                <w:color w:val="auto"/>
              </w:rPr>
            </w:pPr>
            <w:r>
              <w:rPr>
                <w:rFonts w:ascii="Arial" w:cs="Arial" w:eastAsia="Arial" w:hAnsi="Arial"/>
                <w:sz w:val="18"/>
                <w:szCs w:val="18"/>
                <w:color w:val="auto"/>
                <w:w w:val="83"/>
              </w:rPr>
              <w:t>Supermarkets</w:t>
            </w: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Volkswagen, Buick</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North Dartmouth</w:t>
            </w:r>
          </w:p>
        </w:tc>
        <w:tc>
          <w:tcPr>
            <w:tcW w:w="5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Boston-Cambridge-</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27,210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183,000</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48,000</w:t>
            </w: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w w:val="92"/>
              </w:rPr>
              <w:t>Stop &amp; Shop</w:t>
            </w:r>
          </w:p>
        </w:tc>
        <w:tc>
          <w:tcPr>
            <w:tcW w:w="1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2"/>
              </w:rPr>
              <w:t>Lowe’s Home Center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Quincy, MA-NH</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Queen Anne Plaza</w:t>
            </w:r>
          </w:p>
        </w:tc>
        <w:tc>
          <w:tcPr>
            <w:tcW w:w="56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Arial" w:cs="Arial" w:eastAsia="Arial" w:hAnsi="Arial"/>
                <w:sz w:val="18"/>
                <w:szCs w:val="18"/>
                <w:color w:val="auto"/>
              </w:rPr>
              <w:t>Boston-Cambridge-</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1994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15,017</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149,000</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98%</w:t>
            </w:r>
          </w:p>
        </w:tc>
        <w:tc>
          <w:tcPr>
            <w:tcW w:w="580" w:type="dxa"/>
            <w:vAlign w:val="bottom"/>
            <w:gridSpan w:val="2"/>
          </w:tcPr>
          <w:p>
            <w:pPr>
              <w:spacing w:after="0"/>
              <w:rPr>
                <w:sz w:val="20"/>
                <w:szCs w:val="20"/>
                <w:color w:val="auto"/>
              </w:rPr>
            </w:pPr>
            <w:r>
              <w:rPr>
                <w:rFonts w:ascii="Arial" w:cs="Arial" w:eastAsia="Arial" w:hAnsi="Arial"/>
                <w:sz w:val="18"/>
                <w:szCs w:val="18"/>
                <w:color w:val="auto"/>
              </w:rPr>
              <w:t>50,000</w:t>
            </w:r>
          </w:p>
        </w:tc>
        <w:tc>
          <w:tcPr>
            <w:tcW w:w="960" w:type="dxa"/>
            <w:vAlign w:val="bottom"/>
          </w:tcPr>
          <w:p>
            <w:pPr>
              <w:spacing w:after="0"/>
              <w:rPr>
                <w:sz w:val="20"/>
                <w:szCs w:val="20"/>
                <w:color w:val="auto"/>
              </w:rPr>
            </w:pPr>
            <w:r>
              <w:rPr>
                <w:rFonts w:ascii="Arial" w:cs="Arial" w:eastAsia="Arial" w:hAnsi="Arial"/>
                <w:sz w:val="18"/>
                <w:szCs w:val="18"/>
                <w:color w:val="auto"/>
              </w:rPr>
              <w:t>Victory</w:t>
            </w: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TJ Maxx</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40" w:type="dxa"/>
            <w:vAlign w:val="bottom"/>
            <w:gridSpan w:val="2"/>
          </w:tcPr>
          <w:p>
            <w:pPr>
              <w:ind w:left="60"/>
              <w:spacing w:after="0"/>
              <w:rPr>
                <w:sz w:val="20"/>
                <w:szCs w:val="20"/>
                <w:color w:val="auto"/>
              </w:rPr>
            </w:pPr>
            <w:r>
              <w:rPr>
                <w:rFonts w:ascii="Arial" w:cs="Arial" w:eastAsia="Arial" w:hAnsi="Arial"/>
                <w:sz w:val="18"/>
                <w:szCs w:val="18"/>
                <w:color w:val="auto"/>
              </w:rPr>
              <w:t>Quincy, MA-NH</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20"/>
                <w:szCs w:val="20"/>
                <w:color w:val="auto"/>
              </w:rPr>
            </w:pPr>
            <w:r>
              <w:rPr>
                <w:rFonts w:ascii="Arial" w:cs="Arial" w:eastAsia="Arial" w:hAnsi="Arial"/>
                <w:sz w:val="18"/>
                <w:szCs w:val="18"/>
                <w:color w:val="auto"/>
                <w:w w:val="91"/>
              </w:rPr>
              <w:t>Supermarket</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Saugus Plaza</w:t>
            </w:r>
          </w:p>
        </w:tc>
        <w:tc>
          <w:tcPr>
            <w:tcW w:w="5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Boston-Cambridge-</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13,597</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171,000</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94%</w:t>
            </w:r>
          </w:p>
        </w:tc>
        <w:tc>
          <w:tcPr>
            <w:tcW w:w="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55,000</w:t>
            </w: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w w:val="87"/>
              </w:rPr>
              <w:t>Super Stop &amp;</w:t>
            </w:r>
          </w:p>
        </w:tc>
        <w:tc>
          <w:tcPr>
            <w:tcW w:w="1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Kmart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Quincy, MA-NH</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Shop</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40" w:type="dxa"/>
            <w:vAlign w:val="bottom"/>
            <w:gridSpan w:val="2"/>
          </w:tcPr>
          <w:p>
            <w:pPr>
              <w:ind w:left="60"/>
              <w:spacing w:after="0"/>
              <w:rPr>
                <w:sz w:val="20"/>
                <w:szCs w:val="20"/>
                <w:color w:val="auto"/>
              </w:rPr>
            </w:pPr>
            <w:r>
              <w:rPr>
                <w:rFonts w:ascii="Arial" w:cs="Arial" w:eastAsia="Arial" w:hAnsi="Arial"/>
                <w:sz w:val="18"/>
                <w:szCs w:val="18"/>
                <w:b w:val="1"/>
                <w:bCs w:val="1"/>
                <w:color w:val="auto"/>
              </w:rPr>
              <w:t>Total New England</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348,597</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1,640,000</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96%</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Baltimore</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Governor Plaza</w:t>
            </w:r>
          </w:p>
        </w:tc>
        <w:tc>
          <w:tcPr>
            <w:tcW w:w="56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Arial" w:cs="Arial" w:eastAsia="Arial" w:hAnsi="Arial"/>
                <w:sz w:val="18"/>
                <w:szCs w:val="18"/>
                <w:color w:val="auto"/>
              </w:rPr>
              <w:t>Baltimore, MD</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1985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21,575</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269,000</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91%</w:t>
            </w:r>
          </w:p>
        </w:tc>
        <w:tc>
          <w:tcPr>
            <w:tcW w:w="580" w:type="dxa"/>
            <w:vAlign w:val="bottom"/>
            <w:gridSpan w:val="2"/>
          </w:tcPr>
          <w:p>
            <w:pPr>
              <w:spacing w:after="0"/>
              <w:rPr>
                <w:sz w:val="20"/>
                <w:szCs w:val="20"/>
                <w:color w:val="auto"/>
              </w:rPr>
            </w:pPr>
            <w:r>
              <w:rPr>
                <w:rFonts w:ascii="Arial" w:cs="Arial" w:eastAsia="Arial" w:hAnsi="Arial"/>
                <w:sz w:val="18"/>
                <w:szCs w:val="18"/>
                <w:color w:val="auto"/>
              </w:rPr>
              <w:t>16,500</w:t>
            </w:r>
          </w:p>
        </w:tc>
        <w:tc>
          <w:tcPr>
            <w:tcW w:w="960" w:type="dxa"/>
            <w:vAlign w:val="bottom"/>
          </w:tcPr>
          <w:p>
            <w:pPr>
              <w:spacing w:after="0"/>
              <w:rPr>
                <w:sz w:val="20"/>
                <w:szCs w:val="20"/>
                <w:color w:val="auto"/>
              </w:rPr>
            </w:pPr>
            <w:r>
              <w:rPr>
                <w:rFonts w:ascii="Arial" w:cs="Arial" w:eastAsia="Arial" w:hAnsi="Arial"/>
                <w:sz w:val="18"/>
                <w:szCs w:val="18"/>
                <w:color w:val="auto"/>
              </w:rPr>
              <w:t>Aldi</w:t>
            </w: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w w:val="93"/>
              </w:rPr>
              <w:t>Bally’s / Office Depot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Perring Plaza</w:t>
            </w:r>
          </w:p>
        </w:tc>
        <w:tc>
          <w:tcPr>
            <w:tcW w:w="5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Baltimore, MD</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26,408</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402,000</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98%</w:t>
            </w:r>
          </w:p>
        </w:tc>
        <w:tc>
          <w:tcPr>
            <w:tcW w:w="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58,000</w:t>
            </w: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Shoppers</w:t>
            </w:r>
          </w:p>
        </w:tc>
        <w:tc>
          <w:tcPr>
            <w:tcW w:w="1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Home Depot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Food</w:t>
            </w:r>
          </w:p>
        </w:tc>
        <w:tc>
          <w:tcPr>
            <w:tcW w:w="1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Burlington Coat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Warehouse</w:t>
            </w:r>
          </w:p>
        </w:tc>
        <w:tc>
          <w:tcPr>
            <w:tcW w:w="1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Factory / Jo-Ann</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Stores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THE AVENUE at</w:t>
            </w:r>
          </w:p>
        </w:tc>
        <w:tc>
          <w:tcPr>
            <w:tcW w:w="560" w:type="dxa"/>
            <w:vAlign w:val="bottom"/>
          </w:tcPr>
          <w:p>
            <w:pPr>
              <w:ind w:left="80"/>
              <w:spacing w:after="0"/>
              <w:rPr>
                <w:sz w:val="20"/>
                <w:szCs w:val="20"/>
                <w:color w:val="auto"/>
              </w:rPr>
            </w:pPr>
            <w:r>
              <w:rPr>
                <w:rFonts w:ascii="Arial" w:cs="Arial" w:eastAsia="Arial" w:hAnsi="Arial"/>
                <w:sz w:val="18"/>
                <w:szCs w:val="18"/>
                <w:color w:val="auto"/>
                <w:w w:val="97"/>
              </w:rPr>
              <w:t>(9,10)</w:t>
            </w:r>
          </w:p>
        </w:tc>
        <w:tc>
          <w:tcPr>
            <w:tcW w:w="1740" w:type="dxa"/>
            <w:vAlign w:val="bottom"/>
            <w:gridSpan w:val="2"/>
          </w:tcPr>
          <w:p>
            <w:pPr>
              <w:ind w:left="60"/>
              <w:spacing w:after="0"/>
              <w:rPr>
                <w:sz w:val="20"/>
                <w:szCs w:val="20"/>
                <w:color w:val="auto"/>
              </w:rPr>
            </w:pPr>
            <w:r>
              <w:rPr>
                <w:rFonts w:ascii="Arial" w:cs="Arial" w:eastAsia="Arial" w:hAnsi="Arial"/>
                <w:sz w:val="18"/>
                <w:szCs w:val="18"/>
                <w:color w:val="auto"/>
              </w:rPr>
              <w:t>Baltimore, MD</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2007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97,660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61,524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296,000</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94%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AMC Loews / Old</w:t>
            </w:r>
          </w:p>
        </w:tc>
        <w:tc>
          <w:tcPr>
            <w:tcW w:w="0" w:type="dxa"/>
            <w:vAlign w:val="bottom"/>
          </w:tcPr>
          <w:p>
            <w:pPr>
              <w:spacing w:after="0"/>
              <w:rPr>
                <w:sz w:val="1"/>
                <w:szCs w:val="1"/>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White Marsh</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Navy / Barnes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Noble / AC Moore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The Shoppes at</w:t>
            </w: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(10)</w:t>
            </w:r>
          </w:p>
        </w:tc>
        <w:tc>
          <w:tcPr>
            <w:tcW w:w="17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Baltimore, MD</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18,097</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186,000</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2"/>
              </w:rPr>
              <w:t>Lowe’s Home Center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w w:val="99"/>
              </w:rPr>
              <w:t>Nottingham Square</w:t>
            </w: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White Marsh Other</w:t>
            </w:r>
          </w:p>
        </w:tc>
        <w:tc>
          <w:tcPr>
            <w:tcW w:w="560" w:type="dxa"/>
            <w:vAlign w:val="bottom"/>
          </w:tcPr>
          <w:p>
            <w:pPr>
              <w:ind w:left="80"/>
              <w:spacing w:after="0"/>
              <w:rPr>
                <w:sz w:val="20"/>
                <w:szCs w:val="20"/>
                <w:color w:val="auto"/>
              </w:rPr>
            </w:pPr>
            <w:r>
              <w:rPr>
                <w:rFonts w:ascii="Arial" w:cs="Arial" w:eastAsia="Arial" w:hAnsi="Arial"/>
                <w:sz w:val="18"/>
                <w:szCs w:val="18"/>
                <w:color w:val="auto"/>
              </w:rPr>
              <w:t>(10)</w:t>
            </w:r>
          </w:p>
        </w:tc>
        <w:tc>
          <w:tcPr>
            <w:tcW w:w="1740" w:type="dxa"/>
            <w:vAlign w:val="bottom"/>
            <w:gridSpan w:val="2"/>
          </w:tcPr>
          <w:p>
            <w:pPr>
              <w:ind w:left="60"/>
              <w:spacing w:after="0"/>
              <w:rPr>
                <w:sz w:val="20"/>
                <w:szCs w:val="20"/>
                <w:color w:val="auto"/>
              </w:rPr>
            </w:pPr>
            <w:r>
              <w:rPr>
                <w:rFonts w:ascii="Arial" w:cs="Arial" w:eastAsia="Arial" w:hAnsi="Arial"/>
                <w:sz w:val="18"/>
                <w:szCs w:val="18"/>
                <w:color w:val="auto"/>
              </w:rPr>
              <w:t>Baltimore, MD</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2007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52,141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1,170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52,000</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100%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White Marsh Plaza</w:t>
            </w: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(10)</w:t>
            </w:r>
          </w:p>
        </w:tc>
        <w:tc>
          <w:tcPr>
            <w:tcW w:w="17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Baltimore, MD</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10,470</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w:t>
            </w:r>
          </w:p>
        </w:tc>
        <w:tc>
          <w:tcPr>
            <w:tcW w:w="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54,000</w:t>
            </w: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Giant Food</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4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Total Baltimore</w:t>
            </w: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238,445</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1,285,000</w:t>
            </w:r>
          </w:p>
        </w:tc>
        <w:tc>
          <w:tcPr>
            <w:tcW w:w="10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96%</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Chicago</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Crossroads</w:t>
            </w:r>
          </w:p>
        </w:tc>
        <w:tc>
          <w:tcPr>
            <w:tcW w:w="56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Arial" w:cs="Arial" w:eastAsia="Arial" w:hAnsi="Arial"/>
                <w:sz w:val="18"/>
                <w:szCs w:val="18"/>
                <w:color w:val="auto"/>
              </w:rPr>
              <w:t>Chicago, IL</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1993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22,767</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173,000</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73%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Golfsmith / Guitar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Center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Finley Square</w:t>
            </w:r>
          </w:p>
        </w:tc>
        <w:tc>
          <w:tcPr>
            <w:tcW w:w="5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Chicago, IL</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29,192</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315,000</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0"/>
              </w:rPr>
              <w:t>Bed, Bath &amp; Beyond /</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Sports Authority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Garden Market</w:t>
            </w:r>
          </w:p>
        </w:tc>
        <w:tc>
          <w:tcPr>
            <w:tcW w:w="56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Arial" w:cs="Arial" w:eastAsia="Arial" w:hAnsi="Arial"/>
                <w:sz w:val="18"/>
                <w:szCs w:val="18"/>
                <w:color w:val="auto"/>
              </w:rPr>
              <w:t>Chicago, IL</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1994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11,279</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140,000</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96%</w:t>
            </w:r>
          </w:p>
        </w:tc>
        <w:tc>
          <w:tcPr>
            <w:tcW w:w="580" w:type="dxa"/>
            <w:vAlign w:val="bottom"/>
            <w:gridSpan w:val="2"/>
          </w:tcPr>
          <w:p>
            <w:pPr>
              <w:spacing w:after="0"/>
              <w:rPr>
                <w:sz w:val="20"/>
                <w:szCs w:val="20"/>
                <w:color w:val="auto"/>
              </w:rPr>
            </w:pPr>
            <w:r>
              <w:rPr>
                <w:rFonts w:ascii="Arial" w:cs="Arial" w:eastAsia="Arial" w:hAnsi="Arial"/>
                <w:sz w:val="18"/>
                <w:szCs w:val="18"/>
                <w:color w:val="auto"/>
              </w:rPr>
              <w:t>63,000</w:t>
            </w:r>
          </w:p>
        </w:tc>
        <w:tc>
          <w:tcPr>
            <w:tcW w:w="960" w:type="dxa"/>
            <w:vAlign w:val="bottom"/>
          </w:tcPr>
          <w:p>
            <w:pPr>
              <w:spacing w:after="0"/>
              <w:rPr>
                <w:sz w:val="20"/>
                <w:szCs w:val="20"/>
                <w:color w:val="auto"/>
              </w:rPr>
            </w:pPr>
            <w:r>
              <w:rPr>
                <w:rFonts w:ascii="Arial" w:cs="Arial" w:eastAsia="Arial" w:hAnsi="Arial"/>
                <w:sz w:val="18"/>
                <w:szCs w:val="18"/>
                <w:color w:val="auto"/>
              </w:rPr>
              <w:t>Dominick’s</w:t>
            </w: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Walgreens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North Lake</w:t>
            </w:r>
          </w:p>
        </w:tc>
        <w:tc>
          <w:tcPr>
            <w:tcW w:w="5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Chicago, IL</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13,231</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129,000</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93%</w:t>
            </w:r>
          </w:p>
        </w:tc>
        <w:tc>
          <w:tcPr>
            <w:tcW w:w="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77,000</w:t>
            </w: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Dominick’s</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Commons</w:t>
            </w: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40" w:type="dxa"/>
            <w:vAlign w:val="bottom"/>
            <w:gridSpan w:val="2"/>
          </w:tcPr>
          <w:p>
            <w:pPr>
              <w:ind w:left="60"/>
              <w:spacing w:after="0"/>
              <w:rPr>
                <w:sz w:val="20"/>
                <w:szCs w:val="20"/>
                <w:color w:val="auto"/>
              </w:rPr>
            </w:pPr>
            <w:r>
              <w:rPr>
                <w:rFonts w:ascii="Arial" w:cs="Arial" w:eastAsia="Arial" w:hAnsi="Arial"/>
                <w:sz w:val="18"/>
                <w:szCs w:val="18"/>
                <w:b w:val="1"/>
                <w:bCs w:val="1"/>
                <w:color w:val="auto"/>
              </w:rPr>
              <w:t>Total Chicago</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76,469</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757,000</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91%</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1"/>
              </w:rPr>
              <w:t>East Region - Other</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Barracks Road</w:t>
            </w:r>
          </w:p>
        </w:tc>
        <w:tc>
          <w:tcPr>
            <w:tcW w:w="56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Arial" w:cs="Arial" w:eastAsia="Arial" w:hAnsi="Arial"/>
                <w:sz w:val="18"/>
                <w:szCs w:val="18"/>
                <w:color w:val="auto"/>
              </w:rPr>
              <w:t>Charlottesville, VA</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1985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42,687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42,307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488,000</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100%</w:t>
            </w:r>
          </w:p>
        </w:tc>
        <w:tc>
          <w:tcPr>
            <w:tcW w:w="580" w:type="dxa"/>
            <w:vAlign w:val="bottom"/>
            <w:gridSpan w:val="2"/>
          </w:tcPr>
          <w:p>
            <w:pPr>
              <w:spacing w:after="0"/>
              <w:rPr>
                <w:sz w:val="20"/>
                <w:szCs w:val="20"/>
                <w:color w:val="auto"/>
              </w:rPr>
            </w:pPr>
            <w:r>
              <w:rPr>
                <w:rFonts w:ascii="Arial" w:cs="Arial" w:eastAsia="Arial" w:hAnsi="Arial"/>
                <w:sz w:val="18"/>
                <w:szCs w:val="18"/>
                <w:color w:val="auto"/>
              </w:rPr>
              <w:t>99,000</w:t>
            </w:r>
          </w:p>
        </w:tc>
        <w:tc>
          <w:tcPr>
            <w:tcW w:w="960" w:type="dxa"/>
            <w:vAlign w:val="bottom"/>
          </w:tcPr>
          <w:p>
            <w:pPr>
              <w:spacing w:after="0"/>
              <w:rPr>
                <w:sz w:val="20"/>
                <w:szCs w:val="20"/>
                <w:color w:val="auto"/>
              </w:rPr>
            </w:pPr>
            <w:r>
              <w:rPr>
                <w:rFonts w:ascii="Arial" w:cs="Arial" w:eastAsia="Arial" w:hAnsi="Arial"/>
                <w:sz w:val="18"/>
                <w:szCs w:val="18"/>
                <w:color w:val="auto"/>
                <w:w w:val="89"/>
              </w:rPr>
              <w:t>Harris Teeter</w:t>
            </w: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w w:val="90"/>
              </w:rPr>
              <w:t>Bed, Bath &amp; Beyond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 Kroger</w:t>
            </w: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w w:val="92"/>
              </w:rPr>
              <w:t>Barnes &amp; Noble / Old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Navy</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Bristol Plaza</w:t>
            </w:r>
          </w:p>
        </w:tc>
        <w:tc>
          <w:tcPr>
            <w:tcW w:w="5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Hartford, CT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24,444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273,000</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98%</w:t>
            </w:r>
          </w:p>
        </w:tc>
        <w:tc>
          <w:tcPr>
            <w:tcW w:w="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74,000</w:t>
            </w: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w w:val="92"/>
              </w:rPr>
              <w:t>Stop &amp; Shop</w:t>
            </w:r>
          </w:p>
        </w:tc>
        <w:tc>
          <w:tcPr>
            <w:tcW w:w="1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TJ Maxx</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Eastgate</w:t>
            </w:r>
          </w:p>
        </w:tc>
        <w:tc>
          <w:tcPr>
            <w:tcW w:w="56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Arial" w:cs="Arial" w:eastAsia="Arial" w:hAnsi="Arial"/>
                <w:sz w:val="18"/>
                <w:szCs w:val="18"/>
                <w:color w:val="auto"/>
              </w:rPr>
              <w:t>Raleigh-Durham-</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1986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18,062</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159,000</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85%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Stein Mart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40" w:type="dxa"/>
            <w:vAlign w:val="bottom"/>
            <w:gridSpan w:val="2"/>
          </w:tcPr>
          <w:p>
            <w:pPr>
              <w:ind w:left="60"/>
              <w:spacing w:after="0"/>
              <w:rPr>
                <w:sz w:val="20"/>
                <w:szCs w:val="20"/>
                <w:color w:val="auto"/>
              </w:rPr>
            </w:pPr>
            <w:r>
              <w:rPr>
                <w:rFonts w:ascii="Arial" w:cs="Arial" w:eastAsia="Arial" w:hAnsi="Arial"/>
                <w:sz w:val="18"/>
                <w:szCs w:val="18"/>
                <w:color w:val="auto"/>
              </w:rPr>
              <w:t>Chapel Hill, NC</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Gratiot Plaza</w:t>
            </w:r>
          </w:p>
        </w:tc>
        <w:tc>
          <w:tcPr>
            <w:tcW w:w="5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Detroit, MI</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18,061</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217,000</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69,000</w:t>
            </w: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w w:val="86"/>
              </w:rPr>
              <w:t>Farmer Jacks</w:t>
            </w:r>
          </w:p>
        </w:tc>
        <w:tc>
          <w:tcPr>
            <w:tcW w:w="1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0"/>
              </w:rPr>
              <w:t>Bed, Bath &amp; Beyond /</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Best Buy / DSW</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Greenwich Avenue</w:t>
            </w:r>
          </w:p>
        </w:tc>
        <w:tc>
          <w:tcPr>
            <w:tcW w:w="56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Arial" w:cs="Arial" w:eastAsia="Arial" w:hAnsi="Arial"/>
                <w:sz w:val="18"/>
                <w:szCs w:val="18"/>
                <w:color w:val="auto"/>
              </w:rPr>
              <w:t>New Haven-</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1995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15,998</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42,000</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100%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Saks Fifth Avenue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Arial" w:cs="Arial" w:eastAsia="Arial" w:hAnsi="Arial"/>
                <w:sz w:val="18"/>
                <w:szCs w:val="18"/>
                <w:color w:val="auto"/>
                <w:w w:val="98"/>
              </w:rPr>
              <w:t>Bridgeport-Stamford-</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40" w:type="dxa"/>
            <w:vAlign w:val="bottom"/>
            <w:gridSpan w:val="2"/>
          </w:tcPr>
          <w:p>
            <w:pPr>
              <w:ind w:left="60"/>
              <w:spacing w:after="0"/>
              <w:rPr>
                <w:sz w:val="20"/>
                <w:szCs w:val="20"/>
                <w:color w:val="auto"/>
              </w:rPr>
            </w:pPr>
            <w:r>
              <w:rPr>
                <w:rFonts w:ascii="Arial" w:cs="Arial" w:eastAsia="Arial" w:hAnsi="Arial"/>
                <w:sz w:val="18"/>
                <w:szCs w:val="18"/>
                <w:color w:val="auto"/>
              </w:rPr>
              <w:t>Waterbury</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Lancaster</w:t>
            </w: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(7)</w:t>
            </w:r>
          </w:p>
        </w:tc>
        <w:tc>
          <w:tcPr>
            <w:tcW w:w="17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Lancaster, PA</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107,000</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99%</w:t>
            </w:r>
          </w:p>
        </w:tc>
        <w:tc>
          <w:tcPr>
            <w:tcW w:w="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39,000</w:t>
            </w: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Giant Food</w:t>
            </w:r>
          </w:p>
        </w:tc>
        <w:tc>
          <w:tcPr>
            <w:tcW w:w="1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Michaels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Shoppers’ World</w:t>
            </w:r>
          </w:p>
        </w:tc>
        <w:tc>
          <w:tcPr>
            <w:tcW w:w="56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Arial" w:cs="Arial" w:eastAsia="Arial" w:hAnsi="Arial"/>
                <w:sz w:val="18"/>
                <w:szCs w:val="18"/>
                <w:color w:val="auto"/>
              </w:rPr>
              <w:t>Charlottesville, VA</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2007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27,626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6,049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169,000</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96%</w:t>
            </w:r>
          </w:p>
        </w:tc>
        <w:tc>
          <w:tcPr>
            <w:tcW w:w="580" w:type="dxa"/>
            <w:vAlign w:val="bottom"/>
            <w:gridSpan w:val="2"/>
          </w:tcPr>
          <w:p>
            <w:pPr>
              <w:spacing w:after="0"/>
              <w:rPr>
                <w:sz w:val="20"/>
                <w:szCs w:val="20"/>
                <w:color w:val="auto"/>
              </w:rPr>
            </w:pPr>
            <w:r>
              <w:rPr>
                <w:rFonts w:ascii="Arial" w:cs="Arial" w:eastAsia="Arial" w:hAnsi="Arial"/>
                <w:sz w:val="18"/>
                <w:szCs w:val="18"/>
                <w:color w:val="auto"/>
              </w:rPr>
              <w:t>28,000</w:t>
            </w:r>
          </w:p>
        </w:tc>
        <w:tc>
          <w:tcPr>
            <w:tcW w:w="960" w:type="dxa"/>
            <w:vAlign w:val="bottom"/>
          </w:tcPr>
          <w:p>
            <w:pPr>
              <w:spacing w:after="0"/>
              <w:rPr>
                <w:sz w:val="20"/>
                <w:szCs w:val="20"/>
                <w:color w:val="auto"/>
              </w:rPr>
            </w:pPr>
            <w:r>
              <w:rPr>
                <w:rFonts w:ascii="Arial" w:cs="Arial" w:eastAsia="Arial" w:hAnsi="Arial"/>
                <w:sz w:val="18"/>
                <w:szCs w:val="18"/>
                <w:color w:val="auto"/>
                <w:w w:val="88"/>
              </w:rPr>
              <w:t>Whole Foods</w:t>
            </w: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Staples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Shops at Willow</w:t>
            </w:r>
          </w:p>
        </w:tc>
        <w:tc>
          <w:tcPr>
            <w:tcW w:w="5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2"/>
              </w:rPr>
              <w:t>Richmond-Petersburg,</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74,828</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477,000</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91%</w:t>
            </w:r>
          </w:p>
        </w:tc>
        <w:tc>
          <w:tcPr>
            <w:tcW w:w="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60,000</w:t>
            </w: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Kroger</w:t>
            </w:r>
          </w:p>
        </w:tc>
        <w:tc>
          <w:tcPr>
            <w:tcW w:w="1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Old Navy / Staples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Lawn</w:t>
            </w:r>
          </w:p>
        </w:tc>
        <w:tc>
          <w:tcPr>
            <w:tcW w:w="56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VA</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Arial" w:cs="Arial" w:eastAsia="Arial" w:hAnsi="Arial"/>
                <w:sz w:val="18"/>
                <w:szCs w:val="18"/>
                <w:b w:val="1"/>
                <w:bCs w:val="1"/>
                <w:color w:val="auto"/>
              </w:rPr>
              <w:t>Total East Region -</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232,506</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1,932,000</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96%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80" w:type="dxa"/>
            <w:vAlign w:val="bottom"/>
          </w:tcPr>
          <w:p>
            <w:pPr>
              <w:ind w:left="220"/>
              <w:spacing w:after="0"/>
              <w:rPr>
                <w:sz w:val="20"/>
                <w:szCs w:val="20"/>
                <w:color w:val="auto"/>
              </w:rPr>
            </w:pPr>
            <w:r>
              <w:rPr>
                <w:rFonts w:ascii="Arial" w:cs="Arial" w:eastAsia="Arial" w:hAnsi="Arial"/>
                <w:sz w:val="18"/>
                <w:szCs w:val="18"/>
                <w:b w:val="1"/>
                <w:bCs w:val="1"/>
                <w:color w:val="auto"/>
              </w:rPr>
              <w:t>Other</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Total East Region</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2,479,286</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16,842,000</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b w:val="1"/>
                <w:bCs w:val="1"/>
                <w:color w:val="auto"/>
              </w:rPr>
              <w:t>West Region</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California</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Colorado Blvd</w:t>
            </w:r>
          </w:p>
        </w:tc>
        <w:tc>
          <w:tcPr>
            <w:tcW w:w="56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Arial" w:cs="Arial" w:eastAsia="Arial" w:hAnsi="Arial"/>
                <w:sz w:val="18"/>
                <w:szCs w:val="18"/>
                <w:color w:val="auto"/>
              </w:rPr>
              <w:t>Los Angeles-Long</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7"/>
              </w:rPr>
              <w:t>1996-1998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16,687</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69,000</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99%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w w:val="88"/>
              </w:rPr>
              <w:t>Pottery Barn / Banana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40" w:type="dxa"/>
            <w:vAlign w:val="bottom"/>
            <w:gridSpan w:val="2"/>
          </w:tcPr>
          <w:p>
            <w:pPr>
              <w:ind w:left="60"/>
              <w:spacing w:after="0"/>
              <w:rPr>
                <w:sz w:val="20"/>
                <w:szCs w:val="20"/>
                <w:color w:val="auto"/>
              </w:rPr>
            </w:pPr>
            <w:r>
              <w:rPr>
                <w:rFonts w:ascii="Arial" w:cs="Arial" w:eastAsia="Arial" w:hAnsi="Arial"/>
                <w:sz w:val="18"/>
                <w:szCs w:val="18"/>
                <w:color w:val="auto"/>
              </w:rPr>
              <w:t>Beach, CA</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Republic</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Crow Canyon</w:t>
            </w:r>
          </w:p>
        </w:tc>
        <w:tc>
          <w:tcPr>
            <w:tcW w:w="5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San Ramon, CA</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2005-2007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63,718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21,767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242,000</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96%</w:t>
            </w:r>
          </w:p>
        </w:tc>
        <w:tc>
          <w:tcPr>
            <w:tcW w:w="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58,000</w:t>
            </w: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Albertson’s</w:t>
            </w:r>
          </w:p>
        </w:tc>
        <w:tc>
          <w:tcPr>
            <w:tcW w:w="1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Loehmann’s / Rite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Aid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Escondido</w:t>
            </w:r>
          </w:p>
        </w:tc>
        <w:tc>
          <w:tcPr>
            <w:tcW w:w="560" w:type="dxa"/>
            <w:vAlign w:val="bottom"/>
          </w:tcPr>
          <w:p>
            <w:pPr>
              <w:ind w:left="80"/>
              <w:spacing w:after="0"/>
              <w:rPr>
                <w:sz w:val="20"/>
                <w:szCs w:val="20"/>
                <w:color w:val="auto"/>
              </w:rPr>
            </w:pPr>
            <w:r>
              <w:rPr>
                <w:rFonts w:ascii="Arial" w:cs="Arial" w:eastAsia="Arial" w:hAnsi="Arial"/>
                <w:sz w:val="18"/>
                <w:szCs w:val="18"/>
                <w:color w:val="auto"/>
              </w:rPr>
              <w:t>(11)</w:t>
            </w:r>
          </w:p>
        </w:tc>
        <w:tc>
          <w:tcPr>
            <w:tcW w:w="1740" w:type="dxa"/>
            <w:vAlign w:val="bottom"/>
            <w:gridSpan w:val="2"/>
          </w:tcPr>
          <w:p>
            <w:pPr>
              <w:ind w:left="60"/>
              <w:spacing w:after="0"/>
              <w:rPr>
                <w:sz w:val="20"/>
                <w:szCs w:val="20"/>
                <w:color w:val="auto"/>
              </w:rPr>
            </w:pPr>
            <w:r>
              <w:rPr>
                <w:rFonts w:ascii="Arial" w:cs="Arial" w:eastAsia="Arial" w:hAnsi="Arial"/>
                <w:sz w:val="18"/>
                <w:szCs w:val="18"/>
                <w:color w:val="auto"/>
              </w:rPr>
              <w:t>San Diego, CA</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1996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28,435</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222,000</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98%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w w:val="91"/>
              </w:rPr>
              <w:t>Cost Plus / TJ Maxx /</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Toys R Us</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Fifth Ave</w:t>
            </w: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(12)</w:t>
            </w:r>
          </w:p>
        </w:tc>
        <w:tc>
          <w:tcPr>
            <w:tcW w:w="17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San Diego, CA</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1996-1997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12,710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51,000</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Urban Outfitters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Hermosa Ave</w:t>
            </w:r>
          </w:p>
        </w:tc>
        <w:tc>
          <w:tcPr>
            <w:tcW w:w="560" w:type="dxa"/>
            <w:vAlign w:val="bottom"/>
          </w:tcPr>
          <w:p>
            <w:pPr>
              <w:ind w:left="80"/>
              <w:spacing w:after="0"/>
              <w:rPr>
                <w:sz w:val="20"/>
                <w:szCs w:val="20"/>
                <w:color w:val="auto"/>
              </w:rPr>
            </w:pPr>
            <w:r>
              <w:rPr>
                <w:rFonts w:ascii="Arial" w:cs="Arial" w:eastAsia="Arial" w:hAnsi="Arial"/>
                <w:sz w:val="18"/>
                <w:szCs w:val="18"/>
                <w:color w:val="auto"/>
              </w:rPr>
              <w:t>(13)</w:t>
            </w:r>
          </w:p>
        </w:tc>
        <w:tc>
          <w:tcPr>
            <w:tcW w:w="1740" w:type="dxa"/>
            <w:vAlign w:val="bottom"/>
            <w:gridSpan w:val="2"/>
          </w:tcPr>
          <w:p>
            <w:pPr>
              <w:ind w:left="60"/>
              <w:spacing w:after="0"/>
              <w:rPr>
                <w:sz w:val="20"/>
                <w:szCs w:val="20"/>
                <w:color w:val="auto"/>
              </w:rPr>
            </w:pPr>
            <w:r>
              <w:rPr>
                <w:rFonts w:ascii="Arial" w:cs="Arial" w:eastAsia="Arial" w:hAnsi="Arial"/>
                <w:sz w:val="18"/>
                <w:szCs w:val="18"/>
                <w:color w:val="auto"/>
              </w:rPr>
              <w:t>Los Angeles-Long</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1997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4,721</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22,000</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100%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40" w:type="dxa"/>
            <w:vAlign w:val="bottom"/>
            <w:gridSpan w:val="2"/>
          </w:tcPr>
          <w:p>
            <w:pPr>
              <w:ind w:left="60"/>
              <w:spacing w:after="0"/>
              <w:rPr>
                <w:sz w:val="20"/>
                <w:szCs w:val="20"/>
                <w:color w:val="auto"/>
              </w:rPr>
            </w:pPr>
            <w:r>
              <w:rPr>
                <w:rFonts w:ascii="Arial" w:cs="Arial" w:eastAsia="Arial" w:hAnsi="Arial"/>
                <w:sz w:val="18"/>
                <w:szCs w:val="18"/>
                <w:color w:val="auto"/>
              </w:rPr>
              <w:t>Beach, CA</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Hollywood Blvd</w:t>
            </w: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(13)</w:t>
            </w:r>
          </w:p>
        </w:tc>
        <w:tc>
          <w:tcPr>
            <w:tcW w:w="17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Los Angeles-Long</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36,153</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DSW / L.A. Fitness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Beach, CA</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Kings Court</w:t>
            </w:r>
          </w:p>
        </w:tc>
        <w:tc>
          <w:tcPr>
            <w:tcW w:w="560" w:type="dxa"/>
            <w:vAlign w:val="bottom"/>
          </w:tcPr>
          <w:p>
            <w:pPr>
              <w:ind w:left="80"/>
              <w:spacing w:after="0"/>
              <w:rPr>
                <w:sz w:val="20"/>
                <w:szCs w:val="20"/>
                <w:color w:val="auto"/>
              </w:rPr>
            </w:pPr>
            <w:r>
              <w:rPr>
                <w:rFonts w:ascii="Arial" w:cs="Arial" w:eastAsia="Arial" w:hAnsi="Arial"/>
                <w:sz w:val="18"/>
                <w:szCs w:val="18"/>
                <w:color w:val="auto"/>
              </w:rPr>
              <w:t>(6)</w:t>
            </w:r>
          </w:p>
        </w:tc>
        <w:tc>
          <w:tcPr>
            <w:tcW w:w="1740" w:type="dxa"/>
            <w:vAlign w:val="bottom"/>
            <w:gridSpan w:val="2"/>
          </w:tcPr>
          <w:p>
            <w:pPr>
              <w:ind w:left="60"/>
              <w:spacing w:after="0"/>
              <w:rPr>
                <w:sz w:val="20"/>
                <w:szCs w:val="20"/>
                <w:color w:val="auto"/>
              </w:rPr>
            </w:pPr>
            <w:r>
              <w:rPr>
                <w:rFonts w:ascii="Arial" w:cs="Arial" w:eastAsia="Arial" w:hAnsi="Arial"/>
                <w:sz w:val="18"/>
                <w:szCs w:val="18"/>
                <w:color w:val="auto"/>
              </w:rPr>
              <w:t>San Jose, CA</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1998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11,517</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79,000</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100%</w:t>
            </w:r>
          </w:p>
        </w:tc>
        <w:tc>
          <w:tcPr>
            <w:tcW w:w="580" w:type="dxa"/>
            <w:vAlign w:val="bottom"/>
            <w:gridSpan w:val="2"/>
          </w:tcPr>
          <w:p>
            <w:pPr>
              <w:spacing w:after="0"/>
              <w:rPr>
                <w:sz w:val="20"/>
                <w:szCs w:val="20"/>
                <w:color w:val="auto"/>
              </w:rPr>
            </w:pPr>
            <w:r>
              <w:rPr>
                <w:rFonts w:ascii="Arial" w:cs="Arial" w:eastAsia="Arial" w:hAnsi="Arial"/>
                <w:sz w:val="18"/>
                <w:szCs w:val="18"/>
                <w:color w:val="auto"/>
              </w:rPr>
              <w:t>25,000</w:t>
            </w:r>
          </w:p>
        </w:tc>
        <w:tc>
          <w:tcPr>
            <w:tcW w:w="960" w:type="dxa"/>
            <w:vAlign w:val="bottom"/>
          </w:tcPr>
          <w:p>
            <w:pPr>
              <w:spacing w:after="0"/>
              <w:rPr>
                <w:sz w:val="20"/>
                <w:szCs w:val="20"/>
                <w:color w:val="auto"/>
              </w:rPr>
            </w:pPr>
            <w:r>
              <w:rPr>
                <w:rFonts w:ascii="Arial" w:cs="Arial" w:eastAsia="Arial" w:hAnsi="Arial"/>
                <w:sz w:val="18"/>
                <w:szCs w:val="18"/>
                <w:color w:val="auto"/>
              </w:rPr>
              <w:t>Lunardi’s</w:t>
            </w: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Longs Drug Store</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56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6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4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86"/>
              </w:rPr>
              <w:t>Super Market</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274" w:right="239" w:bottom="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Old Town Center</w:t>
            </w:r>
          </w:p>
        </w:tc>
        <w:tc>
          <w:tcPr>
            <w:tcW w:w="1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San Jose, CA</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99%</w:t>
            </w:r>
          </w:p>
        </w:tc>
        <w:tc>
          <w:tcPr>
            <w:tcW w:w="1460" w:type="dxa"/>
            <w:vAlign w:val="bottom"/>
            <w:shd w:val="clear" w:color="auto" w:fill="CCEEFF"/>
          </w:tcPr>
          <w:p>
            <w:pPr>
              <w:spacing w:after="0"/>
              <w:rPr>
                <w:sz w:val="18"/>
                <w:szCs w:val="18"/>
                <w:color w:val="auto"/>
              </w:rPr>
            </w:pPr>
          </w:p>
        </w:tc>
        <w:tc>
          <w:tcPr>
            <w:tcW w:w="18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6"/>
              </w:rPr>
              <w:t>Borders / Gap Kids /</w:t>
            </w:r>
          </w:p>
        </w:tc>
        <w:tc>
          <w:tcPr>
            <w:tcW w:w="0" w:type="dxa"/>
            <w:vAlign w:val="bottom"/>
          </w:tcPr>
          <w:p>
            <w:pPr>
              <w:spacing w:after="0"/>
              <w:rPr>
                <w:sz w:val="1"/>
                <w:szCs w:val="1"/>
                <w:color w:val="auto"/>
              </w:rPr>
            </w:pPr>
          </w:p>
        </w:tc>
      </w:tr>
      <w:tr>
        <w:trPr>
          <w:trHeight w:val="224"/>
        </w:trPr>
        <w:tc>
          <w:tcPr>
            <w:tcW w:w="20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Banana Republic</w:t>
            </w:r>
          </w:p>
        </w:tc>
        <w:tc>
          <w:tcPr>
            <w:tcW w:w="0" w:type="dxa"/>
            <w:vAlign w:val="bottom"/>
          </w:tcPr>
          <w:p>
            <w:pPr>
              <w:spacing w:after="0"/>
              <w:rPr>
                <w:sz w:val="1"/>
                <w:szCs w:val="1"/>
                <w:color w:val="auto"/>
              </w:rPr>
            </w:pPr>
          </w:p>
        </w:tc>
      </w:tr>
      <w:tr>
        <w:trPr>
          <w:trHeight w:val="208"/>
        </w:trPr>
        <w:tc>
          <w:tcPr>
            <w:tcW w:w="2080" w:type="dxa"/>
            <w:vAlign w:val="bottom"/>
          </w:tcPr>
          <w:p>
            <w:pPr>
              <w:spacing w:after="0"/>
              <w:rPr>
                <w:sz w:val="20"/>
                <w:szCs w:val="20"/>
                <w:color w:val="auto"/>
              </w:rPr>
            </w:pPr>
            <w:r>
              <w:rPr>
                <w:rFonts w:ascii="Arial" w:cs="Arial" w:eastAsia="Arial" w:hAnsi="Arial"/>
                <w:sz w:val="18"/>
                <w:szCs w:val="18"/>
                <w:color w:val="auto"/>
              </w:rPr>
              <w:t>Santana Row</w:t>
            </w:r>
          </w:p>
        </w:tc>
        <w:tc>
          <w:tcPr>
            <w:tcW w:w="1680" w:type="dxa"/>
            <w:vAlign w:val="bottom"/>
          </w:tcPr>
          <w:p>
            <w:pPr>
              <w:ind w:left="120"/>
              <w:spacing w:after="0"/>
              <w:rPr>
                <w:sz w:val="20"/>
                <w:szCs w:val="20"/>
                <w:color w:val="auto"/>
              </w:rPr>
            </w:pPr>
            <w:r>
              <w:rPr>
                <w:rFonts w:ascii="Arial" w:cs="Arial" w:eastAsia="Arial" w:hAnsi="Arial"/>
                <w:sz w:val="18"/>
                <w:szCs w:val="18"/>
                <w:color w:val="auto"/>
              </w:rPr>
              <w:t>San Jose, CA</w:t>
            </w:r>
          </w:p>
        </w:tc>
        <w:tc>
          <w:tcPr>
            <w:tcW w:w="1060" w:type="dxa"/>
            <w:vAlign w:val="bottom"/>
          </w:tcPr>
          <w:p>
            <w:pPr>
              <w:jc w:val="right"/>
              <w:spacing w:after="0"/>
              <w:rPr>
                <w:sz w:val="20"/>
                <w:szCs w:val="20"/>
                <w:color w:val="auto"/>
              </w:rPr>
            </w:pPr>
            <w:r>
              <w:rPr>
                <w:rFonts w:ascii="Arial" w:cs="Arial" w:eastAsia="Arial" w:hAnsi="Arial"/>
                <w:sz w:val="18"/>
                <w:szCs w:val="18"/>
                <w:color w:val="auto"/>
              </w:rPr>
              <w:t>1997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466,409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562,000</w:t>
            </w:r>
          </w:p>
        </w:tc>
        <w:tc>
          <w:tcPr>
            <w:tcW w:w="720" w:type="dxa"/>
            <w:vAlign w:val="bottom"/>
            <w:gridSpan w:val="3"/>
          </w:tcPr>
          <w:p>
            <w:pPr>
              <w:ind w:left="320"/>
              <w:spacing w:after="0"/>
              <w:rPr>
                <w:sz w:val="20"/>
                <w:szCs w:val="20"/>
                <w:color w:val="auto"/>
              </w:rPr>
            </w:pPr>
            <w:r>
              <w:rPr>
                <w:rFonts w:ascii="Arial" w:cs="Arial" w:eastAsia="Arial" w:hAnsi="Arial"/>
                <w:sz w:val="18"/>
                <w:szCs w:val="18"/>
                <w:color w:val="auto"/>
              </w:rPr>
              <w:t>99%</w:t>
            </w:r>
          </w:p>
        </w:tc>
        <w:tc>
          <w:tcPr>
            <w:tcW w:w="1460" w:type="dxa"/>
            <w:vAlign w:val="bottom"/>
          </w:tcPr>
          <w:p>
            <w:pPr>
              <w:spacing w:after="0"/>
              <w:rPr>
                <w:sz w:val="18"/>
                <w:szCs w:val="18"/>
                <w:color w:val="auto"/>
              </w:rPr>
            </w:pPr>
          </w:p>
        </w:tc>
        <w:tc>
          <w:tcPr>
            <w:tcW w:w="1820" w:type="dxa"/>
            <w:vAlign w:val="bottom"/>
          </w:tcPr>
          <w:p>
            <w:pPr>
              <w:ind w:left="240"/>
              <w:spacing w:after="0"/>
              <w:rPr>
                <w:sz w:val="20"/>
                <w:szCs w:val="20"/>
                <w:color w:val="auto"/>
              </w:rPr>
            </w:pPr>
            <w:r>
              <w:rPr>
                <w:rFonts w:ascii="Arial" w:cs="Arial" w:eastAsia="Arial" w:hAnsi="Arial"/>
                <w:sz w:val="18"/>
                <w:szCs w:val="18"/>
                <w:color w:val="auto"/>
              </w:rPr>
              <w:t>Crate &amp; Barrel /</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20" w:type="dxa"/>
            <w:vAlign w:val="bottom"/>
          </w:tcPr>
          <w:p>
            <w:pPr>
              <w:ind w:left="240"/>
              <w:spacing w:after="0"/>
              <w:rPr>
                <w:sz w:val="20"/>
                <w:szCs w:val="20"/>
                <w:color w:val="auto"/>
              </w:rPr>
            </w:pPr>
            <w:r>
              <w:rPr>
                <w:rFonts w:ascii="Arial" w:cs="Arial" w:eastAsia="Arial" w:hAnsi="Arial"/>
                <w:sz w:val="18"/>
                <w:szCs w:val="18"/>
                <w:color w:val="auto"/>
                <w:w w:val="88"/>
              </w:rPr>
              <w:t>Container Store / Best</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20" w:type="dxa"/>
            <w:vAlign w:val="bottom"/>
          </w:tcPr>
          <w:p>
            <w:pPr>
              <w:ind w:left="240"/>
              <w:spacing w:after="0"/>
              <w:rPr>
                <w:sz w:val="20"/>
                <w:szCs w:val="20"/>
                <w:color w:val="auto"/>
              </w:rPr>
            </w:pPr>
            <w:r>
              <w:rPr>
                <w:rFonts w:ascii="Arial" w:cs="Arial" w:eastAsia="Arial" w:hAnsi="Arial"/>
                <w:sz w:val="18"/>
                <w:szCs w:val="18"/>
                <w:color w:val="auto"/>
              </w:rPr>
              <w:t>Buy / Borders /</w:t>
            </w:r>
          </w:p>
        </w:tc>
        <w:tc>
          <w:tcPr>
            <w:tcW w:w="0" w:type="dxa"/>
            <w:vAlign w:val="bottom"/>
          </w:tcPr>
          <w:p>
            <w:pPr>
              <w:spacing w:after="0"/>
              <w:rPr>
                <w:sz w:val="1"/>
                <w:szCs w:val="1"/>
                <w:color w:val="auto"/>
              </w:rPr>
            </w:pPr>
          </w:p>
        </w:tc>
      </w:tr>
      <w:tr>
        <w:trPr>
          <w:trHeight w:val="222"/>
        </w:trPr>
        <w:tc>
          <w:tcPr>
            <w:tcW w:w="20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20" w:type="dxa"/>
            <w:vAlign w:val="bottom"/>
          </w:tcPr>
          <w:p>
            <w:pPr>
              <w:ind w:left="240"/>
              <w:spacing w:after="0"/>
              <w:rPr>
                <w:sz w:val="20"/>
                <w:szCs w:val="20"/>
                <w:color w:val="auto"/>
              </w:rPr>
            </w:pPr>
            <w:r>
              <w:rPr>
                <w:rFonts w:ascii="Arial" w:cs="Arial" w:eastAsia="Arial" w:hAnsi="Arial"/>
                <w:sz w:val="18"/>
                <w:szCs w:val="18"/>
                <w:color w:val="auto"/>
              </w:rPr>
              <w:t>CineArts Theatre</w:t>
            </w:r>
          </w:p>
        </w:tc>
        <w:tc>
          <w:tcPr>
            <w:tcW w:w="0" w:type="dxa"/>
            <w:vAlign w:val="bottom"/>
          </w:tcPr>
          <w:p>
            <w:pPr>
              <w:spacing w:after="0"/>
              <w:rPr>
                <w:sz w:val="1"/>
                <w:szCs w:val="1"/>
                <w:color w:val="auto"/>
              </w:rPr>
            </w:pPr>
          </w:p>
        </w:tc>
      </w:tr>
      <w:tr>
        <w:trPr>
          <w:trHeight w:val="210"/>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w w:val="98"/>
              </w:rPr>
              <w:t>Third St Promenade   (14)</w:t>
            </w:r>
          </w:p>
        </w:tc>
        <w:tc>
          <w:tcPr>
            <w:tcW w:w="1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 Angeles-Long</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1996-2000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74,243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211,000</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96%</w:t>
            </w:r>
          </w:p>
        </w:tc>
        <w:tc>
          <w:tcPr>
            <w:tcW w:w="1460" w:type="dxa"/>
            <w:vAlign w:val="bottom"/>
            <w:shd w:val="clear" w:color="auto" w:fill="CCEEFF"/>
          </w:tcPr>
          <w:p>
            <w:pPr>
              <w:spacing w:after="0"/>
              <w:rPr>
                <w:sz w:val="18"/>
                <w:szCs w:val="18"/>
                <w:color w:val="auto"/>
              </w:rPr>
            </w:pPr>
          </w:p>
        </w:tc>
        <w:tc>
          <w:tcPr>
            <w:tcW w:w="1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J. Crew / Banana</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18"/>
                <w:szCs w:val="18"/>
                <w:color w:val="auto"/>
              </w:rPr>
            </w:pPr>
          </w:p>
        </w:tc>
        <w:tc>
          <w:tcPr>
            <w:tcW w:w="1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Beach, CA</w:t>
            </w: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8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2"/>
              </w:rPr>
              <w:t>Republic / Old Navy /</w:t>
            </w:r>
          </w:p>
        </w:tc>
        <w:tc>
          <w:tcPr>
            <w:tcW w:w="0" w:type="dxa"/>
            <w:vAlign w:val="bottom"/>
          </w:tcPr>
          <w:p>
            <w:pPr>
              <w:spacing w:after="0"/>
              <w:rPr>
                <w:sz w:val="1"/>
                <w:szCs w:val="1"/>
                <w:color w:val="auto"/>
              </w:rPr>
            </w:pPr>
          </w:p>
        </w:tc>
      </w:tr>
      <w:tr>
        <w:trPr>
          <w:trHeight w:val="224"/>
        </w:trPr>
        <w:tc>
          <w:tcPr>
            <w:tcW w:w="20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8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5"/>
              </w:rPr>
              <w:t>Abercrombie &amp; Fitch</w:t>
            </w:r>
          </w:p>
        </w:tc>
        <w:tc>
          <w:tcPr>
            <w:tcW w:w="0" w:type="dxa"/>
            <w:vAlign w:val="bottom"/>
          </w:tcPr>
          <w:p>
            <w:pPr>
              <w:spacing w:after="0"/>
              <w:rPr>
                <w:sz w:val="1"/>
                <w:szCs w:val="1"/>
                <w:color w:val="auto"/>
              </w:rPr>
            </w:pPr>
          </w:p>
        </w:tc>
      </w:tr>
      <w:tr>
        <w:trPr>
          <w:trHeight w:val="208"/>
        </w:trPr>
        <w:tc>
          <w:tcPr>
            <w:tcW w:w="2080" w:type="dxa"/>
            <w:vAlign w:val="bottom"/>
          </w:tcPr>
          <w:p>
            <w:pPr>
              <w:spacing w:after="0"/>
              <w:rPr>
                <w:sz w:val="20"/>
                <w:szCs w:val="20"/>
                <w:color w:val="auto"/>
              </w:rPr>
            </w:pPr>
            <w:r>
              <w:rPr>
                <w:rFonts w:ascii="Arial" w:cs="Arial" w:eastAsia="Arial" w:hAnsi="Arial"/>
                <w:sz w:val="18"/>
                <w:szCs w:val="18"/>
                <w:color w:val="auto"/>
              </w:rPr>
              <w:t>Westgate</w:t>
            </w:r>
          </w:p>
        </w:tc>
        <w:tc>
          <w:tcPr>
            <w:tcW w:w="1680" w:type="dxa"/>
            <w:vAlign w:val="bottom"/>
          </w:tcPr>
          <w:p>
            <w:pPr>
              <w:ind w:left="120"/>
              <w:spacing w:after="0"/>
              <w:rPr>
                <w:sz w:val="20"/>
                <w:szCs w:val="20"/>
                <w:color w:val="auto"/>
              </w:rPr>
            </w:pPr>
            <w:r>
              <w:rPr>
                <w:rFonts w:ascii="Arial" w:cs="Arial" w:eastAsia="Arial" w:hAnsi="Arial"/>
                <w:sz w:val="18"/>
                <w:szCs w:val="18"/>
                <w:color w:val="auto"/>
              </w:rPr>
              <w:t>San Jose, CA</w:t>
            </w:r>
          </w:p>
        </w:tc>
        <w:tc>
          <w:tcPr>
            <w:tcW w:w="1060" w:type="dxa"/>
            <w:vAlign w:val="bottom"/>
          </w:tcPr>
          <w:p>
            <w:pPr>
              <w:jc w:val="right"/>
              <w:spacing w:after="0"/>
              <w:rPr>
                <w:sz w:val="20"/>
                <w:szCs w:val="20"/>
                <w:color w:val="auto"/>
              </w:rPr>
            </w:pPr>
            <w:r>
              <w:rPr>
                <w:rFonts w:ascii="Arial" w:cs="Arial" w:eastAsia="Arial" w:hAnsi="Arial"/>
                <w:sz w:val="18"/>
                <w:szCs w:val="18"/>
                <w:color w:val="auto"/>
              </w:rPr>
              <w:t>2004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115,690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645,000</w:t>
            </w:r>
          </w:p>
        </w:tc>
        <w:tc>
          <w:tcPr>
            <w:tcW w:w="720" w:type="dxa"/>
            <w:vAlign w:val="bottom"/>
            <w:gridSpan w:val="3"/>
          </w:tcPr>
          <w:p>
            <w:pPr>
              <w:ind w:left="320"/>
              <w:spacing w:after="0"/>
              <w:rPr>
                <w:sz w:val="20"/>
                <w:szCs w:val="20"/>
                <w:color w:val="auto"/>
              </w:rPr>
            </w:pPr>
            <w:r>
              <w:rPr>
                <w:rFonts w:ascii="Arial" w:cs="Arial" w:eastAsia="Arial" w:hAnsi="Arial"/>
                <w:sz w:val="18"/>
                <w:szCs w:val="18"/>
                <w:color w:val="auto"/>
              </w:rPr>
              <w:t>99%</w:t>
            </w:r>
          </w:p>
        </w:tc>
        <w:tc>
          <w:tcPr>
            <w:tcW w:w="1460" w:type="dxa"/>
            <w:vAlign w:val="bottom"/>
          </w:tcPr>
          <w:p>
            <w:pPr>
              <w:ind w:left="60"/>
              <w:spacing w:after="0"/>
              <w:rPr>
                <w:sz w:val="20"/>
                <w:szCs w:val="20"/>
                <w:color w:val="auto"/>
              </w:rPr>
            </w:pPr>
            <w:r>
              <w:rPr>
                <w:rFonts w:ascii="Arial" w:cs="Arial" w:eastAsia="Arial" w:hAnsi="Arial"/>
                <w:sz w:val="18"/>
                <w:szCs w:val="18"/>
                <w:color w:val="auto"/>
              </w:rPr>
              <w:t>38,000 Safeway</w:t>
            </w:r>
          </w:p>
        </w:tc>
        <w:tc>
          <w:tcPr>
            <w:tcW w:w="1820" w:type="dxa"/>
            <w:vAlign w:val="bottom"/>
          </w:tcPr>
          <w:p>
            <w:pPr>
              <w:ind w:left="240"/>
              <w:spacing w:after="0"/>
              <w:rPr>
                <w:sz w:val="20"/>
                <w:szCs w:val="20"/>
                <w:color w:val="auto"/>
              </w:rPr>
            </w:pPr>
            <w:r>
              <w:rPr>
                <w:rFonts w:ascii="Arial" w:cs="Arial" w:eastAsia="Arial" w:hAnsi="Arial"/>
                <w:sz w:val="18"/>
                <w:szCs w:val="18"/>
                <w:color w:val="auto"/>
              </w:rPr>
              <w:t>Target / Burlington</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20" w:type="dxa"/>
            <w:vAlign w:val="bottom"/>
          </w:tcPr>
          <w:p>
            <w:pPr>
              <w:ind w:left="240"/>
              <w:spacing w:after="0"/>
              <w:rPr>
                <w:sz w:val="20"/>
                <w:szCs w:val="20"/>
                <w:color w:val="auto"/>
              </w:rPr>
            </w:pPr>
            <w:r>
              <w:rPr>
                <w:rFonts w:ascii="Arial" w:cs="Arial" w:eastAsia="Arial" w:hAnsi="Arial"/>
                <w:sz w:val="18"/>
                <w:szCs w:val="18"/>
                <w:color w:val="auto"/>
                <w:w w:val="89"/>
              </w:rPr>
              <w:t>Coat Factory / Barnes</w:t>
            </w:r>
          </w:p>
        </w:tc>
        <w:tc>
          <w:tcPr>
            <w:tcW w:w="0" w:type="dxa"/>
            <w:vAlign w:val="bottom"/>
          </w:tcPr>
          <w:p>
            <w:pPr>
              <w:spacing w:after="0"/>
              <w:rPr>
                <w:sz w:val="1"/>
                <w:szCs w:val="1"/>
                <w:color w:val="auto"/>
              </w:rPr>
            </w:pPr>
          </w:p>
        </w:tc>
      </w:tr>
      <w:tr>
        <w:trPr>
          <w:trHeight w:val="222"/>
        </w:trPr>
        <w:tc>
          <w:tcPr>
            <w:tcW w:w="20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20" w:type="dxa"/>
            <w:vAlign w:val="bottom"/>
          </w:tcPr>
          <w:p>
            <w:pPr>
              <w:ind w:left="240"/>
              <w:spacing w:after="0"/>
              <w:rPr>
                <w:sz w:val="20"/>
                <w:szCs w:val="20"/>
                <w:color w:val="auto"/>
              </w:rPr>
            </w:pPr>
            <w:r>
              <w:rPr>
                <w:rFonts w:ascii="Arial" w:cs="Arial" w:eastAsia="Arial" w:hAnsi="Arial"/>
                <w:sz w:val="18"/>
                <w:szCs w:val="18"/>
                <w:color w:val="auto"/>
              </w:rPr>
              <w:t>&amp; Noble / Ross</w:t>
            </w:r>
          </w:p>
        </w:tc>
        <w:tc>
          <w:tcPr>
            <w:tcW w:w="0" w:type="dxa"/>
            <w:vAlign w:val="bottom"/>
          </w:tcPr>
          <w:p>
            <w:pPr>
              <w:spacing w:after="0"/>
              <w:rPr>
                <w:sz w:val="1"/>
                <w:szCs w:val="1"/>
                <w:color w:val="auto"/>
              </w:rPr>
            </w:pPr>
          </w:p>
        </w:tc>
      </w:tr>
      <w:tr>
        <w:trPr>
          <w:trHeight w:val="210"/>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150 Post Street</w:t>
            </w:r>
          </w:p>
        </w:tc>
        <w:tc>
          <w:tcPr>
            <w:tcW w:w="1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San Francisco, CA</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102,000</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96%</w:t>
            </w:r>
          </w:p>
        </w:tc>
        <w:tc>
          <w:tcPr>
            <w:tcW w:w="1460" w:type="dxa"/>
            <w:vAlign w:val="bottom"/>
            <w:shd w:val="clear" w:color="auto" w:fill="CCEEFF"/>
          </w:tcPr>
          <w:p>
            <w:pPr>
              <w:spacing w:after="0"/>
              <w:rPr>
                <w:sz w:val="18"/>
                <w:szCs w:val="18"/>
                <w:color w:val="auto"/>
              </w:rPr>
            </w:pPr>
          </w:p>
        </w:tc>
        <w:tc>
          <w:tcPr>
            <w:tcW w:w="18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9"/>
              </w:rPr>
              <w:t>Brooks Brothers / H</w:t>
            </w:r>
          </w:p>
        </w:tc>
        <w:tc>
          <w:tcPr>
            <w:tcW w:w="0" w:type="dxa"/>
            <w:vAlign w:val="bottom"/>
          </w:tcPr>
          <w:p>
            <w:pPr>
              <w:spacing w:after="0"/>
              <w:rPr>
                <w:sz w:val="1"/>
                <w:szCs w:val="1"/>
                <w:color w:val="auto"/>
              </w:rPr>
            </w:pPr>
          </w:p>
        </w:tc>
      </w:tr>
      <w:tr>
        <w:trPr>
          <w:trHeight w:val="224"/>
        </w:trPr>
        <w:tc>
          <w:tcPr>
            <w:tcW w:w="20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&amp; M</w:t>
            </w:r>
          </w:p>
        </w:tc>
        <w:tc>
          <w:tcPr>
            <w:tcW w:w="0" w:type="dxa"/>
            <w:vAlign w:val="bottom"/>
          </w:tcPr>
          <w:p>
            <w:pPr>
              <w:spacing w:after="0"/>
              <w:rPr>
                <w:sz w:val="1"/>
                <w:szCs w:val="1"/>
                <w:color w:val="auto"/>
              </w:rPr>
            </w:pPr>
          </w:p>
        </w:tc>
      </w:tr>
      <w:tr>
        <w:trPr>
          <w:trHeight w:val="221"/>
        </w:trPr>
        <w:tc>
          <w:tcPr>
            <w:tcW w:w="2080" w:type="dxa"/>
            <w:vAlign w:val="bottom"/>
          </w:tcPr>
          <w:p>
            <w:pPr>
              <w:spacing w:after="0"/>
              <w:rPr>
                <w:sz w:val="19"/>
                <w:szCs w:val="19"/>
                <w:color w:val="auto"/>
              </w:rPr>
            </w:pPr>
          </w:p>
        </w:tc>
        <w:tc>
          <w:tcPr>
            <w:tcW w:w="1680" w:type="dxa"/>
            <w:vAlign w:val="bottom"/>
          </w:tcPr>
          <w:p>
            <w:pPr>
              <w:ind w:left="120"/>
              <w:spacing w:after="0"/>
              <w:rPr>
                <w:sz w:val="20"/>
                <w:szCs w:val="20"/>
                <w:color w:val="auto"/>
              </w:rPr>
            </w:pPr>
            <w:r>
              <w:rPr>
                <w:rFonts w:ascii="Arial" w:cs="Arial" w:eastAsia="Arial" w:hAnsi="Arial"/>
                <w:sz w:val="18"/>
                <w:szCs w:val="18"/>
                <w:b w:val="1"/>
                <w:bCs w:val="1"/>
                <w:color w:val="auto"/>
              </w:rPr>
              <w:t>Total California</w:t>
            </w:r>
          </w:p>
        </w:tc>
        <w:tc>
          <w:tcPr>
            <w:tcW w:w="10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900,363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2,450,000</w:t>
            </w:r>
          </w:p>
        </w:tc>
        <w:tc>
          <w:tcPr>
            <w:tcW w:w="720" w:type="dxa"/>
            <w:vAlign w:val="bottom"/>
            <w:gridSpan w:val="3"/>
          </w:tcPr>
          <w:p>
            <w:pPr>
              <w:ind w:left="320"/>
              <w:spacing w:after="0"/>
              <w:rPr>
                <w:sz w:val="20"/>
                <w:szCs w:val="20"/>
                <w:color w:val="auto"/>
              </w:rPr>
            </w:pPr>
            <w:r>
              <w:rPr>
                <w:rFonts w:ascii="Arial" w:cs="Arial" w:eastAsia="Arial" w:hAnsi="Arial"/>
                <w:sz w:val="18"/>
                <w:szCs w:val="18"/>
                <w:color w:val="auto"/>
              </w:rPr>
              <w:t>97%</w:t>
            </w:r>
          </w:p>
        </w:tc>
        <w:tc>
          <w:tcPr>
            <w:tcW w:w="14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West Region - Other</w:t>
            </w:r>
          </w:p>
        </w:tc>
        <w:tc>
          <w:tcPr>
            <w:tcW w:w="16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Houston St</w:t>
            </w:r>
          </w:p>
        </w:tc>
        <w:tc>
          <w:tcPr>
            <w:tcW w:w="1680" w:type="dxa"/>
            <w:vAlign w:val="bottom"/>
          </w:tcPr>
          <w:p>
            <w:pPr>
              <w:ind w:left="120"/>
              <w:spacing w:after="0"/>
              <w:rPr>
                <w:sz w:val="20"/>
                <w:szCs w:val="20"/>
                <w:color w:val="auto"/>
              </w:rPr>
            </w:pPr>
            <w:r>
              <w:rPr>
                <w:rFonts w:ascii="Arial" w:cs="Arial" w:eastAsia="Arial" w:hAnsi="Arial"/>
                <w:sz w:val="18"/>
                <w:szCs w:val="18"/>
                <w:color w:val="auto"/>
              </w:rPr>
              <w:t>San Antonio, TX</w:t>
            </w:r>
          </w:p>
        </w:tc>
        <w:tc>
          <w:tcPr>
            <w:tcW w:w="1060" w:type="dxa"/>
            <w:vAlign w:val="bottom"/>
          </w:tcPr>
          <w:p>
            <w:pPr>
              <w:jc w:val="right"/>
              <w:spacing w:after="0"/>
              <w:rPr>
                <w:sz w:val="20"/>
                <w:szCs w:val="20"/>
                <w:color w:val="auto"/>
              </w:rPr>
            </w:pPr>
            <w:r>
              <w:rPr>
                <w:rFonts w:ascii="Arial" w:cs="Arial" w:eastAsia="Arial" w:hAnsi="Arial"/>
                <w:sz w:val="18"/>
                <w:szCs w:val="18"/>
                <w:color w:val="auto"/>
              </w:rPr>
              <w:t>1998</w:t>
            </w: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62,066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176,000</w:t>
            </w:r>
          </w:p>
        </w:tc>
        <w:tc>
          <w:tcPr>
            <w:tcW w:w="100" w:type="dxa"/>
            <w:vAlign w:val="bottom"/>
          </w:tcPr>
          <w:p>
            <w:pPr>
              <w:spacing w:after="0"/>
              <w:rPr>
                <w:sz w:val="18"/>
                <w:szCs w:val="18"/>
                <w:color w:val="auto"/>
              </w:rPr>
            </w:pPr>
          </w:p>
        </w:tc>
        <w:tc>
          <w:tcPr>
            <w:tcW w:w="620" w:type="dxa"/>
            <w:vAlign w:val="bottom"/>
            <w:gridSpan w:val="2"/>
          </w:tcPr>
          <w:p>
            <w:pPr>
              <w:ind w:left="220"/>
              <w:spacing w:after="0"/>
              <w:rPr>
                <w:sz w:val="20"/>
                <w:szCs w:val="20"/>
                <w:color w:val="auto"/>
              </w:rPr>
            </w:pPr>
            <w:r>
              <w:rPr>
                <w:rFonts w:ascii="Arial" w:cs="Arial" w:eastAsia="Arial" w:hAnsi="Arial"/>
                <w:sz w:val="18"/>
                <w:szCs w:val="18"/>
                <w:color w:val="auto"/>
              </w:rPr>
              <w:t>73%</w:t>
            </w:r>
          </w:p>
        </w:tc>
        <w:tc>
          <w:tcPr>
            <w:tcW w:w="1460" w:type="dxa"/>
            <w:vAlign w:val="bottom"/>
          </w:tcPr>
          <w:p>
            <w:pPr>
              <w:spacing w:after="0"/>
              <w:rPr>
                <w:sz w:val="18"/>
                <w:szCs w:val="18"/>
                <w:color w:val="auto"/>
              </w:rPr>
            </w:pPr>
          </w:p>
        </w:tc>
        <w:tc>
          <w:tcPr>
            <w:tcW w:w="1820" w:type="dxa"/>
            <w:vAlign w:val="bottom"/>
          </w:tcPr>
          <w:p>
            <w:pPr>
              <w:ind w:left="240"/>
              <w:spacing w:after="0"/>
              <w:rPr>
                <w:sz w:val="20"/>
                <w:szCs w:val="20"/>
                <w:color w:val="auto"/>
              </w:rPr>
            </w:pPr>
            <w:r>
              <w:rPr>
                <w:rFonts w:ascii="Arial" w:cs="Arial" w:eastAsia="Arial" w:hAnsi="Arial"/>
                <w:sz w:val="18"/>
                <w:szCs w:val="18"/>
                <w:color w:val="auto"/>
              </w:rPr>
              <w:t>Hotel Valencia</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80" w:type="dxa"/>
            <w:vAlign w:val="bottom"/>
            <w:shd w:val="clear" w:color="auto" w:fill="CCEEFF"/>
          </w:tcPr>
          <w:p>
            <w:pPr>
              <w:spacing w:after="0"/>
              <w:rPr>
                <w:sz w:val="18"/>
                <w:szCs w:val="18"/>
                <w:color w:val="auto"/>
              </w:rPr>
            </w:pPr>
          </w:p>
        </w:tc>
        <w:tc>
          <w:tcPr>
            <w:tcW w:w="16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w w:val="98"/>
              </w:rPr>
              <w:t>Total West Region</w:t>
            </w: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962,429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2,626,000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95%</w:t>
            </w:r>
          </w:p>
        </w:tc>
        <w:tc>
          <w:tcPr>
            <w:tcW w:w="14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80" w:type="dxa"/>
            <w:vAlign w:val="bottom"/>
            <w:vMerge w:val="restart"/>
          </w:tcPr>
          <w:p>
            <w:pPr>
              <w:spacing w:after="0"/>
              <w:rPr>
                <w:sz w:val="20"/>
                <w:szCs w:val="20"/>
                <w:color w:val="auto"/>
              </w:rPr>
            </w:pPr>
            <w:r>
              <w:rPr>
                <w:rFonts w:ascii="Arial" w:cs="Arial" w:eastAsia="Arial" w:hAnsi="Arial"/>
                <w:sz w:val="18"/>
                <w:szCs w:val="18"/>
                <w:b w:val="1"/>
                <w:bCs w:val="1"/>
                <w:color w:val="auto"/>
              </w:rPr>
              <w:t>Grand Total</w:t>
            </w:r>
          </w:p>
        </w:tc>
        <w:tc>
          <w:tcPr>
            <w:tcW w:w="1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80" w:type="dxa"/>
            <w:vAlign w:val="bottom"/>
            <w:vMerge w:val="continue"/>
          </w:tcPr>
          <w:p>
            <w:pPr>
              <w:spacing w:after="0"/>
              <w:rPr>
                <w:sz w:val="19"/>
                <w:szCs w:val="19"/>
                <w:color w:val="auto"/>
              </w:rPr>
            </w:pPr>
          </w:p>
        </w:tc>
        <w:tc>
          <w:tcPr>
            <w:tcW w:w="1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3,441,715</w:t>
            </w:r>
          </w:p>
        </w:tc>
        <w:tc>
          <w:tcPr>
            <w:tcW w:w="100" w:type="dxa"/>
            <w:vAlign w:val="bottom"/>
            <w:vMerge w:val="continue"/>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98"/>
              </w:rPr>
              <w:t>528,642</w:t>
            </w:r>
          </w:p>
        </w:tc>
        <w:tc>
          <w:tcPr>
            <w:tcW w:w="80" w:type="dxa"/>
            <w:vAlign w:val="bottom"/>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86"/>
              </w:rPr>
              <w:t>19,468,000</w:t>
            </w:r>
          </w:p>
        </w:tc>
        <w:tc>
          <w:tcPr>
            <w:tcW w:w="100" w:type="dxa"/>
            <w:vAlign w:val="bottom"/>
            <w:vMerge w:val="continue"/>
          </w:tcPr>
          <w:p>
            <w:pPr>
              <w:spacing w:after="0"/>
              <w:rPr>
                <w:sz w:val="19"/>
                <w:szCs w:val="19"/>
                <w:color w:val="auto"/>
              </w:rPr>
            </w:pPr>
          </w:p>
        </w:tc>
        <w:tc>
          <w:tcPr>
            <w:tcW w:w="620" w:type="dxa"/>
            <w:vAlign w:val="bottom"/>
            <w:gridSpan w:val="2"/>
          </w:tcPr>
          <w:p>
            <w:pPr>
              <w:ind w:left="220"/>
              <w:spacing w:after="0"/>
              <w:rPr>
                <w:sz w:val="20"/>
                <w:szCs w:val="20"/>
                <w:color w:val="auto"/>
              </w:rPr>
            </w:pPr>
            <w:r>
              <w:rPr>
                <w:rFonts w:ascii="Arial" w:cs="Arial" w:eastAsia="Arial" w:hAnsi="Arial"/>
                <w:sz w:val="18"/>
                <w:szCs w:val="18"/>
                <w:b w:val="1"/>
                <w:bCs w:val="1"/>
                <w:color w:val="auto"/>
              </w:rPr>
              <w:t>96%</w:t>
            </w:r>
          </w:p>
        </w:tc>
        <w:tc>
          <w:tcPr>
            <w:tcW w:w="14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90" w:lineRule="exact"/>
        <w:rPr>
          <w:sz w:val="20"/>
          <w:szCs w:val="20"/>
          <w:color w:val="auto"/>
        </w:rPr>
      </w:pPr>
    </w:p>
    <w:p>
      <w:pPr>
        <w:ind w:left="460" w:right="22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mortgage or capital lease obligations differ from the total reported on the consolidated balance sheet due to the unamortized discount or premium on certain mortgage payables.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Excludes newly created redevelopment square footage not yet in service, as well as residential and hotel square footage.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Grocery anchor is defined as a grocery tenant leasing 15,000 square feet or more.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Portion of property subject to capital lease obligation.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4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Status Report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2007</w:t>
      </w:r>
    </w:p>
    <w:p>
      <w:pPr>
        <w:spacing w:after="0" w:line="84"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Total investment includes dollars associated with the 146 units of The Crest at Congressional. The Trust has a 64.1% ownership interest in the property.</w:t>
      </w:r>
    </w:p>
    <w:p>
      <w:pPr>
        <w:spacing w:after="0" w:line="113" w:lineRule="exact"/>
        <w:rPr>
          <w:rFonts w:ascii="Arial" w:cs="Arial" w:eastAsia="Arial" w:hAnsi="Arial"/>
          <w:sz w:val="16"/>
          <w:szCs w:val="16"/>
          <w:color w:val="auto"/>
        </w:rPr>
      </w:pPr>
    </w:p>
    <w:p>
      <w:pPr>
        <w:ind w:left="460" w:right="12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Property owned in a “downreit” partnership, of which a wholly owned subsidiary of the Trust is the sole general partner, with third party partners holding operating partnership units.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Property subject to capital lease obligation.</w:t>
      </w:r>
    </w:p>
    <w:p>
      <w:pPr>
        <w:spacing w:after="0" w:line="90" w:lineRule="exact"/>
        <w:rPr>
          <w:rFonts w:ascii="Arial" w:cs="Arial" w:eastAsia="Arial" w:hAnsi="Arial"/>
          <w:sz w:val="18"/>
          <w:szCs w:val="18"/>
          <w:color w:val="auto"/>
        </w:rPr>
      </w:pPr>
    </w:p>
    <w:p>
      <w:pPr>
        <w:ind w:left="460" w:right="320" w:hanging="452"/>
        <w:spacing w:after="0" w:line="332"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On October 16, 2006, the Trust acquired control of Melville Mall through a 20 year master lease and secondary financing. Since the Trust controls this property and retains substantially all of the economic benefit and risks associated with it, we consolidate this property and its operations.</w:t>
      </w:r>
    </w:p>
    <w:p>
      <w:pPr>
        <w:spacing w:after="0" w:line="4"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50% of the ownership of this property is in a “downreit” partnership, of which a wholly owned subsidiary of the Trust is the sole general partner, with third party partners holding operating partnership units.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preliminary allocation of the purchase price has been made and will be finalized after various valuation studies are complete.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Trust has a 70% ownership interest in the property.</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Consists of four properties, three owned 100% by the Trust and one in which the Trust has a 90% ownership interest.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Trust has a 90% ownership interest in the property.</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Consists of nine properties, eight owned 100% by the Trust and one in which the Trust has a 90% ownership interest.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274" w:right="29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Leasing Summary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2007</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Total Lease Summary - Comparable (2)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Straight-</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Cash</w:t>
            </w: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lined</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Basis %</w:t>
            </w: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Basis %</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Number</w:t>
            </w:r>
          </w:p>
        </w:tc>
        <w:tc>
          <w:tcPr>
            <w:tcW w:w="100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 of</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Increase</w:t>
            </w: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Increase</w:t>
            </w:r>
          </w:p>
        </w:tc>
        <w:tc>
          <w:tcPr>
            <w:tcW w:w="6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Weighted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Tenant</w:t>
            </w:r>
          </w:p>
        </w:tc>
        <w:tc>
          <w:tcPr>
            <w:tcW w:w="12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Tenant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w:t>
            </w:r>
          </w:p>
        </w:tc>
        <w:tc>
          <w:tcPr>
            <w:tcW w:w="100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Comparable</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Annual</w:t>
            </w: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Over</w:t>
            </w: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Over</w:t>
            </w:r>
          </w:p>
        </w:tc>
        <w:tc>
          <w:tcPr>
            <w:tcW w:w="6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Average</w:t>
            </w:r>
          </w:p>
        </w:tc>
        <w:tc>
          <w:tcPr>
            <w:tcW w:w="60" w:type="dxa"/>
            <w:vAlign w:val="bottom"/>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Improvements</w:t>
            </w: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7"/>
              </w:rPr>
              <w:t>Improvements</w:t>
            </w:r>
          </w:p>
        </w:tc>
        <w:tc>
          <w:tcPr>
            <w:tcW w:w="0" w:type="dxa"/>
            <w:vAlign w:val="bottom"/>
          </w:tcPr>
          <w:p>
            <w:pPr>
              <w:spacing w:after="0"/>
              <w:rPr>
                <w:sz w:val="1"/>
                <w:szCs w:val="1"/>
                <w:color w:val="auto"/>
              </w:rPr>
            </w:pPr>
          </w:p>
        </w:tc>
      </w:tr>
      <w:tr>
        <w:trPr>
          <w:trHeight w:val="149"/>
        </w:trPr>
        <w:tc>
          <w:tcPr>
            <w:tcW w:w="1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Quarter</w:t>
            </w:r>
          </w:p>
        </w:tc>
        <w:tc>
          <w:tcPr>
            <w:tcW w:w="120" w:type="dxa"/>
            <w:vAlign w:val="bottom"/>
          </w:tcPr>
          <w:p>
            <w:pPr>
              <w:spacing w:after="0"/>
              <w:rPr>
                <w:sz w:val="12"/>
                <w:szCs w:val="12"/>
                <w:color w:val="auto"/>
              </w:rPr>
            </w:pPr>
          </w:p>
        </w:tc>
        <w:tc>
          <w:tcPr>
            <w:tcW w:w="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79"/>
              </w:rPr>
              <w:t>Leases</w:t>
            </w:r>
          </w:p>
        </w:tc>
        <w:tc>
          <w:tcPr>
            <w:tcW w:w="100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79"/>
              </w:rPr>
              <w:t>Leases</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Rent (3)</w:t>
            </w:r>
          </w:p>
        </w:tc>
        <w:tc>
          <w:tcPr>
            <w:tcW w:w="60" w:type="dxa"/>
            <w:vAlign w:val="bottom"/>
          </w:tcPr>
          <w:p>
            <w:pPr>
              <w:spacing w:after="0"/>
              <w:rPr>
                <w:sz w:val="12"/>
                <w:szCs w:val="12"/>
                <w:color w:val="auto"/>
              </w:rPr>
            </w:pPr>
          </w:p>
        </w:tc>
        <w:tc>
          <w:tcPr>
            <w:tcW w:w="10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Prior Rent (4)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Increase in</w:t>
            </w: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Prior</w:t>
            </w: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Prior</w:t>
            </w:r>
          </w:p>
        </w:tc>
        <w:tc>
          <w:tcPr>
            <w:tcW w:w="6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0"/>
              </w:rPr>
              <w:t>Lease</w:t>
            </w:r>
          </w:p>
        </w:tc>
        <w:tc>
          <w:tcPr>
            <w:tcW w:w="60" w:type="dxa"/>
            <w:vAlign w:val="bottom"/>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&amp; Incentives</w:t>
            </w:r>
          </w:p>
        </w:tc>
        <w:tc>
          <w:tcPr>
            <w:tcW w:w="8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&amp; Incentives</w:t>
            </w:r>
          </w:p>
        </w:tc>
        <w:tc>
          <w:tcPr>
            <w:tcW w:w="0" w:type="dxa"/>
            <w:vAlign w:val="bottom"/>
          </w:tcPr>
          <w:p>
            <w:pPr>
              <w:spacing w:after="0"/>
              <w:rPr>
                <w:sz w:val="1"/>
                <w:szCs w:val="1"/>
                <w:color w:val="auto"/>
              </w:rPr>
            </w:pPr>
          </w:p>
        </w:tc>
      </w:tr>
      <w:tr>
        <w:trPr>
          <w:trHeight w:val="148"/>
        </w:trPr>
        <w:tc>
          <w:tcPr>
            <w:tcW w:w="1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85"/>
              </w:rPr>
              <w:t>Signed</w:t>
            </w:r>
          </w:p>
        </w:tc>
        <w:tc>
          <w:tcPr>
            <w:tcW w:w="1000" w:type="dxa"/>
            <w:vAlign w:val="bottom"/>
            <w:gridSpan w:val="4"/>
          </w:tcPr>
          <w:p>
            <w:pPr>
              <w:jc w:val="center"/>
              <w:ind w:right="260"/>
              <w:spacing w:after="0" w:line="148" w:lineRule="exact"/>
              <w:rPr>
                <w:sz w:val="20"/>
                <w:szCs w:val="20"/>
                <w:color w:val="auto"/>
              </w:rPr>
            </w:pPr>
            <w:r>
              <w:rPr>
                <w:rFonts w:ascii="Arial" w:cs="Arial" w:eastAsia="Arial" w:hAnsi="Arial"/>
                <w:sz w:val="14"/>
                <w:szCs w:val="14"/>
                <w:b w:val="1"/>
                <w:bCs w:val="1"/>
                <w:color w:val="auto"/>
                <w:w w:val="81"/>
              </w:rPr>
              <w:t>Signed</w:t>
            </w:r>
          </w:p>
        </w:tc>
        <w:tc>
          <w:tcPr>
            <w:tcW w:w="860" w:type="dxa"/>
            <w:vAlign w:val="bottom"/>
            <w:gridSpan w:val="3"/>
          </w:tcPr>
          <w:p>
            <w:pPr>
              <w:jc w:val="center"/>
              <w:ind w:right="60"/>
              <w:spacing w:after="0" w:line="148" w:lineRule="exact"/>
              <w:rPr>
                <w:sz w:val="20"/>
                <w:szCs w:val="20"/>
                <w:color w:val="auto"/>
              </w:rPr>
            </w:pPr>
            <w:r>
              <w:rPr>
                <w:rFonts w:ascii="Arial" w:cs="Arial" w:eastAsia="Arial" w:hAnsi="Arial"/>
                <w:sz w:val="14"/>
                <w:szCs w:val="14"/>
                <w:b w:val="1"/>
                <w:bCs w:val="1"/>
                <w:color w:val="auto"/>
                <w:w w:val="89"/>
              </w:rPr>
              <w:t>GLA Signed</w:t>
            </w:r>
          </w:p>
        </w:tc>
        <w:tc>
          <w:tcPr>
            <w:tcW w:w="60" w:type="dxa"/>
            <w:vAlign w:val="bottom"/>
          </w:tcPr>
          <w:p>
            <w:pPr>
              <w:spacing w:after="0"/>
              <w:rPr>
                <w:sz w:val="12"/>
                <w:szCs w:val="12"/>
                <w:color w:val="auto"/>
              </w:rPr>
            </w:pPr>
          </w:p>
        </w:tc>
        <w:tc>
          <w:tcPr>
            <w:tcW w:w="760" w:type="dxa"/>
            <w:vAlign w:val="bottom"/>
            <w:gridSpan w:val="4"/>
          </w:tcPr>
          <w:p>
            <w:pPr>
              <w:jc w:val="center"/>
              <w:ind w:right="60"/>
              <w:spacing w:after="0" w:line="148" w:lineRule="exact"/>
              <w:rPr>
                <w:sz w:val="20"/>
                <w:szCs w:val="20"/>
                <w:color w:val="auto"/>
              </w:rPr>
            </w:pPr>
            <w:r>
              <w:rPr>
                <w:rFonts w:ascii="Arial" w:cs="Arial" w:eastAsia="Arial" w:hAnsi="Arial"/>
                <w:sz w:val="14"/>
                <w:szCs w:val="14"/>
                <w:b w:val="1"/>
                <w:bCs w:val="1"/>
                <w:color w:val="auto"/>
                <w:w w:val="89"/>
              </w:rPr>
              <w:t>Per Sq. Ft.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9"/>
              </w:rPr>
              <w:t>Per Sq. Ft.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9"/>
              </w:rPr>
              <w:t>Rent</w:t>
            </w:r>
          </w:p>
        </w:tc>
        <w:tc>
          <w:tcPr>
            <w:tcW w:w="76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Rent</w:t>
            </w:r>
          </w:p>
        </w:tc>
        <w:tc>
          <w:tcPr>
            <w:tcW w:w="80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89"/>
              </w:rPr>
              <w:t>Rent</w:t>
            </w:r>
          </w:p>
        </w:tc>
        <w:tc>
          <w:tcPr>
            <w:tcW w:w="62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90"/>
              </w:rPr>
              <w:t>Term (5)</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59"/>
              <w:spacing w:after="0" w:line="148" w:lineRule="exact"/>
              <w:rPr>
                <w:sz w:val="20"/>
                <w:szCs w:val="20"/>
                <w:color w:val="auto"/>
              </w:rPr>
            </w:pPr>
            <w:r>
              <w:rPr>
                <w:rFonts w:ascii="Arial" w:cs="Arial" w:eastAsia="Arial" w:hAnsi="Arial"/>
                <w:sz w:val="14"/>
                <w:szCs w:val="14"/>
                <w:b w:val="1"/>
                <w:bCs w:val="1"/>
                <w:color w:val="auto"/>
                <w:w w:val="93"/>
              </w:rPr>
              <w:t>(6)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89"/>
              </w:rPr>
              <w:t>Per Sq. Ft.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2nd Quarter 2007</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340,579</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26.70</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22.52</w:t>
            </w:r>
          </w:p>
        </w:tc>
        <w:tc>
          <w:tcPr>
            <w:tcW w:w="10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92"/>
              </w:rPr>
              <w:t>$ 1,423,650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4,799,408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1st Quarter 2007</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81</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333,563</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29.18</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24.59</w:t>
            </w:r>
          </w:p>
        </w:tc>
        <w:tc>
          <w:tcPr>
            <w:tcW w:w="1020" w:type="dxa"/>
            <w:vAlign w:val="bottom"/>
            <w:gridSpan w:val="4"/>
          </w:tcPr>
          <w:p>
            <w:pPr>
              <w:jc w:val="right"/>
              <w:ind w:right="120"/>
              <w:spacing w:after="0"/>
              <w:rPr>
                <w:sz w:val="20"/>
                <w:szCs w:val="20"/>
                <w:color w:val="auto"/>
              </w:rPr>
            </w:pPr>
            <w:r>
              <w:rPr>
                <w:rFonts w:ascii="Arial" w:cs="Arial" w:eastAsia="Arial" w:hAnsi="Arial"/>
                <w:sz w:val="18"/>
                <w:szCs w:val="18"/>
                <w:color w:val="auto"/>
                <w:w w:val="92"/>
              </w:rPr>
              <w:t>$ 1,532,269</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560" w:type="dxa"/>
            <w:vAlign w:val="bottom"/>
          </w:tcPr>
          <w:p>
            <w:pPr>
              <w:jc w:val="right"/>
              <w:spacing w:after="0"/>
              <w:rPr>
                <w:sz w:val="20"/>
                <w:szCs w:val="20"/>
                <w:color w:val="auto"/>
              </w:rPr>
            </w:pPr>
            <w:r>
              <w:rPr>
                <w:rFonts w:ascii="Arial" w:cs="Arial" w:eastAsia="Arial" w:hAnsi="Arial"/>
                <w:sz w:val="18"/>
                <w:szCs w:val="18"/>
                <w:color w:val="auto"/>
              </w:rPr>
              <w:t>6.3</w:t>
            </w:r>
          </w:p>
        </w:tc>
        <w:tc>
          <w:tcPr>
            <w:tcW w:w="60" w:type="dxa"/>
            <w:vAlign w:val="bottom"/>
          </w:tcPr>
          <w:p>
            <w:pPr>
              <w:spacing w:after="0"/>
              <w:rPr>
                <w:sz w:val="18"/>
                <w:szCs w:val="18"/>
                <w:color w:val="auto"/>
              </w:rPr>
            </w:pP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2,988,801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4th Quarter 2006</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75</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304,036</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26.72</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22.80</w:t>
            </w:r>
          </w:p>
        </w:tc>
        <w:tc>
          <w:tcPr>
            <w:tcW w:w="10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92"/>
              </w:rPr>
              <w:t>$ 1,192,428</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985,306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3rd Quarter 2006</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332,200</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20.02</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16.25</w:t>
            </w:r>
          </w:p>
        </w:tc>
        <w:tc>
          <w:tcPr>
            <w:tcW w:w="1020" w:type="dxa"/>
            <w:vAlign w:val="bottom"/>
            <w:gridSpan w:val="4"/>
          </w:tcPr>
          <w:p>
            <w:pPr>
              <w:jc w:val="right"/>
              <w:ind w:right="120"/>
              <w:spacing w:after="0"/>
              <w:rPr>
                <w:sz w:val="20"/>
                <w:szCs w:val="20"/>
                <w:color w:val="auto"/>
              </w:rPr>
            </w:pPr>
            <w:r>
              <w:rPr>
                <w:rFonts w:ascii="Arial" w:cs="Arial" w:eastAsia="Arial" w:hAnsi="Arial"/>
                <w:sz w:val="18"/>
                <w:szCs w:val="18"/>
                <w:color w:val="auto"/>
                <w:w w:val="92"/>
              </w:rPr>
              <w:t>$ 1,251,137</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560" w:type="dxa"/>
            <w:vAlign w:val="bottom"/>
          </w:tcPr>
          <w:p>
            <w:pPr>
              <w:jc w:val="right"/>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18"/>
                <w:szCs w:val="18"/>
                <w:color w:val="auto"/>
              </w:rPr>
            </w:pP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4,182,700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Total - 12 months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1,310,378</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w:t>
            </w:r>
            <w:r>
              <w:rPr>
                <w:rFonts w:ascii="Arial" w:cs="Arial" w:eastAsia="Arial" w:hAnsi="Arial"/>
                <w:sz w:val="18"/>
                <w:szCs w:val="18"/>
                <w:u w:val="single" w:color="auto"/>
                <w:color w:val="auto"/>
              </w:rPr>
              <w:t>64</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21.52</w:t>
            </w:r>
          </w:p>
        </w:tc>
        <w:tc>
          <w:tcPr>
            <w:tcW w:w="10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92"/>
              </w:rPr>
              <w:t>$ 5,399,484</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6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ind w:left="6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12,956,215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60" w:type="dxa"/>
            <w:vAlign w:val="bottom"/>
            <w:gridSpan w:val="3"/>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560" w:type="dxa"/>
            <w:vAlign w:val="bottom"/>
            <w:gridSpan w:val="9"/>
          </w:tcPr>
          <w:p>
            <w:pPr>
              <w:spacing w:after="0"/>
              <w:rPr>
                <w:sz w:val="20"/>
                <w:szCs w:val="20"/>
                <w:color w:val="auto"/>
              </w:rPr>
            </w:pPr>
            <w:r>
              <w:rPr>
                <w:rFonts w:ascii="Arial" w:cs="Arial" w:eastAsia="Arial" w:hAnsi="Arial"/>
                <w:sz w:val="18"/>
                <w:szCs w:val="18"/>
                <w:b w:val="1"/>
                <w:bCs w:val="1"/>
                <w:color w:val="auto"/>
              </w:rPr>
              <w:t>New Lease Summary - Comparable (2)</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Straight-</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Cash</w:t>
            </w: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lined</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Basis %</w:t>
            </w: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Basis %</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Number</w:t>
            </w:r>
          </w:p>
        </w:tc>
        <w:tc>
          <w:tcPr>
            <w:tcW w:w="100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 of</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Increase</w:t>
            </w: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Increase</w:t>
            </w:r>
          </w:p>
        </w:tc>
        <w:tc>
          <w:tcPr>
            <w:tcW w:w="6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Weighted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Tenant</w:t>
            </w:r>
          </w:p>
        </w:tc>
        <w:tc>
          <w:tcPr>
            <w:tcW w:w="12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Tenant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w:t>
            </w:r>
          </w:p>
        </w:tc>
        <w:tc>
          <w:tcPr>
            <w:tcW w:w="100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Comparable</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Annual</w:t>
            </w: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Over</w:t>
            </w: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Over</w:t>
            </w:r>
          </w:p>
        </w:tc>
        <w:tc>
          <w:tcPr>
            <w:tcW w:w="6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Average</w:t>
            </w:r>
          </w:p>
        </w:tc>
        <w:tc>
          <w:tcPr>
            <w:tcW w:w="60" w:type="dxa"/>
            <w:vAlign w:val="bottom"/>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Improvements</w:t>
            </w: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7"/>
              </w:rPr>
              <w:t>Improvements</w:t>
            </w:r>
          </w:p>
        </w:tc>
        <w:tc>
          <w:tcPr>
            <w:tcW w:w="0" w:type="dxa"/>
            <w:vAlign w:val="bottom"/>
          </w:tcPr>
          <w:p>
            <w:pPr>
              <w:spacing w:after="0"/>
              <w:rPr>
                <w:sz w:val="1"/>
                <w:szCs w:val="1"/>
                <w:color w:val="auto"/>
              </w:rPr>
            </w:pPr>
          </w:p>
        </w:tc>
      </w:tr>
      <w:tr>
        <w:trPr>
          <w:trHeight w:val="149"/>
        </w:trPr>
        <w:tc>
          <w:tcPr>
            <w:tcW w:w="1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Quarter</w:t>
            </w:r>
          </w:p>
        </w:tc>
        <w:tc>
          <w:tcPr>
            <w:tcW w:w="120" w:type="dxa"/>
            <w:vAlign w:val="bottom"/>
          </w:tcPr>
          <w:p>
            <w:pPr>
              <w:spacing w:after="0"/>
              <w:rPr>
                <w:sz w:val="12"/>
                <w:szCs w:val="12"/>
                <w:color w:val="auto"/>
              </w:rPr>
            </w:pPr>
          </w:p>
        </w:tc>
        <w:tc>
          <w:tcPr>
            <w:tcW w:w="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79"/>
              </w:rPr>
              <w:t>Leases</w:t>
            </w:r>
          </w:p>
        </w:tc>
        <w:tc>
          <w:tcPr>
            <w:tcW w:w="100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79"/>
              </w:rPr>
              <w:t>Leases</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Rent (3)</w:t>
            </w:r>
          </w:p>
        </w:tc>
        <w:tc>
          <w:tcPr>
            <w:tcW w:w="60" w:type="dxa"/>
            <w:vAlign w:val="bottom"/>
          </w:tcPr>
          <w:p>
            <w:pPr>
              <w:spacing w:after="0"/>
              <w:rPr>
                <w:sz w:val="12"/>
                <w:szCs w:val="12"/>
                <w:color w:val="auto"/>
              </w:rPr>
            </w:pPr>
          </w:p>
        </w:tc>
        <w:tc>
          <w:tcPr>
            <w:tcW w:w="10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Prior Rent (4)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Increase in</w:t>
            </w: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Prior</w:t>
            </w: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Prior</w:t>
            </w:r>
          </w:p>
        </w:tc>
        <w:tc>
          <w:tcPr>
            <w:tcW w:w="6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0"/>
              </w:rPr>
              <w:t>Lease</w:t>
            </w:r>
          </w:p>
        </w:tc>
        <w:tc>
          <w:tcPr>
            <w:tcW w:w="60" w:type="dxa"/>
            <w:vAlign w:val="bottom"/>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&amp; Incentives</w:t>
            </w:r>
          </w:p>
        </w:tc>
        <w:tc>
          <w:tcPr>
            <w:tcW w:w="8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&amp; Incentives</w:t>
            </w:r>
          </w:p>
        </w:tc>
        <w:tc>
          <w:tcPr>
            <w:tcW w:w="0" w:type="dxa"/>
            <w:vAlign w:val="bottom"/>
          </w:tcPr>
          <w:p>
            <w:pPr>
              <w:spacing w:after="0"/>
              <w:rPr>
                <w:sz w:val="1"/>
                <w:szCs w:val="1"/>
                <w:color w:val="auto"/>
              </w:rPr>
            </w:pPr>
          </w:p>
        </w:tc>
      </w:tr>
      <w:tr>
        <w:trPr>
          <w:trHeight w:val="148"/>
        </w:trPr>
        <w:tc>
          <w:tcPr>
            <w:tcW w:w="1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85"/>
              </w:rPr>
              <w:t>Signed</w:t>
            </w:r>
          </w:p>
        </w:tc>
        <w:tc>
          <w:tcPr>
            <w:tcW w:w="1000" w:type="dxa"/>
            <w:vAlign w:val="bottom"/>
            <w:gridSpan w:val="4"/>
          </w:tcPr>
          <w:p>
            <w:pPr>
              <w:jc w:val="center"/>
              <w:ind w:right="260"/>
              <w:spacing w:after="0" w:line="148" w:lineRule="exact"/>
              <w:rPr>
                <w:sz w:val="20"/>
                <w:szCs w:val="20"/>
                <w:color w:val="auto"/>
              </w:rPr>
            </w:pPr>
            <w:r>
              <w:rPr>
                <w:rFonts w:ascii="Arial" w:cs="Arial" w:eastAsia="Arial" w:hAnsi="Arial"/>
                <w:sz w:val="14"/>
                <w:szCs w:val="14"/>
                <w:b w:val="1"/>
                <w:bCs w:val="1"/>
                <w:color w:val="auto"/>
                <w:w w:val="81"/>
              </w:rPr>
              <w:t>Signed</w:t>
            </w:r>
          </w:p>
        </w:tc>
        <w:tc>
          <w:tcPr>
            <w:tcW w:w="860" w:type="dxa"/>
            <w:vAlign w:val="bottom"/>
            <w:gridSpan w:val="3"/>
          </w:tcPr>
          <w:p>
            <w:pPr>
              <w:jc w:val="center"/>
              <w:ind w:right="60"/>
              <w:spacing w:after="0" w:line="148" w:lineRule="exact"/>
              <w:rPr>
                <w:sz w:val="20"/>
                <w:szCs w:val="20"/>
                <w:color w:val="auto"/>
              </w:rPr>
            </w:pPr>
            <w:r>
              <w:rPr>
                <w:rFonts w:ascii="Arial" w:cs="Arial" w:eastAsia="Arial" w:hAnsi="Arial"/>
                <w:sz w:val="14"/>
                <w:szCs w:val="14"/>
                <w:b w:val="1"/>
                <w:bCs w:val="1"/>
                <w:color w:val="auto"/>
                <w:w w:val="89"/>
              </w:rPr>
              <w:t>GLA Signed</w:t>
            </w:r>
          </w:p>
        </w:tc>
        <w:tc>
          <w:tcPr>
            <w:tcW w:w="60" w:type="dxa"/>
            <w:vAlign w:val="bottom"/>
          </w:tcPr>
          <w:p>
            <w:pPr>
              <w:spacing w:after="0"/>
              <w:rPr>
                <w:sz w:val="12"/>
                <w:szCs w:val="12"/>
                <w:color w:val="auto"/>
              </w:rPr>
            </w:pPr>
          </w:p>
        </w:tc>
        <w:tc>
          <w:tcPr>
            <w:tcW w:w="760" w:type="dxa"/>
            <w:vAlign w:val="bottom"/>
            <w:gridSpan w:val="4"/>
          </w:tcPr>
          <w:p>
            <w:pPr>
              <w:jc w:val="center"/>
              <w:ind w:right="60"/>
              <w:spacing w:after="0" w:line="148" w:lineRule="exact"/>
              <w:rPr>
                <w:sz w:val="20"/>
                <w:szCs w:val="20"/>
                <w:color w:val="auto"/>
              </w:rPr>
            </w:pPr>
            <w:r>
              <w:rPr>
                <w:rFonts w:ascii="Arial" w:cs="Arial" w:eastAsia="Arial" w:hAnsi="Arial"/>
                <w:sz w:val="14"/>
                <w:szCs w:val="14"/>
                <w:b w:val="1"/>
                <w:bCs w:val="1"/>
                <w:color w:val="auto"/>
                <w:w w:val="89"/>
              </w:rPr>
              <w:t>Per Sq. Ft.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9"/>
              </w:rPr>
              <w:t>Per Sq. Ft.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9"/>
              </w:rPr>
              <w:t>Rent</w:t>
            </w:r>
          </w:p>
        </w:tc>
        <w:tc>
          <w:tcPr>
            <w:tcW w:w="76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Rent</w:t>
            </w:r>
          </w:p>
        </w:tc>
        <w:tc>
          <w:tcPr>
            <w:tcW w:w="80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89"/>
              </w:rPr>
              <w:t>Rent</w:t>
            </w:r>
          </w:p>
        </w:tc>
        <w:tc>
          <w:tcPr>
            <w:tcW w:w="62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90"/>
              </w:rPr>
              <w:t>Term (5)</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59"/>
              <w:spacing w:after="0" w:line="148" w:lineRule="exact"/>
              <w:rPr>
                <w:sz w:val="20"/>
                <w:szCs w:val="20"/>
                <w:color w:val="auto"/>
              </w:rPr>
            </w:pPr>
            <w:r>
              <w:rPr>
                <w:rFonts w:ascii="Arial" w:cs="Arial" w:eastAsia="Arial" w:hAnsi="Arial"/>
                <w:sz w:val="14"/>
                <w:szCs w:val="14"/>
                <w:b w:val="1"/>
                <w:bCs w:val="1"/>
                <w:color w:val="auto"/>
                <w:w w:val="93"/>
              </w:rPr>
              <w:t>(6)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89"/>
              </w:rPr>
              <w:t>Per Sq. Ft.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2nd Quarter 2007</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194,278</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24.01</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19.81</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815,119</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4,774,408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1st Quarter 2007</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35</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160,286</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32.46</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26.23</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997,918</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560" w:type="dxa"/>
            <w:vAlign w:val="bottom"/>
          </w:tcPr>
          <w:p>
            <w:pPr>
              <w:jc w:val="right"/>
              <w:spacing w:after="0"/>
              <w:rPr>
                <w:sz w:val="20"/>
                <w:szCs w:val="20"/>
                <w:color w:val="auto"/>
              </w:rPr>
            </w:pPr>
            <w:r>
              <w:rPr>
                <w:rFonts w:ascii="Arial" w:cs="Arial" w:eastAsia="Arial" w:hAnsi="Arial"/>
                <w:sz w:val="18"/>
                <w:szCs w:val="18"/>
                <w:color w:val="auto"/>
              </w:rPr>
              <w:t>8.2</w:t>
            </w:r>
          </w:p>
        </w:tc>
        <w:tc>
          <w:tcPr>
            <w:tcW w:w="60" w:type="dxa"/>
            <w:vAlign w:val="bottom"/>
          </w:tcPr>
          <w:p>
            <w:pPr>
              <w:spacing w:after="0"/>
              <w:rPr>
                <w:sz w:val="18"/>
                <w:szCs w:val="18"/>
                <w:color w:val="auto"/>
              </w:rPr>
            </w:pP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2,937,651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4th Quarter 2006</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99,787</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25.58</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21.73</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383,822</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973,406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3rd Quarter 2006</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232,845</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19.21</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14.84</w:t>
            </w:r>
          </w:p>
        </w:tc>
        <w:tc>
          <w:tcPr>
            <w:tcW w:w="1020" w:type="dxa"/>
            <w:vAlign w:val="bottom"/>
            <w:gridSpan w:val="4"/>
          </w:tcPr>
          <w:p>
            <w:pPr>
              <w:jc w:val="right"/>
              <w:ind w:right="120"/>
              <w:spacing w:after="0"/>
              <w:rPr>
                <w:sz w:val="20"/>
                <w:szCs w:val="20"/>
                <w:color w:val="auto"/>
              </w:rPr>
            </w:pPr>
            <w:r>
              <w:rPr>
                <w:rFonts w:ascii="Arial" w:cs="Arial" w:eastAsia="Arial" w:hAnsi="Arial"/>
                <w:sz w:val="18"/>
                <w:szCs w:val="18"/>
                <w:color w:val="auto"/>
                <w:w w:val="92"/>
              </w:rPr>
              <w:t>$ 1,016,796</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11.9</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4,182,700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Total - 12 months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687,196</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w:t>
            </w:r>
            <w:r>
              <w:rPr>
                <w:rFonts w:ascii="Arial" w:cs="Arial" w:eastAsia="Arial" w:hAnsi="Arial"/>
                <w:sz w:val="18"/>
                <w:szCs w:val="18"/>
                <w:u w:val="single" w:color="auto"/>
                <w:color w:val="auto"/>
              </w:rPr>
              <w:t>58</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19.90</w:t>
            </w:r>
          </w:p>
        </w:tc>
        <w:tc>
          <w:tcPr>
            <w:tcW w:w="10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92"/>
              </w:rPr>
              <w:t>$ 3,213,655</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6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ind w:left="6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12,868,165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60" w:type="dxa"/>
            <w:vAlign w:val="bottom"/>
            <w:gridSpan w:val="3"/>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560" w:type="dxa"/>
            <w:vAlign w:val="bottom"/>
            <w:gridSpan w:val="9"/>
          </w:tcPr>
          <w:p>
            <w:pPr>
              <w:spacing w:after="0"/>
              <w:rPr>
                <w:sz w:val="20"/>
                <w:szCs w:val="20"/>
                <w:color w:val="auto"/>
              </w:rPr>
            </w:pPr>
            <w:r>
              <w:rPr>
                <w:rFonts w:ascii="Arial" w:cs="Arial" w:eastAsia="Arial" w:hAnsi="Arial"/>
                <w:sz w:val="18"/>
                <w:szCs w:val="18"/>
                <w:b w:val="1"/>
                <w:bCs w:val="1"/>
                <w:color w:val="auto"/>
                <w:w w:val="90"/>
              </w:rPr>
              <w:t>Renewal Lease Summary - Comparable (2) (7)</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Straight-</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Cash</w:t>
            </w: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lined</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Basis %</w:t>
            </w: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Basis %</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Number</w:t>
            </w:r>
          </w:p>
        </w:tc>
        <w:tc>
          <w:tcPr>
            <w:tcW w:w="100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 of</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Increase</w:t>
            </w: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Increase</w:t>
            </w:r>
          </w:p>
        </w:tc>
        <w:tc>
          <w:tcPr>
            <w:tcW w:w="6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Weighted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Tenant</w:t>
            </w:r>
          </w:p>
        </w:tc>
        <w:tc>
          <w:tcPr>
            <w:tcW w:w="12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Tenant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w:t>
            </w:r>
          </w:p>
        </w:tc>
        <w:tc>
          <w:tcPr>
            <w:tcW w:w="100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Comparable</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Annual</w:t>
            </w: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Over</w:t>
            </w: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Over</w:t>
            </w:r>
          </w:p>
        </w:tc>
        <w:tc>
          <w:tcPr>
            <w:tcW w:w="6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Average</w:t>
            </w:r>
          </w:p>
        </w:tc>
        <w:tc>
          <w:tcPr>
            <w:tcW w:w="60" w:type="dxa"/>
            <w:vAlign w:val="bottom"/>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Improvements</w:t>
            </w: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7"/>
              </w:rPr>
              <w:t>Improvements</w:t>
            </w:r>
          </w:p>
        </w:tc>
        <w:tc>
          <w:tcPr>
            <w:tcW w:w="0" w:type="dxa"/>
            <w:vAlign w:val="bottom"/>
          </w:tcPr>
          <w:p>
            <w:pPr>
              <w:spacing w:after="0"/>
              <w:rPr>
                <w:sz w:val="1"/>
                <w:szCs w:val="1"/>
                <w:color w:val="auto"/>
              </w:rPr>
            </w:pPr>
          </w:p>
        </w:tc>
      </w:tr>
      <w:tr>
        <w:trPr>
          <w:trHeight w:val="149"/>
        </w:trPr>
        <w:tc>
          <w:tcPr>
            <w:tcW w:w="1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Quarter</w:t>
            </w:r>
          </w:p>
        </w:tc>
        <w:tc>
          <w:tcPr>
            <w:tcW w:w="120" w:type="dxa"/>
            <w:vAlign w:val="bottom"/>
          </w:tcPr>
          <w:p>
            <w:pPr>
              <w:spacing w:after="0"/>
              <w:rPr>
                <w:sz w:val="12"/>
                <w:szCs w:val="12"/>
                <w:color w:val="auto"/>
              </w:rPr>
            </w:pPr>
          </w:p>
        </w:tc>
        <w:tc>
          <w:tcPr>
            <w:tcW w:w="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79"/>
              </w:rPr>
              <w:t>Leases</w:t>
            </w:r>
          </w:p>
        </w:tc>
        <w:tc>
          <w:tcPr>
            <w:tcW w:w="100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79"/>
              </w:rPr>
              <w:t>Leases</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Rent (3)</w:t>
            </w:r>
          </w:p>
        </w:tc>
        <w:tc>
          <w:tcPr>
            <w:tcW w:w="60" w:type="dxa"/>
            <w:vAlign w:val="bottom"/>
          </w:tcPr>
          <w:p>
            <w:pPr>
              <w:spacing w:after="0"/>
              <w:rPr>
                <w:sz w:val="12"/>
                <w:szCs w:val="12"/>
                <w:color w:val="auto"/>
              </w:rPr>
            </w:pPr>
          </w:p>
        </w:tc>
        <w:tc>
          <w:tcPr>
            <w:tcW w:w="10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Prior Rent (4)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Increase in</w:t>
            </w: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Prior</w:t>
            </w: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Prior</w:t>
            </w:r>
          </w:p>
        </w:tc>
        <w:tc>
          <w:tcPr>
            <w:tcW w:w="6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0"/>
              </w:rPr>
              <w:t>Lease</w:t>
            </w:r>
          </w:p>
        </w:tc>
        <w:tc>
          <w:tcPr>
            <w:tcW w:w="60" w:type="dxa"/>
            <w:vAlign w:val="bottom"/>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&amp; Incentives</w:t>
            </w:r>
          </w:p>
        </w:tc>
        <w:tc>
          <w:tcPr>
            <w:tcW w:w="8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&amp; Incentives</w:t>
            </w:r>
          </w:p>
        </w:tc>
        <w:tc>
          <w:tcPr>
            <w:tcW w:w="0" w:type="dxa"/>
            <w:vAlign w:val="bottom"/>
          </w:tcPr>
          <w:p>
            <w:pPr>
              <w:spacing w:after="0"/>
              <w:rPr>
                <w:sz w:val="1"/>
                <w:szCs w:val="1"/>
                <w:color w:val="auto"/>
              </w:rPr>
            </w:pPr>
          </w:p>
        </w:tc>
      </w:tr>
      <w:tr>
        <w:trPr>
          <w:trHeight w:val="148"/>
        </w:trPr>
        <w:tc>
          <w:tcPr>
            <w:tcW w:w="1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85"/>
              </w:rPr>
              <w:t>Signed</w:t>
            </w:r>
          </w:p>
        </w:tc>
        <w:tc>
          <w:tcPr>
            <w:tcW w:w="1000" w:type="dxa"/>
            <w:vAlign w:val="bottom"/>
            <w:gridSpan w:val="4"/>
          </w:tcPr>
          <w:p>
            <w:pPr>
              <w:jc w:val="center"/>
              <w:ind w:right="260"/>
              <w:spacing w:after="0" w:line="148" w:lineRule="exact"/>
              <w:rPr>
                <w:sz w:val="20"/>
                <w:szCs w:val="20"/>
                <w:color w:val="auto"/>
              </w:rPr>
            </w:pPr>
            <w:r>
              <w:rPr>
                <w:rFonts w:ascii="Arial" w:cs="Arial" w:eastAsia="Arial" w:hAnsi="Arial"/>
                <w:sz w:val="14"/>
                <w:szCs w:val="14"/>
                <w:b w:val="1"/>
                <w:bCs w:val="1"/>
                <w:color w:val="auto"/>
                <w:w w:val="81"/>
              </w:rPr>
              <w:t>Signed</w:t>
            </w:r>
          </w:p>
        </w:tc>
        <w:tc>
          <w:tcPr>
            <w:tcW w:w="860" w:type="dxa"/>
            <w:vAlign w:val="bottom"/>
            <w:gridSpan w:val="3"/>
          </w:tcPr>
          <w:p>
            <w:pPr>
              <w:jc w:val="center"/>
              <w:ind w:right="60"/>
              <w:spacing w:after="0" w:line="148" w:lineRule="exact"/>
              <w:rPr>
                <w:sz w:val="20"/>
                <w:szCs w:val="20"/>
                <w:color w:val="auto"/>
              </w:rPr>
            </w:pPr>
            <w:r>
              <w:rPr>
                <w:rFonts w:ascii="Arial" w:cs="Arial" w:eastAsia="Arial" w:hAnsi="Arial"/>
                <w:sz w:val="14"/>
                <w:szCs w:val="14"/>
                <w:b w:val="1"/>
                <w:bCs w:val="1"/>
                <w:color w:val="auto"/>
                <w:w w:val="89"/>
              </w:rPr>
              <w:t>GLA Signed</w:t>
            </w:r>
          </w:p>
        </w:tc>
        <w:tc>
          <w:tcPr>
            <w:tcW w:w="60" w:type="dxa"/>
            <w:vAlign w:val="bottom"/>
          </w:tcPr>
          <w:p>
            <w:pPr>
              <w:spacing w:after="0"/>
              <w:rPr>
                <w:sz w:val="12"/>
                <w:szCs w:val="12"/>
                <w:color w:val="auto"/>
              </w:rPr>
            </w:pPr>
          </w:p>
        </w:tc>
        <w:tc>
          <w:tcPr>
            <w:tcW w:w="760" w:type="dxa"/>
            <w:vAlign w:val="bottom"/>
            <w:gridSpan w:val="4"/>
          </w:tcPr>
          <w:p>
            <w:pPr>
              <w:jc w:val="center"/>
              <w:ind w:right="60"/>
              <w:spacing w:after="0" w:line="148" w:lineRule="exact"/>
              <w:rPr>
                <w:sz w:val="20"/>
                <w:szCs w:val="20"/>
                <w:color w:val="auto"/>
              </w:rPr>
            </w:pPr>
            <w:r>
              <w:rPr>
                <w:rFonts w:ascii="Arial" w:cs="Arial" w:eastAsia="Arial" w:hAnsi="Arial"/>
                <w:sz w:val="14"/>
                <w:szCs w:val="14"/>
                <w:b w:val="1"/>
                <w:bCs w:val="1"/>
                <w:color w:val="auto"/>
                <w:w w:val="89"/>
              </w:rPr>
              <w:t>Per Sq. Ft.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9"/>
              </w:rPr>
              <w:t>Per Sq. Ft.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9"/>
              </w:rPr>
              <w:t>Rent</w:t>
            </w:r>
          </w:p>
        </w:tc>
        <w:tc>
          <w:tcPr>
            <w:tcW w:w="76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Rent</w:t>
            </w:r>
          </w:p>
        </w:tc>
        <w:tc>
          <w:tcPr>
            <w:tcW w:w="80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89"/>
              </w:rPr>
              <w:t>Rent</w:t>
            </w:r>
          </w:p>
        </w:tc>
        <w:tc>
          <w:tcPr>
            <w:tcW w:w="62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90"/>
              </w:rPr>
              <w:t>Term (5)</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59"/>
              <w:spacing w:after="0" w:line="148" w:lineRule="exact"/>
              <w:rPr>
                <w:sz w:val="20"/>
                <w:szCs w:val="20"/>
                <w:color w:val="auto"/>
              </w:rPr>
            </w:pPr>
            <w:r>
              <w:rPr>
                <w:rFonts w:ascii="Arial" w:cs="Arial" w:eastAsia="Arial" w:hAnsi="Arial"/>
                <w:sz w:val="14"/>
                <w:szCs w:val="14"/>
                <w:b w:val="1"/>
                <w:bCs w:val="1"/>
                <w:color w:val="auto"/>
                <w:w w:val="93"/>
              </w:rPr>
              <w:t>(6)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89"/>
              </w:rPr>
              <w:t>Per Sq. Ft.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2nd Quarter 2007</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146,301</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30.27</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26.11</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608,531</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1st Quarter 2007</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46</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173,277</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26.15</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23.06</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534,351</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560" w:type="dxa"/>
            <w:vAlign w:val="bottom"/>
          </w:tcPr>
          <w:p>
            <w:pPr>
              <w:jc w:val="right"/>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8"/>
                <w:szCs w:val="18"/>
                <w:color w:val="auto"/>
              </w:rPr>
            </w:pP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51,150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4th Quarter 2006</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52</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204,249</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27.28</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23.33</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808,606</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3rd Quarter 2006</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99,355</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21.92</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19.56</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234,341</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560" w:type="dxa"/>
            <w:vAlign w:val="bottom"/>
          </w:tcPr>
          <w:p>
            <w:pPr>
              <w:jc w:val="right"/>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18"/>
                <w:szCs w:val="18"/>
                <w:color w:val="auto"/>
              </w:rPr>
            </w:pP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Total - 12 months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623,182</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w:t>
            </w:r>
            <w:r>
              <w:rPr>
                <w:rFonts w:ascii="Arial" w:cs="Arial" w:eastAsia="Arial" w:hAnsi="Arial"/>
                <w:sz w:val="18"/>
                <w:szCs w:val="18"/>
                <w:u w:val="single" w:color="auto"/>
                <w:color w:val="auto"/>
              </w:rPr>
              <w:t>81</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23.31</w:t>
            </w:r>
          </w:p>
        </w:tc>
        <w:tc>
          <w:tcPr>
            <w:tcW w:w="10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92"/>
              </w:rPr>
              <w:t>$ 2,185,829</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88,050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60" w:type="dxa"/>
            <w:vAlign w:val="bottom"/>
            <w:gridSpan w:val="3"/>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240" w:type="dxa"/>
            <w:vAlign w:val="bottom"/>
            <w:gridSpan w:val="17"/>
          </w:tcPr>
          <w:p>
            <w:pPr>
              <w:spacing w:after="0"/>
              <w:rPr>
                <w:sz w:val="20"/>
                <w:szCs w:val="20"/>
                <w:color w:val="auto"/>
              </w:rPr>
            </w:pPr>
            <w:r>
              <w:rPr>
                <w:rFonts w:ascii="Arial" w:cs="Arial" w:eastAsia="Arial" w:hAnsi="Arial"/>
                <w:sz w:val="18"/>
                <w:szCs w:val="18"/>
                <w:b w:val="1"/>
                <w:bCs w:val="1"/>
                <w:color w:val="auto"/>
              </w:rPr>
              <w:t>Total Lease Summary - Comparable and Non-comparable (2)</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Number</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5"/>
              </w:rPr>
              <w:t>Weighted</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Tenant</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Average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Tenant</w:t>
            </w:r>
          </w:p>
        </w:tc>
        <w:tc>
          <w:tcPr>
            <w:tcW w:w="6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Improvements</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Quarter</w:t>
            </w:r>
          </w:p>
        </w:tc>
        <w:tc>
          <w:tcPr>
            <w:tcW w:w="120" w:type="dxa"/>
            <w:vAlign w:val="bottom"/>
          </w:tcPr>
          <w:p>
            <w:pPr>
              <w:spacing w:after="0"/>
              <w:rPr>
                <w:sz w:val="12"/>
                <w:szCs w:val="12"/>
                <w:color w:val="auto"/>
              </w:rPr>
            </w:pPr>
          </w:p>
        </w:tc>
        <w:tc>
          <w:tcPr>
            <w:tcW w:w="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79"/>
              </w:rPr>
              <w:t>Leases</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Rent (3) Per</w:t>
            </w:r>
          </w:p>
        </w:tc>
        <w:tc>
          <w:tcPr>
            <w:tcW w:w="60" w:type="dxa"/>
            <w:vAlign w:val="bottom"/>
          </w:tcPr>
          <w:p>
            <w:pPr>
              <w:spacing w:after="0"/>
              <w:rPr>
                <w:sz w:val="12"/>
                <w:szCs w:val="12"/>
                <w:color w:val="auto"/>
              </w:rPr>
            </w:pPr>
          </w:p>
        </w:tc>
        <w:tc>
          <w:tcPr>
            <w:tcW w:w="76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w w:val="92"/>
              </w:rPr>
              <w:t>Lease Term</w:t>
            </w:r>
          </w:p>
        </w:tc>
        <w:tc>
          <w:tcPr>
            <w:tcW w:w="60" w:type="dxa"/>
            <w:vAlign w:val="bottom"/>
          </w:tcPr>
          <w:p>
            <w:pPr>
              <w:spacing w:after="0"/>
              <w:rPr>
                <w:sz w:val="12"/>
                <w:szCs w:val="12"/>
                <w:color w:val="auto"/>
              </w:rPr>
            </w:pPr>
          </w:p>
        </w:tc>
        <w:tc>
          <w:tcPr>
            <w:tcW w:w="10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Improvements</w:t>
            </w:r>
          </w:p>
        </w:tc>
        <w:tc>
          <w:tcPr>
            <w:tcW w:w="60" w:type="dxa"/>
            <w:vAlign w:val="bottom"/>
          </w:tcPr>
          <w:p>
            <w:pPr>
              <w:spacing w:after="0"/>
              <w:rPr>
                <w:sz w:val="12"/>
                <w:szCs w:val="12"/>
                <w:color w:val="auto"/>
              </w:rPr>
            </w:pPr>
          </w:p>
        </w:tc>
        <w:tc>
          <w:tcPr>
            <w:tcW w:w="9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&amp; Incentives</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85"/>
              </w:rPr>
              <w:t>Signed</w:t>
            </w:r>
          </w:p>
        </w:tc>
        <w:tc>
          <w:tcPr>
            <w:tcW w:w="1000" w:type="dxa"/>
            <w:vAlign w:val="bottom"/>
            <w:gridSpan w:val="4"/>
          </w:tcPr>
          <w:p>
            <w:pPr>
              <w:jc w:val="center"/>
              <w:ind w:right="280"/>
              <w:spacing w:after="0" w:line="148" w:lineRule="exact"/>
              <w:rPr>
                <w:sz w:val="20"/>
                <w:szCs w:val="20"/>
                <w:color w:val="auto"/>
              </w:rPr>
            </w:pPr>
            <w:r>
              <w:rPr>
                <w:rFonts w:ascii="Arial" w:cs="Arial" w:eastAsia="Arial" w:hAnsi="Arial"/>
                <w:sz w:val="14"/>
                <w:szCs w:val="14"/>
                <w:b w:val="1"/>
                <w:bCs w:val="1"/>
                <w:color w:val="auto"/>
                <w:w w:val="89"/>
              </w:rPr>
              <w:t>GLA Signed</w:t>
            </w:r>
          </w:p>
        </w:tc>
        <w:tc>
          <w:tcPr>
            <w:tcW w:w="100" w:type="dxa"/>
            <w:vAlign w:val="bottom"/>
          </w:tcPr>
          <w:p>
            <w:pPr>
              <w:spacing w:after="0"/>
              <w:rPr>
                <w:sz w:val="12"/>
                <w:szCs w:val="12"/>
                <w:color w:val="auto"/>
              </w:rPr>
            </w:pPr>
          </w:p>
        </w:tc>
        <w:tc>
          <w:tcPr>
            <w:tcW w:w="7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8"/>
              </w:rPr>
              <w:t>Sq. Ft.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1"/>
              </w:rPr>
              <w:t>(5)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94"/>
              </w:rPr>
              <w:t>&amp; Incentives (6)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6"/>
              </w:rPr>
              <w:t>Per Sq. Ft.</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2nd Quarter 2007</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378,337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6,752,914</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17.85</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1st Quarter 2007</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90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394,695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29.04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7.1</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4,358,045</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11.04</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4th Quarter 2006</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320,655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27.36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2,198,145</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6.86</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3rd Quarter 2006</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394,331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22.98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9.8</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8,992,951</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22.81</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Total - 12 months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1,488,018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c>
          <w:tcPr>
            <w:tcW w:w="10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3"/>
              </w:rPr>
              <w:t>$ 22,302,055</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14.99</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90"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Leases on this report represent retail activity only; office and residential leases are not included.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Comparable leases represent those leases signed on spaces for which there was a former tenant.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Contractual rent represents contractual minimum rent under the new lease for the first 12 months of the term.</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Prior rent represents minimum rent and percentage rent, if any, paid by the prior tenant in the final 12 months of the term.</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Weighted average is determined on the basis of square footage.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See Glossary of Terms.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Renewal leases represent expiring leases rolling over with the same tenant in the same location. All other leases are categorized as new.</w:t>
      </w:r>
    </w:p>
    <w:p>
      <w:pPr>
        <w:sectPr>
          <w:pgSz w:w="11900" w:h="16838" w:orient="portrait"/>
          <w:cols w:equalWidth="0" w:num="1">
            <w:col w:w="11420"/>
          </w:cols>
          <w:pgMar w:left="240" w:top="274"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274" w:right="2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Expirations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2007</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Assumes no exercise of lease options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Anchor Tenants (1)</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bottom w:val="single" w:sz="8" w:color="auto"/>
            </w:tcBorders>
            <w:gridSpan w:val="6"/>
          </w:tcPr>
          <w:p>
            <w:pPr>
              <w:jc w:val="center"/>
              <w:ind w:left="372"/>
              <w:spacing w:after="0"/>
              <w:rPr>
                <w:sz w:val="20"/>
                <w:szCs w:val="20"/>
                <w:color w:val="auto"/>
              </w:rPr>
            </w:pPr>
            <w:r>
              <w:rPr>
                <w:rFonts w:ascii="Arial" w:cs="Arial" w:eastAsia="Arial" w:hAnsi="Arial"/>
                <w:sz w:val="14"/>
                <w:szCs w:val="14"/>
                <w:b w:val="1"/>
                <w:bCs w:val="1"/>
                <w:color w:val="auto"/>
                <w:w w:val="85"/>
              </w:rPr>
              <w:t>Small Shop Tenants</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4"/>
              </w:rPr>
              <w:t>% of</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 of</w:t>
            </w:r>
          </w:p>
        </w:tc>
        <w:tc>
          <w:tcPr>
            <w:tcW w:w="20" w:type="dxa"/>
            <w:vAlign w:val="bottom"/>
          </w:tcPr>
          <w:p>
            <w:pPr>
              <w:spacing w:after="0"/>
              <w:rPr>
                <w:sz w:val="12"/>
                <w:szCs w:val="12"/>
                <w:color w:val="auto"/>
              </w:rPr>
            </w:pPr>
          </w:p>
        </w:tc>
        <w:tc>
          <w:tcPr>
            <w:tcW w:w="6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Minimum</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Small</w:t>
            </w:r>
          </w:p>
        </w:tc>
        <w:tc>
          <w:tcPr>
            <w:tcW w:w="80" w:type="dxa"/>
            <w:vAlign w:val="bottom"/>
          </w:tcPr>
          <w:p>
            <w:pPr>
              <w:spacing w:after="0"/>
              <w:rPr>
                <w:sz w:val="12"/>
                <w:szCs w:val="12"/>
                <w:color w:val="auto"/>
              </w:rPr>
            </w:pPr>
          </w:p>
        </w:tc>
        <w:tc>
          <w:tcPr>
            <w:tcW w:w="7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Minimum</w:t>
            </w: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 of</w:t>
            </w:r>
          </w:p>
        </w:tc>
        <w:tc>
          <w:tcPr>
            <w:tcW w:w="100" w:type="dxa"/>
            <w:vAlign w:val="bottom"/>
          </w:tcPr>
          <w:p>
            <w:pPr>
              <w:spacing w:after="0"/>
              <w:rPr>
                <w:sz w:val="12"/>
                <w:szCs w:val="12"/>
                <w:color w:val="auto"/>
              </w:rPr>
            </w:pPr>
          </w:p>
        </w:tc>
        <w:tc>
          <w:tcPr>
            <w:tcW w:w="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Minimum</w:t>
            </w:r>
          </w:p>
        </w:tc>
        <w:tc>
          <w:tcPr>
            <w:tcW w:w="0" w:type="dxa"/>
            <w:vAlign w:val="bottom"/>
          </w:tcPr>
          <w:p>
            <w:pPr>
              <w:spacing w:after="0"/>
              <w:rPr>
                <w:sz w:val="1"/>
                <w:szCs w:val="1"/>
                <w:color w:val="auto"/>
              </w:rPr>
            </w:pPr>
          </w:p>
        </w:tc>
      </w:tr>
      <w:tr>
        <w:trPr>
          <w:trHeight w:val="149"/>
        </w:trPr>
        <w:tc>
          <w:tcPr>
            <w:tcW w:w="4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w:t>
            </w: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Anchor</w:t>
            </w:r>
          </w:p>
        </w:tc>
        <w:tc>
          <w:tcPr>
            <w:tcW w:w="20" w:type="dxa"/>
            <w:vAlign w:val="bottom"/>
          </w:tcPr>
          <w:p>
            <w:pPr>
              <w:spacing w:after="0"/>
              <w:rPr>
                <w:sz w:val="12"/>
                <w:szCs w:val="12"/>
                <w:color w:val="auto"/>
              </w:rPr>
            </w:pPr>
          </w:p>
        </w:tc>
        <w:tc>
          <w:tcPr>
            <w:tcW w:w="6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Rent PSF</w:t>
            </w:r>
          </w:p>
        </w:tc>
        <w:tc>
          <w:tcPr>
            <w:tcW w:w="1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Expiring</w:t>
            </w:r>
          </w:p>
        </w:tc>
        <w:tc>
          <w:tcPr>
            <w:tcW w:w="200" w:type="dxa"/>
            <w:vAlign w:val="bottom"/>
          </w:tcPr>
          <w:p>
            <w:pPr>
              <w:spacing w:after="0"/>
              <w:rPr>
                <w:sz w:val="12"/>
                <w:szCs w:val="12"/>
                <w:color w:val="auto"/>
              </w:rPr>
            </w:pPr>
          </w:p>
        </w:tc>
        <w:tc>
          <w:tcPr>
            <w:tcW w:w="5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79"/>
              </w:rPr>
              <w:t>Shop</w:t>
            </w:r>
          </w:p>
        </w:tc>
        <w:tc>
          <w:tcPr>
            <w:tcW w:w="80" w:type="dxa"/>
            <w:vAlign w:val="bottom"/>
          </w:tcPr>
          <w:p>
            <w:pPr>
              <w:spacing w:after="0"/>
              <w:rPr>
                <w:sz w:val="12"/>
                <w:szCs w:val="12"/>
                <w:color w:val="auto"/>
              </w:rPr>
            </w:pPr>
          </w:p>
        </w:tc>
        <w:tc>
          <w:tcPr>
            <w:tcW w:w="7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Rent PSF</w:t>
            </w: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2"/>
                <w:szCs w:val="12"/>
                <w:color w:val="auto"/>
              </w:rPr>
            </w:pPr>
          </w:p>
        </w:tc>
        <w:tc>
          <w:tcPr>
            <w:tcW w:w="6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9"/>
              </w:rPr>
              <w:t>Rent PSF</w:t>
            </w:r>
          </w:p>
        </w:tc>
        <w:tc>
          <w:tcPr>
            <w:tcW w:w="0" w:type="dxa"/>
            <w:vAlign w:val="bottom"/>
          </w:tcPr>
          <w:p>
            <w:pPr>
              <w:spacing w:after="0"/>
              <w:rPr>
                <w:sz w:val="1"/>
                <w:szCs w:val="1"/>
                <w:color w:val="auto"/>
              </w:rPr>
            </w:pPr>
          </w:p>
        </w:tc>
      </w:tr>
      <w:tr>
        <w:trPr>
          <w:trHeight w:val="148"/>
        </w:trPr>
        <w:tc>
          <w:tcPr>
            <w:tcW w:w="4340" w:type="dxa"/>
            <w:vAlign w:val="bottom"/>
            <w:gridSpan w:val="3"/>
            <w:vMerge w:val="continue"/>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95"/>
              </w:rPr>
              <w:t>Expiring SF</w:t>
            </w:r>
          </w:p>
        </w:tc>
        <w:tc>
          <w:tcPr>
            <w:tcW w:w="180" w:type="dxa"/>
            <w:vAlign w:val="bottom"/>
          </w:tcPr>
          <w:p>
            <w:pPr>
              <w:spacing w:after="0"/>
              <w:rPr>
                <w:sz w:val="12"/>
                <w:szCs w:val="12"/>
                <w:color w:val="auto"/>
              </w:rPr>
            </w:pPr>
          </w:p>
        </w:tc>
        <w:tc>
          <w:tcPr>
            <w:tcW w:w="78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9"/>
              </w:rPr>
              <w:t>SF</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134"/>
              <w:spacing w:after="0" w:line="148" w:lineRule="exact"/>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SF</w:t>
            </w:r>
          </w:p>
        </w:tc>
        <w:tc>
          <w:tcPr>
            <w:tcW w:w="200" w:type="dxa"/>
            <w:vAlign w:val="bottom"/>
          </w:tcPr>
          <w:p>
            <w:pPr>
              <w:spacing w:after="0"/>
              <w:rPr>
                <w:sz w:val="12"/>
                <w:szCs w:val="12"/>
                <w:color w:val="auto"/>
              </w:rPr>
            </w:pPr>
          </w:p>
        </w:tc>
        <w:tc>
          <w:tcPr>
            <w:tcW w:w="58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9"/>
              </w:rPr>
              <w:t>SF</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ind w:right="114"/>
              <w:spacing w:after="0" w:line="148" w:lineRule="exact"/>
              <w:rPr>
                <w:sz w:val="20"/>
                <w:szCs w:val="20"/>
                <w:color w:val="auto"/>
              </w:rPr>
            </w:pPr>
            <w:r>
              <w:rPr>
                <w:rFonts w:ascii="Arial" w:cs="Arial" w:eastAsia="Arial" w:hAnsi="Arial"/>
                <w:sz w:val="14"/>
                <w:szCs w:val="14"/>
                <w:b w:val="1"/>
                <w:bCs w:val="1"/>
                <w:color w:val="auto"/>
              </w:rPr>
              <w:t>(2)</w:t>
            </w:r>
          </w:p>
        </w:tc>
        <w:tc>
          <w:tcPr>
            <w:tcW w:w="20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92"/>
              </w:rPr>
              <w:t>Expiring SF</w:t>
            </w:r>
          </w:p>
        </w:tc>
        <w:tc>
          <w:tcPr>
            <w:tcW w:w="180" w:type="dxa"/>
            <w:vAlign w:val="bottom"/>
          </w:tcPr>
          <w:p>
            <w:pPr>
              <w:spacing w:after="0"/>
              <w:rPr>
                <w:sz w:val="12"/>
                <w:szCs w:val="12"/>
                <w:color w:val="auto"/>
              </w:rPr>
            </w:pPr>
          </w:p>
        </w:tc>
        <w:tc>
          <w:tcPr>
            <w:tcW w:w="54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9"/>
              </w:rPr>
              <w:t>SF</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ind w:right="134"/>
              <w:spacing w:after="0" w:line="148" w:lineRule="exact"/>
              <w:rPr>
                <w:sz w:val="20"/>
                <w:szCs w:val="20"/>
                <w:color w:val="auto"/>
              </w:rPr>
            </w:pPr>
            <w:r>
              <w:rPr>
                <w:rFonts w:ascii="Arial" w:cs="Arial" w:eastAsia="Arial" w:hAnsi="Arial"/>
                <w:sz w:val="14"/>
                <w:szCs w:val="14"/>
                <w:b w:val="1"/>
                <w:bCs w:val="1"/>
                <w:color w:val="auto"/>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2007</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433,000</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22.41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613,000</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860"/>
              <w:spacing w:after="0"/>
              <w:rPr>
                <w:sz w:val="20"/>
                <w:szCs w:val="20"/>
                <w:color w:val="auto"/>
              </w:rPr>
            </w:pPr>
            <w:r>
              <w:rPr>
                <w:rFonts w:ascii="Arial" w:cs="Arial" w:eastAsia="Arial" w:hAnsi="Arial"/>
                <w:sz w:val="18"/>
                <w:szCs w:val="18"/>
                <w:b w:val="1"/>
                <w:bCs w:val="1"/>
                <w:color w:val="auto"/>
              </w:rPr>
              <w:t>2008</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754,000</w:t>
            </w: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7%</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8.92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958,000</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12%</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22.66</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1,712,000</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9%</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16.61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2009</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1,181,000</w:t>
            </w: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11.63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1,071,000</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25.61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2,252,000</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860"/>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644,000</w:t>
            </w: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6%</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12.28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965,000</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13%</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26.30</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1,609,000</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9%</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20.69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2011</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663,000</w:t>
            </w: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16.41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1,173,000</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28.82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1,836,000</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860"/>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1,170,000</w:t>
            </w: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11%</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11.08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902,000</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12%</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29.08</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2,073,000</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11%</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18.91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2013</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937,000</w:t>
            </w: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13.98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396,000</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32.72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1,334,000</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860"/>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832,000</w:t>
            </w: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8%</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18.13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340,000</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35.44</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1,172,000</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6%</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23.15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2015</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509,000</w:t>
            </w: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14.11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359,000</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28.23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868,000</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860"/>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388,000</w:t>
            </w: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4%</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18.68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484,000</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6%</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28.16</w:t>
            </w:r>
          </w:p>
        </w:tc>
        <w:tc>
          <w:tcPr>
            <w:tcW w:w="800" w:type="dxa"/>
            <w:vAlign w:val="bottom"/>
          </w:tcPr>
          <w:p>
            <w:pPr>
              <w:jc w:val="right"/>
              <w:spacing w:after="0"/>
              <w:rPr>
                <w:sz w:val="20"/>
                <w:szCs w:val="20"/>
                <w:color w:val="auto"/>
              </w:rPr>
            </w:pPr>
            <w:r>
              <w:rPr>
                <w:rFonts w:ascii="Arial" w:cs="Arial" w:eastAsia="Arial" w:hAnsi="Arial"/>
                <w:sz w:val="18"/>
                <w:szCs w:val="18"/>
                <w:color w:val="auto"/>
              </w:rPr>
              <w:t>872,000</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5%</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23.94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Thereafter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3,470,000</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14.67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602,000</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31.16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4,071,000</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Total (3)</w:t>
            </w: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320" w:type="dxa"/>
            <w:vAlign w:val="bottom"/>
            <w:gridSpan w:val="2"/>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10,728,000</w:t>
            </w:r>
          </w:p>
        </w:tc>
        <w:tc>
          <w:tcPr>
            <w:tcW w:w="1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13.74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7,683,000</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100%</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27.57</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18,412,000</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100%</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19.51</w:t>
            </w:r>
          </w:p>
        </w:tc>
        <w:tc>
          <w:tcPr>
            <w:tcW w:w="0" w:type="dxa"/>
            <w:vAlign w:val="bottom"/>
          </w:tcPr>
          <w:p>
            <w:pPr>
              <w:spacing w:after="0"/>
              <w:rPr>
                <w:sz w:val="1"/>
                <w:szCs w:val="1"/>
                <w:color w:val="auto"/>
              </w:rPr>
            </w:pPr>
          </w:p>
        </w:tc>
      </w:tr>
      <w:tr>
        <w:trPr>
          <w:trHeight w:val="20"/>
        </w:trPr>
        <w:tc>
          <w:tcPr>
            <w:tcW w:w="43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Assumes all lease options are exercised</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340" w:type="dxa"/>
            <w:vAlign w:val="bottom"/>
            <w:gridSpan w:val="3"/>
            <w:vMerge w:val="continue"/>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Anchor Tenants (1)</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Borders>
              <w:bottom w:val="single" w:sz="8" w:color="auto"/>
            </w:tcBorders>
            <w:gridSpan w:val="6"/>
          </w:tcPr>
          <w:p>
            <w:pPr>
              <w:jc w:val="center"/>
              <w:ind w:left="372"/>
              <w:spacing w:after="0"/>
              <w:rPr>
                <w:sz w:val="20"/>
                <w:szCs w:val="20"/>
                <w:color w:val="auto"/>
              </w:rPr>
            </w:pPr>
            <w:r>
              <w:rPr>
                <w:rFonts w:ascii="Arial" w:cs="Arial" w:eastAsia="Arial" w:hAnsi="Arial"/>
                <w:sz w:val="14"/>
                <w:szCs w:val="14"/>
                <w:b w:val="1"/>
                <w:bCs w:val="1"/>
                <w:color w:val="auto"/>
                <w:w w:val="85"/>
              </w:rPr>
              <w:t>Small Shop Tenants</w:t>
            </w:r>
          </w:p>
        </w:tc>
        <w:tc>
          <w:tcPr>
            <w:tcW w:w="4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4"/>
              </w:rPr>
              <w:t>% of</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 of</w:t>
            </w:r>
          </w:p>
        </w:tc>
        <w:tc>
          <w:tcPr>
            <w:tcW w:w="20" w:type="dxa"/>
            <w:vAlign w:val="bottom"/>
          </w:tcPr>
          <w:p>
            <w:pPr>
              <w:spacing w:after="0"/>
              <w:rPr>
                <w:sz w:val="12"/>
                <w:szCs w:val="12"/>
                <w:color w:val="auto"/>
              </w:rPr>
            </w:pPr>
          </w:p>
        </w:tc>
        <w:tc>
          <w:tcPr>
            <w:tcW w:w="6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Minimum</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Small</w:t>
            </w:r>
          </w:p>
        </w:tc>
        <w:tc>
          <w:tcPr>
            <w:tcW w:w="80" w:type="dxa"/>
            <w:vAlign w:val="bottom"/>
          </w:tcPr>
          <w:p>
            <w:pPr>
              <w:spacing w:after="0"/>
              <w:rPr>
                <w:sz w:val="12"/>
                <w:szCs w:val="12"/>
                <w:color w:val="auto"/>
              </w:rPr>
            </w:pPr>
          </w:p>
        </w:tc>
        <w:tc>
          <w:tcPr>
            <w:tcW w:w="7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Minimum</w:t>
            </w: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 of</w:t>
            </w:r>
          </w:p>
        </w:tc>
        <w:tc>
          <w:tcPr>
            <w:tcW w:w="100" w:type="dxa"/>
            <w:vAlign w:val="bottom"/>
          </w:tcPr>
          <w:p>
            <w:pPr>
              <w:spacing w:after="0"/>
              <w:rPr>
                <w:sz w:val="12"/>
                <w:szCs w:val="12"/>
                <w:color w:val="auto"/>
              </w:rPr>
            </w:pPr>
          </w:p>
        </w:tc>
        <w:tc>
          <w:tcPr>
            <w:tcW w:w="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Minimum</w:t>
            </w:r>
          </w:p>
        </w:tc>
        <w:tc>
          <w:tcPr>
            <w:tcW w:w="0" w:type="dxa"/>
            <w:vAlign w:val="bottom"/>
          </w:tcPr>
          <w:p>
            <w:pPr>
              <w:spacing w:after="0"/>
              <w:rPr>
                <w:sz w:val="1"/>
                <w:szCs w:val="1"/>
                <w:color w:val="auto"/>
              </w:rPr>
            </w:pPr>
          </w:p>
        </w:tc>
      </w:tr>
      <w:tr>
        <w:trPr>
          <w:trHeight w:val="149"/>
        </w:trPr>
        <w:tc>
          <w:tcPr>
            <w:tcW w:w="4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w:t>
            </w: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Anchor</w:t>
            </w:r>
          </w:p>
        </w:tc>
        <w:tc>
          <w:tcPr>
            <w:tcW w:w="20" w:type="dxa"/>
            <w:vAlign w:val="bottom"/>
          </w:tcPr>
          <w:p>
            <w:pPr>
              <w:spacing w:after="0"/>
              <w:rPr>
                <w:sz w:val="12"/>
                <w:szCs w:val="12"/>
                <w:color w:val="auto"/>
              </w:rPr>
            </w:pPr>
          </w:p>
        </w:tc>
        <w:tc>
          <w:tcPr>
            <w:tcW w:w="6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Rent PSF</w:t>
            </w:r>
          </w:p>
        </w:tc>
        <w:tc>
          <w:tcPr>
            <w:tcW w:w="1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Expiring</w:t>
            </w:r>
          </w:p>
        </w:tc>
        <w:tc>
          <w:tcPr>
            <w:tcW w:w="200" w:type="dxa"/>
            <w:vAlign w:val="bottom"/>
          </w:tcPr>
          <w:p>
            <w:pPr>
              <w:spacing w:after="0"/>
              <w:rPr>
                <w:sz w:val="12"/>
                <w:szCs w:val="12"/>
                <w:color w:val="auto"/>
              </w:rPr>
            </w:pPr>
          </w:p>
        </w:tc>
        <w:tc>
          <w:tcPr>
            <w:tcW w:w="5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79"/>
              </w:rPr>
              <w:t>Shop</w:t>
            </w:r>
          </w:p>
        </w:tc>
        <w:tc>
          <w:tcPr>
            <w:tcW w:w="80" w:type="dxa"/>
            <w:vAlign w:val="bottom"/>
          </w:tcPr>
          <w:p>
            <w:pPr>
              <w:spacing w:after="0"/>
              <w:rPr>
                <w:sz w:val="12"/>
                <w:szCs w:val="12"/>
                <w:color w:val="auto"/>
              </w:rPr>
            </w:pPr>
          </w:p>
        </w:tc>
        <w:tc>
          <w:tcPr>
            <w:tcW w:w="7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Rent PSF</w:t>
            </w: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2"/>
                <w:szCs w:val="12"/>
                <w:color w:val="auto"/>
              </w:rPr>
            </w:pPr>
          </w:p>
        </w:tc>
        <w:tc>
          <w:tcPr>
            <w:tcW w:w="6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9"/>
              </w:rPr>
              <w:t>Rent PSF</w:t>
            </w:r>
          </w:p>
        </w:tc>
        <w:tc>
          <w:tcPr>
            <w:tcW w:w="0" w:type="dxa"/>
            <w:vAlign w:val="bottom"/>
          </w:tcPr>
          <w:p>
            <w:pPr>
              <w:spacing w:after="0"/>
              <w:rPr>
                <w:sz w:val="1"/>
                <w:szCs w:val="1"/>
                <w:color w:val="auto"/>
              </w:rPr>
            </w:pPr>
          </w:p>
        </w:tc>
      </w:tr>
      <w:tr>
        <w:trPr>
          <w:trHeight w:val="148"/>
        </w:trPr>
        <w:tc>
          <w:tcPr>
            <w:tcW w:w="4340" w:type="dxa"/>
            <w:vAlign w:val="bottom"/>
            <w:gridSpan w:val="3"/>
            <w:vMerge w:val="continue"/>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95"/>
              </w:rPr>
              <w:t>Expiring SF</w:t>
            </w:r>
          </w:p>
        </w:tc>
        <w:tc>
          <w:tcPr>
            <w:tcW w:w="180" w:type="dxa"/>
            <w:vAlign w:val="bottom"/>
          </w:tcPr>
          <w:p>
            <w:pPr>
              <w:spacing w:after="0"/>
              <w:rPr>
                <w:sz w:val="12"/>
                <w:szCs w:val="12"/>
                <w:color w:val="auto"/>
              </w:rPr>
            </w:pPr>
          </w:p>
        </w:tc>
        <w:tc>
          <w:tcPr>
            <w:tcW w:w="78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9"/>
              </w:rPr>
              <w:t>SF</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134"/>
              <w:spacing w:after="0" w:line="148" w:lineRule="exact"/>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SF</w:t>
            </w:r>
          </w:p>
        </w:tc>
        <w:tc>
          <w:tcPr>
            <w:tcW w:w="200" w:type="dxa"/>
            <w:vAlign w:val="bottom"/>
          </w:tcPr>
          <w:p>
            <w:pPr>
              <w:spacing w:after="0"/>
              <w:rPr>
                <w:sz w:val="12"/>
                <w:szCs w:val="12"/>
                <w:color w:val="auto"/>
              </w:rPr>
            </w:pPr>
          </w:p>
        </w:tc>
        <w:tc>
          <w:tcPr>
            <w:tcW w:w="58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9"/>
              </w:rPr>
              <w:t>SF</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ind w:right="114"/>
              <w:spacing w:after="0" w:line="148" w:lineRule="exact"/>
              <w:rPr>
                <w:sz w:val="20"/>
                <w:szCs w:val="20"/>
                <w:color w:val="auto"/>
              </w:rPr>
            </w:pPr>
            <w:r>
              <w:rPr>
                <w:rFonts w:ascii="Arial" w:cs="Arial" w:eastAsia="Arial" w:hAnsi="Arial"/>
                <w:sz w:val="14"/>
                <w:szCs w:val="14"/>
                <w:b w:val="1"/>
                <w:bCs w:val="1"/>
                <w:color w:val="auto"/>
              </w:rPr>
              <w:t>(2)</w:t>
            </w:r>
          </w:p>
        </w:tc>
        <w:tc>
          <w:tcPr>
            <w:tcW w:w="20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92"/>
              </w:rPr>
              <w:t>Expiring SF</w:t>
            </w:r>
          </w:p>
        </w:tc>
        <w:tc>
          <w:tcPr>
            <w:tcW w:w="180" w:type="dxa"/>
            <w:vAlign w:val="bottom"/>
          </w:tcPr>
          <w:p>
            <w:pPr>
              <w:spacing w:after="0"/>
              <w:rPr>
                <w:sz w:val="12"/>
                <w:szCs w:val="12"/>
                <w:color w:val="auto"/>
              </w:rPr>
            </w:pPr>
          </w:p>
        </w:tc>
        <w:tc>
          <w:tcPr>
            <w:tcW w:w="54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9"/>
              </w:rPr>
              <w:t>SF</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ind w:right="134"/>
              <w:spacing w:after="0" w:line="148" w:lineRule="exact"/>
              <w:rPr>
                <w:sz w:val="20"/>
                <w:szCs w:val="20"/>
                <w:color w:val="auto"/>
              </w:rPr>
            </w:pPr>
            <w:r>
              <w:rPr>
                <w:rFonts w:ascii="Arial" w:cs="Arial" w:eastAsia="Arial" w:hAnsi="Arial"/>
                <w:sz w:val="14"/>
                <w:szCs w:val="14"/>
                <w:b w:val="1"/>
                <w:bCs w:val="1"/>
                <w:color w:val="auto"/>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2007</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53,000</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313,000</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22.52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366,000</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860"/>
              <w:spacing w:after="0"/>
              <w:rPr>
                <w:sz w:val="20"/>
                <w:szCs w:val="20"/>
                <w:color w:val="auto"/>
              </w:rPr>
            </w:pPr>
            <w:r>
              <w:rPr>
                <w:rFonts w:ascii="Arial" w:cs="Arial" w:eastAsia="Arial" w:hAnsi="Arial"/>
                <w:sz w:val="18"/>
                <w:szCs w:val="18"/>
                <w:b w:val="1"/>
                <w:bCs w:val="1"/>
                <w:color w:val="auto"/>
              </w:rPr>
              <w:t>2008</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386,000</w:t>
            </w: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4%</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7.58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622,000</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8%</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22.93</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1,009,000</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5%</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17.04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2009</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258,000</w:t>
            </w: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11.26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565,000</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27.39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823,000</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22.33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860"/>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119,000</w:t>
            </w: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1%</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8.68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516,000</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7%</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28.01</w:t>
            </w:r>
          </w:p>
        </w:tc>
        <w:tc>
          <w:tcPr>
            <w:tcW w:w="800" w:type="dxa"/>
            <w:vAlign w:val="bottom"/>
          </w:tcPr>
          <w:p>
            <w:pPr>
              <w:jc w:val="right"/>
              <w:spacing w:after="0"/>
              <w:rPr>
                <w:sz w:val="20"/>
                <w:szCs w:val="20"/>
                <w:color w:val="auto"/>
              </w:rPr>
            </w:pPr>
            <w:r>
              <w:rPr>
                <w:rFonts w:ascii="Arial" w:cs="Arial" w:eastAsia="Arial" w:hAnsi="Arial"/>
                <w:sz w:val="18"/>
                <w:szCs w:val="18"/>
                <w:color w:val="auto"/>
              </w:rPr>
              <w:t>636,000</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3%</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24.35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2011</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655,000</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8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$ 27.72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656,000</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$ 27.67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860"/>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286,000</w:t>
            </w: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3%</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13.99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574,000</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7%</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29.30</w:t>
            </w:r>
          </w:p>
        </w:tc>
        <w:tc>
          <w:tcPr>
            <w:tcW w:w="800" w:type="dxa"/>
            <w:vAlign w:val="bottom"/>
          </w:tcPr>
          <w:p>
            <w:pPr>
              <w:jc w:val="right"/>
              <w:spacing w:after="0"/>
              <w:rPr>
                <w:sz w:val="20"/>
                <w:szCs w:val="20"/>
                <w:color w:val="auto"/>
              </w:rPr>
            </w:pPr>
            <w:r>
              <w:rPr>
                <w:rFonts w:ascii="Arial" w:cs="Arial" w:eastAsia="Arial" w:hAnsi="Arial"/>
                <w:sz w:val="18"/>
                <w:szCs w:val="18"/>
                <w:color w:val="auto"/>
              </w:rPr>
              <w:t>860,000</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5%</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24.20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2013</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155,000</w:t>
            </w: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12.30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356,000</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28.49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510,000</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860"/>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304,000</w:t>
            </w: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3%</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14.74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475,000</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6%</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29.12</w:t>
            </w:r>
          </w:p>
        </w:tc>
        <w:tc>
          <w:tcPr>
            <w:tcW w:w="800" w:type="dxa"/>
            <w:vAlign w:val="bottom"/>
          </w:tcPr>
          <w:p>
            <w:pPr>
              <w:jc w:val="right"/>
              <w:spacing w:after="0"/>
              <w:rPr>
                <w:sz w:val="20"/>
                <w:szCs w:val="20"/>
                <w:color w:val="auto"/>
              </w:rPr>
            </w:pPr>
            <w:r>
              <w:rPr>
                <w:rFonts w:ascii="Arial" w:cs="Arial" w:eastAsia="Arial" w:hAnsi="Arial"/>
                <w:sz w:val="18"/>
                <w:szCs w:val="18"/>
                <w:color w:val="auto"/>
              </w:rPr>
              <w:t>779,000</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23.51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2015</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189,000</w:t>
            </w: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16.78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455,000</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23.96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644,000</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860"/>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146,000</w:t>
            </w: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1%</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19.87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440,000</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6%</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29.63</w:t>
            </w:r>
          </w:p>
        </w:tc>
        <w:tc>
          <w:tcPr>
            <w:tcW w:w="800" w:type="dxa"/>
            <w:vAlign w:val="bottom"/>
          </w:tcPr>
          <w:p>
            <w:pPr>
              <w:jc w:val="right"/>
              <w:spacing w:after="0"/>
              <w:rPr>
                <w:sz w:val="20"/>
                <w:szCs w:val="20"/>
                <w:color w:val="auto"/>
              </w:rPr>
            </w:pPr>
            <w:r>
              <w:rPr>
                <w:rFonts w:ascii="Arial" w:cs="Arial" w:eastAsia="Arial" w:hAnsi="Arial"/>
                <w:sz w:val="18"/>
                <w:szCs w:val="18"/>
                <w:color w:val="auto"/>
              </w:rPr>
              <w:t>585,000</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3%</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27.24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Thereafter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8,832,000</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14.02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2,712,000</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28.64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11,544,000</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Total (3)</w:t>
            </w: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gridSpan w:val="2"/>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10,728,000</w:t>
            </w:r>
          </w:p>
        </w:tc>
        <w:tc>
          <w:tcPr>
            <w:tcW w:w="1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13.74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7,683,000</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100%</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27.57</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18,412,000</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100%</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19.51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90"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Anchor is defined as a tenant leasing 15,000 square feet or more.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Minimum Rent reflects in-place contractual (cash-basis) rent as of June 30, 2007.</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occupied square footage as of June 30, 2007.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Leased Statistics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2007</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700" w:type="dxa"/>
            <w:vAlign w:val="bottom"/>
            <w:gridSpan w:val="5"/>
          </w:tcPr>
          <w:p>
            <w:pPr>
              <w:spacing w:after="0"/>
              <w:rPr>
                <w:sz w:val="20"/>
                <w:szCs w:val="20"/>
                <w:color w:val="auto"/>
              </w:rPr>
            </w:pPr>
            <w:r>
              <w:rPr>
                <w:rFonts w:ascii="Arial" w:cs="Arial" w:eastAsia="Arial" w:hAnsi="Arial"/>
                <w:sz w:val="18"/>
                <w:szCs w:val="18"/>
                <w:b w:val="1"/>
                <w:bCs w:val="1"/>
                <w:color w:val="auto"/>
              </w:rPr>
              <w:t>Overall Portfolio Statistics (1)</w:t>
            </w:r>
          </w:p>
        </w:tc>
        <w:tc>
          <w:tcPr>
            <w:tcW w:w="800" w:type="dxa"/>
            <w:vAlign w:val="bottom"/>
          </w:tcPr>
          <w:p>
            <w:pPr>
              <w:spacing w:after="0"/>
              <w:rPr>
                <w:sz w:val="19"/>
                <w:szCs w:val="19"/>
                <w:color w:val="auto"/>
              </w:rPr>
            </w:pP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At June 30, 2007</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At June 30, 2006</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7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Type</w:t>
            </w: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700" w:type="dxa"/>
            <w:vAlign w:val="bottom"/>
            <w:gridSpan w:val="5"/>
            <w:vMerge w:val="continue"/>
          </w:tcPr>
          <w:p>
            <w:pPr>
              <w:spacing w:after="0"/>
              <w:rPr>
                <w:sz w:val="11"/>
                <w:szCs w:val="11"/>
                <w:color w:val="auto"/>
              </w:rPr>
            </w:pPr>
          </w:p>
        </w:tc>
        <w:tc>
          <w:tcPr>
            <w:tcW w:w="800" w:type="dxa"/>
            <w:vAlign w:val="bottom"/>
          </w:tcPr>
          <w:p>
            <w:pPr>
              <w:jc w:val="right"/>
              <w:ind w:right="199"/>
              <w:spacing w:after="0" w:line="129" w:lineRule="exact"/>
              <w:rPr>
                <w:sz w:val="20"/>
                <w:szCs w:val="20"/>
                <w:color w:val="auto"/>
              </w:rPr>
            </w:pPr>
            <w:r>
              <w:rPr>
                <w:rFonts w:ascii="Arial" w:cs="Arial" w:eastAsia="Arial" w:hAnsi="Arial"/>
                <w:sz w:val="14"/>
                <w:szCs w:val="14"/>
                <w:b w:val="1"/>
                <w:bCs w:val="1"/>
                <w:color w:val="auto"/>
              </w:rPr>
              <w:t>Size</w:t>
            </w:r>
          </w:p>
        </w:tc>
        <w:tc>
          <w:tcPr>
            <w:tcW w:w="220" w:type="dxa"/>
            <w:vAlign w:val="bottom"/>
          </w:tcPr>
          <w:p>
            <w:pPr>
              <w:spacing w:after="0"/>
              <w:rPr>
                <w:sz w:val="11"/>
                <w:szCs w:val="11"/>
                <w:color w:val="auto"/>
              </w:rPr>
            </w:pPr>
          </w:p>
        </w:tc>
        <w:tc>
          <w:tcPr>
            <w:tcW w:w="1020" w:type="dxa"/>
            <w:vAlign w:val="bottom"/>
            <w:gridSpan w:val="2"/>
          </w:tcPr>
          <w:p>
            <w:pPr>
              <w:ind w:left="200"/>
              <w:spacing w:after="0" w:line="129" w:lineRule="exact"/>
              <w:rPr>
                <w:sz w:val="20"/>
                <w:szCs w:val="20"/>
                <w:color w:val="auto"/>
              </w:rPr>
            </w:pPr>
            <w:r>
              <w:rPr>
                <w:rFonts w:ascii="Arial" w:cs="Arial" w:eastAsia="Arial" w:hAnsi="Arial"/>
                <w:sz w:val="14"/>
                <w:szCs w:val="14"/>
                <w:b w:val="1"/>
                <w:bCs w:val="1"/>
                <w:color w:val="auto"/>
              </w:rPr>
              <w:t>Leased</w:t>
            </w:r>
          </w:p>
        </w:tc>
        <w:tc>
          <w:tcPr>
            <w:tcW w:w="920" w:type="dxa"/>
            <w:vAlign w:val="bottom"/>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w w:val="86"/>
              </w:rPr>
              <w:t>Leased %</w:t>
            </w:r>
          </w:p>
        </w:tc>
        <w:tc>
          <w:tcPr>
            <w:tcW w:w="800" w:type="dxa"/>
            <w:vAlign w:val="bottom"/>
          </w:tcPr>
          <w:p>
            <w:pPr>
              <w:jc w:val="right"/>
              <w:ind w:right="199"/>
              <w:spacing w:after="0" w:line="129" w:lineRule="exact"/>
              <w:rPr>
                <w:sz w:val="20"/>
                <w:szCs w:val="20"/>
                <w:color w:val="auto"/>
              </w:rPr>
            </w:pPr>
            <w:r>
              <w:rPr>
                <w:rFonts w:ascii="Arial" w:cs="Arial" w:eastAsia="Arial" w:hAnsi="Arial"/>
                <w:sz w:val="14"/>
                <w:szCs w:val="14"/>
                <w:b w:val="1"/>
                <w:bCs w:val="1"/>
                <w:color w:val="auto"/>
              </w:rPr>
              <w:t>Size</w:t>
            </w:r>
          </w:p>
        </w:tc>
        <w:tc>
          <w:tcPr>
            <w:tcW w:w="220" w:type="dxa"/>
            <w:vAlign w:val="bottom"/>
          </w:tcPr>
          <w:p>
            <w:pPr>
              <w:spacing w:after="0"/>
              <w:rPr>
                <w:sz w:val="11"/>
                <w:szCs w:val="11"/>
                <w:color w:val="auto"/>
              </w:rPr>
            </w:pPr>
          </w:p>
        </w:tc>
        <w:tc>
          <w:tcPr>
            <w:tcW w:w="1020" w:type="dxa"/>
            <w:vAlign w:val="bottom"/>
            <w:gridSpan w:val="2"/>
          </w:tcPr>
          <w:p>
            <w:pPr>
              <w:ind w:left="200"/>
              <w:spacing w:after="0" w:line="129" w:lineRule="exact"/>
              <w:rPr>
                <w:sz w:val="20"/>
                <w:szCs w:val="20"/>
                <w:color w:val="auto"/>
              </w:rPr>
            </w:pPr>
            <w:r>
              <w:rPr>
                <w:rFonts w:ascii="Arial" w:cs="Arial" w:eastAsia="Arial" w:hAnsi="Arial"/>
                <w:sz w:val="14"/>
                <w:szCs w:val="14"/>
                <w:b w:val="1"/>
                <w:bCs w:val="1"/>
                <w:color w:val="auto"/>
              </w:rPr>
              <w:t>Leased</w:t>
            </w:r>
          </w:p>
        </w:tc>
        <w:tc>
          <w:tcPr>
            <w:tcW w:w="720" w:type="dxa"/>
            <w:vAlign w:val="bottom"/>
            <w:gridSpan w:val="2"/>
          </w:tcPr>
          <w:p>
            <w:pPr>
              <w:jc w:val="right"/>
              <w:ind w:right="160"/>
              <w:spacing w:after="0" w:line="129" w:lineRule="exact"/>
              <w:rPr>
                <w:sz w:val="20"/>
                <w:szCs w:val="20"/>
                <w:color w:val="auto"/>
              </w:rPr>
            </w:pPr>
            <w:r>
              <w:rPr>
                <w:rFonts w:ascii="Arial" w:cs="Arial" w:eastAsia="Arial" w:hAnsi="Arial"/>
                <w:sz w:val="14"/>
                <w:szCs w:val="14"/>
                <w:b w:val="1"/>
                <w:bCs w:val="1"/>
                <w:color w:val="auto"/>
                <w:w w:val="83"/>
              </w:rPr>
              <w:t>Leased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Retail Properties (2) (sf)</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19,468,000</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18,702,000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17,681,000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17,095,000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gridSpan w:val="4"/>
          </w:tcPr>
          <w:p>
            <w:pPr>
              <w:spacing w:after="0"/>
              <w:rPr>
                <w:sz w:val="20"/>
                <w:szCs w:val="20"/>
                <w:color w:val="auto"/>
              </w:rPr>
            </w:pPr>
            <w:r>
              <w:rPr>
                <w:rFonts w:ascii="Arial" w:cs="Arial" w:eastAsia="Arial" w:hAnsi="Arial"/>
                <w:sz w:val="18"/>
                <w:szCs w:val="18"/>
                <w:color w:val="auto"/>
              </w:rPr>
              <w:t>Residential Properties (3) (units)</w:t>
            </w:r>
          </w:p>
        </w:tc>
        <w:tc>
          <w:tcPr>
            <w:tcW w:w="800" w:type="dxa"/>
            <w:vAlign w:val="bottom"/>
          </w:tcPr>
          <w:p>
            <w:pPr>
              <w:jc w:val="right"/>
              <w:spacing w:after="0"/>
              <w:rPr>
                <w:sz w:val="20"/>
                <w:szCs w:val="20"/>
                <w:color w:val="auto"/>
              </w:rPr>
            </w:pPr>
            <w:r>
              <w:rPr>
                <w:rFonts w:ascii="Arial" w:cs="Arial" w:eastAsia="Arial" w:hAnsi="Arial"/>
                <w:sz w:val="18"/>
                <w:szCs w:val="18"/>
                <w:color w:val="auto"/>
              </w:rPr>
              <w:t>723</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706</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97.6%</w:t>
            </w:r>
          </w:p>
        </w:tc>
        <w:tc>
          <w:tcPr>
            <w:tcW w:w="800" w:type="dxa"/>
            <w:vAlign w:val="bottom"/>
          </w:tcPr>
          <w:p>
            <w:pPr>
              <w:jc w:val="right"/>
              <w:spacing w:after="0"/>
              <w:rPr>
                <w:sz w:val="20"/>
                <w:szCs w:val="20"/>
                <w:color w:val="auto"/>
              </w:rPr>
            </w:pPr>
            <w:r>
              <w:rPr>
                <w:rFonts w:ascii="Arial" w:cs="Arial" w:eastAsia="Arial" w:hAnsi="Arial"/>
                <w:sz w:val="18"/>
                <w:szCs w:val="18"/>
                <w:color w:val="auto"/>
              </w:rPr>
              <w:t>723</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666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385"/>
        </w:trPr>
        <w:tc>
          <w:tcPr>
            <w:tcW w:w="5700" w:type="dxa"/>
            <w:vAlign w:val="bottom"/>
            <w:gridSpan w:val="5"/>
          </w:tcPr>
          <w:p>
            <w:pPr>
              <w:spacing w:after="0"/>
              <w:rPr>
                <w:sz w:val="20"/>
                <w:szCs w:val="20"/>
                <w:color w:val="auto"/>
              </w:rPr>
            </w:pPr>
            <w:r>
              <w:rPr>
                <w:rFonts w:ascii="Arial" w:cs="Arial" w:eastAsia="Arial" w:hAnsi="Arial"/>
                <w:sz w:val="18"/>
                <w:szCs w:val="18"/>
                <w:b w:val="1"/>
                <w:bCs w:val="1"/>
                <w:color w:val="auto"/>
              </w:rPr>
              <w:t>Same Center Statistics (1)</w:t>
            </w:r>
          </w:p>
        </w:tc>
        <w:tc>
          <w:tcPr>
            <w:tcW w:w="800" w:type="dxa"/>
            <w:vAlign w:val="bottom"/>
          </w:tcPr>
          <w:p>
            <w:pPr>
              <w:spacing w:after="0"/>
              <w:rPr>
                <w:sz w:val="24"/>
                <w:szCs w:val="24"/>
                <w:color w:val="auto"/>
              </w:rPr>
            </w:pP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At June 30, 2007</w:t>
            </w: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At June 30, 2006</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7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Type</w:t>
            </w: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700" w:type="dxa"/>
            <w:vAlign w:val="bottom"/>
            <w:gridSpan w:val="5"/>
            <w:vMerge w:val="continue"/>
          </w:tcPr>
          <w:p>
            <w:pPr>
              <w:spacing w:after="0"/>
              <w:rPr>
                <w:sz w:val="11"/>
                <w:szCs w:val="11"/>
                <w:color w:val="auto"/>
              </w:rPr>
            </w:pPr>
          </w:p>
        </w:tc>
        <w:tc>
          <w:tcPr>
            <w:tcW w:w="800" w:type="dxa"/>
            <w:vAlign w:val="bottom"/>
          </w:tcPr>
          <w:p>
            <w:pPr>
              <w:jc w:val="right"/>
              <w:ind w:right="199"/>
              <w:spacing w:after="0" w:line="129" w:lineRule="exact"/>
              <w:rPr>
                <w:sz w:val="20"/>
                <w:szCs w:val="20"/>
                <w:color w:val="auto"/>
              </w:rPr>
            </w:pPr>
            <w:r>
              <w:rPr>
                <w:rFonts w:ascii="Arial" w:cs="Arial" w:eastAsia="Arial" w:hAnsi="Arial"/>
                <w:sz w:val="14"/>
                <w:szCs w:val="14"/>
                <w:b w:val="1"/>
                <w:bCs w:val="1"/>
                <w:color w:val="auto"/>
              </w:rPr>
              <w:t>Size</w:t>
            </w:r>
          </w:p>
        </w:tc>
        <w:tc>
          <w:tcPr>
            <w:tcW w:w="220" w:type="dxa"/>
            <w:vAlign w:val="bottom"/>
          </w:tcPr>
          <w:p>
            <w:pPr>
              <w:spacing w:after="0"/>
              <w:rPr>
                <w:sz w:val="11"/>
                <w:szCs w:val="11"/>
                <w:color w:val="auto"/>
              </w:rPr>
            </w:pPr>
          </w:p>
        </w:tc>
        <w:tc>
          <w:tcPr>
            <w:tcW w:w="1020" w:type="dxa"/>
            <w:vAlign w:val="bottom"/>
            <w:gridSpan w:val="2"/>
          </w:tcPr>
          <w:p>
            <w:pPr>
              <w:ind w:left="200"/>
              <w:spacing w:after="0" w:line="129" w:lineRule="exact"/>
              <w:rPr>
                <w:sz w:val="20"/>
                <w:szCs w:val="20"/>
                <w:color w:val="auto"/>
              </w:rPr>
            </w:pPr>
            <w:r>
              <w:rPr>
                <w:rFonts w:ascii="Arial" w:cs="Arial" w:eastAsia="Arial" w:hAnsi="Arial"/>
                <w:sz w:val="14"/>
                <w:szCs w:val="14"/>
                <w:b w:val="1"/>
                <w:bCs w:val="1"/>
                <w:color w:val="auto"/>
              </w:rPr>
              <w:t>Leased</w:t>
            </w:r>
          </w:p>
        </w:tc>
        <w:tc>
          <w:tcPr>
            <w:tcW w:w="920" w:type="dxa"/>
            <w:vAlign w:val="bottom"/>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w w:val="86"/>
              </w:rPr>
              <w:t>Leased %</w:t>
            </w:r>
          </w:p>
        </w:tc>
        <w:tc>
          <w:tcPr>
            <w:tcW w:w="800" w:type="dxa"/>
            <w:vAlign w:val="bottom"/>
          </w:tcPr>
          <w:p>
            <w:pPr>
              <w:jc w:val="right"/>
              <w:ind w:right="199"/>
              <w:spacing w:after="0" w:line="129" w:lineRule="exact"/>
              <w:rPr>
                <w:sz w:val="20"/>
                <w:szCs w:val="20"/>
                <w:color w:val="auto"/>
              </w:rPr>
            </w:pPr>
            <w:r>
              <w:rPr>
                <w:rFonts w:ascii="Arial" w:cs="Arial" w:eastAsia="Arial" w:hAnsi="Arial"/>
                <w:sz w:val="14"/>
                <w:szCs w:val="14"/>
                <w:b w:val="1"/>
                <w:bCs w:val="1"/>
                <w:color w:val="auto"/>
              </w:rPr>
              <w:t>Size</w:t>
            </w:r>
          </w:p>
        </w:tc>
        <w:tc>
          <w:tcPr>
            <w:tcW w:w="220" w:type="dxa"/>
            <w:vAlign w:val="bottom"/>
          </w:tcPr>
          <w:p>
            <w:pPr>
              <w:spacing w:after="0"/>
              <w:rPr>
                <w:sz w:val="11"/>
                <w:szCs w:val="11"/>
                <w:color w:val="auto"/>
              </w:rPr>
            </w:pPr>
          </w:p>
        </w:tc>
        <w:tc>
          <w:tcPr>
            <w:tcW w:w="1020" w:type="dxa"/>
            <w:vAlign w:val="bottom"/>
            <w:gridSpan w:val="2"/>
          </w:tcPr>
          <w:p>
            <w:pPr>
              <w:ind w:left="200"/>
              <w:spacing w:after="0" w:line="129" w:lineRule="exact"/>
              <w:rPr>
                <w:sz w:val="20"/>
                <w:szCs w:val="20"/>
                <w:color w:val="auto"/>
              </w:rPr>
            </w:pPr>
            <w:r>
              <w:rPr>
                <w:rFonts w:ascii="Arial" w:cs="Arial" w:eastAsia="Arial" w:hAnsi="Arial"/>
                <w:sz w:val="14"/>
                <w:szCs w:val="14"/>
                <w:b w:val="1"/>
                <w:bCs w:val="1"/>
                <w:color w:val="auto"/>
              </w:rPr>
              <w:t>Leased</w:t>
            </w:r>
          </w:p>
        </w:tc>
        <w:tc>
          <w:tcPr>
            <w:tcW w:w="720" w:type="dxa"/>
            <w:vAlign w:val="bottom"/>
            <w:gridSpan w:val="2"/>
          </w:tcPr>
          <w:p>
            <w:pPr>
              <w:jc w:val="right"/>
              <w:ind w:right="160"/>
              <w:spacing w:after="0" w:line="129" w:lineRule="exact"/>
              <w:rPr>
                <w:sz w:val="20"/>
                <w:szCs w:val="20"/>
                <w:color w:val="auto"/>
              </w:rPr>
            </w:pPr>
            <w:r>
              <w:rPr>
                <w:rFonts w:ascii="Arial" w:cs="Arial" w:eastAsia="Arial" w:hAnsi="Arial"/>
                <w:sz w:val="14"/>
                <w:szCs w:val="14"/>
                <w:b w:val="1"/>
                <w:bCs w:val="1"/>
                <w:color w:val="auto"/>
                <w:w w:val="83"/>
              </w:rPr>
              <w:t>Leased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Retail Properties (2) (4) (sf)</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15,896,000</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15,324,000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15,866,000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15,506,000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gridSpan w:val="4"/>
          </w:tcPr>
          <w:p>
            <w:pPr>
              <w:spacing w:after="0"/>
              <w:rPr>
                <w:sz w:val="20"/>
                <w:szCs w:val="20"/>
                <w:color w:val="auto"/>
              </w:rPr>
            </w:pPr>
            <w:r>
              <w:rPr>
                <w:rFonts w:ascii="Arial" w:cs="Arial" w:eastAsia="Arial" w:hAnsi="Arial"/>
                <w:sz w:val="18"/>
                <w:szCs w:val="18"/>
                <w:color w:val="auto"/>
              </w:rPr>
              <w:t>Residential Properties (3) (units)</w:t>
            </w:r>
          </w:p>
        </w:tc>
        <w:tc>
          <w:tcPr>
            <w:tcW w:w="800" w:type="dxa"/>
            <w:vAlign w:val="bottom"/>
          </w:tcPr>
          <w:p>
            <w:pPr>
              <w:jc w:val="right"/>
              <w:spacing w:after="0"/>
              <w:rPr>
                <w:sz w:val="20"/>
                <w:szCs w:val="20"/>
                <w:color w:val="auto"/>
              </w:rPr>
            </w:pPr>
            <w:r>
              <w:rPr>
                <w:rFonts w:ascii="Arial" w:cs="Arial" w:eastAsia="Arial" w:hAnsi="Arial"/>
                <w:sz w:val="18"/>
                <w:szCs w:val="18"/>
                <w:color w:val="auto"/>
              </w:rPr>
              <w:t>428</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412</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96.3%</w:t>
            </w:r>
          </w:p>
        </w:tc>
        <w:tc>
          <w:tcPr>
            <w:tcW w:w="800" w:type="dxa"/>
            <w:vAlign w:val="bottom"/>
          </w:tcPr>
          <w:p>
            <w:pPr>
              <w:jc w:val="right"/>
              <w:spacing w:after="0"/>
              <w:rPr>
                <w:sz w:val="20"/>
                <w:szCs w:val="20"/>
                <w:color w:val="auto"/>
              </w:rPr>
            </w:pPr>
            <w:r>
              <w:rPr>
                <w:rFonts w:ascii="Arial" w:cs="Arial" w:eastAsia="Arial" w:hAnsi="Arial"/>
                <w:sz w:val="18"/>
                <w:szCs w:val="18"/>
                <w:color w:val="auto"/>
              </w:rPr>
              <w:t>428</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388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90"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See Glossary of Terms.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Leasable square feet; excludes redevelopment square footage not yet placed in service.</w:t>
      </w:r>
    </w:p>
    <w:p>
      <w:pPr>
        <w:spacing w:after="0" w:line="90" w:lineRule="exact"/>
        <w:rPr>
          <w:rFonts w:ascii="Arial" w:cs="Arial" w:eastAsia="Arial" w:hAnsi="Arial"/>
          <w:sz w:val="18"/>
          <w:szCs w:val="18"/>
          <w:color w:val="auto"/>
        </w:rPr>
      </w:pPr>
    </w:p>
    <w:p>
      <w:pPr>
        <w:ind w:left="460" w:right="400" w:hanging="452"/>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Overall portfolio statistics at June 30, 2007 and 2006 include Rollingwood, The Crest at Congressional and the residential rental units at Santana Row. Same center statistics at June 30, 2007 and 2006 include Rollingwood and The Crest at Congressional.</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Excludes properties purchased, sold or under redevelopment.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Top 25 Tenants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4"/>
              </w:rPr>
              <w:t>Percentage of</w:t>
            </w: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20" w:type="dxa"/>
            <w:vAlign w:val="bottom"/>
            <w:vMerge w:val="restart"/>
          </w:tcPr>
          <w:p>
            <w:pPr>
              <w:spacing w:after="0"/>
              <w:rPr>
                <w:sz w:val="20"/>
                <w:szCs w:val="20"/>
                <w:color w:val="auto"/>
              </w:rPr>
            </w:pPr>
            <w:r>
              <w:rPr>
                <w:rFonts w:ascii="Arial" w:cs="Arial" w:eastAsia="Arial" w:hAnsi="Arial"/>
                <w:sz w:val="14"/>
                <w:szCs w:val="14"/>
                <w:b w:val="1"/>
                <w:bCs w:val="1"/>
                <w:color w:val="auto"/>
              </w:rPr>
              <w:t>Tenant Name</w:t>
            </w:r>
          </w:p>
        </w:tc>
        <w:tc>
          <w:tcPr>
            <w:tcW w:w="260" w:type="dxa"/>
            <w:vAlign w:val="bottom"/>
          </w:tcPr>
          <w:p>
            <w:pPr>
              <w:spacing w:after="0"/>
              <w:rPr>
                <w:sz w:val="12"/>
                <w:szCs w:val="12"/>
                <w:color w:val="auto"/>
              </w:rPr>
            </w:pPr>
          </w:p>
        </w:tc>
        <w:tc>
          <w:tcPr>
            <w:tcW w:w="14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Annualized Base</w:t>
            </w:r>
          </w:p>
        </w:tc>
        <w:tc>
          <w:tcPr>
            <w:tcW w:w="14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Total Annualized</w:t>
            </w: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2"/>
              </w:rPr>
              <w:t>Percentage of</w:t>
            </w:r>
          </w:p>
        </w:tc>
        <w:tc>
          <w:tcPr>
            <w:tcW w:w="6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2"/>
              </w:rPr>
              <w:t>Stores</w:t>
            </w:r>
          </w:p>
        </w:tc>
        <w:tc>
          <w:tcPr>
            <w:tcW w:w="0" w:type="dxa"/>
            <w:vAlign w:val="bottom"/>
          </w:tcPr>
          <w:p>
            <w:pPr>
              <w:spacing w:after="0"/>
              <w:rPr>
                <w:sz w:val="1"/>
                <w:szCs w:val="1"/>
                <w:color w:val="auto"/>
              </w:rPr>
            </w:pPr>
          </w:p>
        </w:tc>
      </w:tr>
      <w:tr>
        <w:trPr>
          <w:trHeight w:val="161"/>
        </w:trPr>
        <w:tc>
          <w:tcPr>
            <w:tcW w:w="580" w:type="dxa"/>
            <w:vAlign w:val="bottom"/>
            <w:gridSpan w:val="3"/>
          </w:tcPr>
          <w:p>
            <w:pPr>
              <w:spacing w:after="0"/>
              <w:rPr>
                <w:sz w:val="20"/>
                <w:szCs w:val="20"/>
                <w:color w:val="auto"/>
              </w:rPr>
            </w:pPr>
            <w:r>
              <w:rPr>
                <w:rFonts w:ascii="Arial" w:cs="Arial" w:eastAsia="Arial" w:hAnsi="Arial"/>
                <w:sz w:val="14"/>
                <w:szCs w:val="14"/>
                <w:b w:val="1"/>
                <w:bCs w:val="1"/>
                <w:color w:val="auto"/>
              </w:rPr>
              <w:t>Rank</w:t>
            </w:r>
          </w:p>
        </w:tc>
        <w:tc>
          <w:tcPr>
            <w:tcW w:w="46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Rent</w:t>
            </w: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4"/>
              </w:rPr>
              <w:t>Base Rent</w:t>
            </w:r>
          </w:p>
        </w:tc>
        <w:tc>
          <w:tcPr>
            <w:tcW w:w="12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3"/>
              </w:rPr>
              <w:t>Tenant GLA</w:t>
            </w:r>
          </w:p>
        </w:tc>
        <w:tc>
          <w:tcPr>
            <w:tcW w:w="12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Total GLA</w:t>
            </w:r>
          </w:p>
        </w:tc>
        <w:tc>
          <w:tcPr>
            <w:tcW w:w="6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2"/>
              </w:rPr>
              <w:t>Leased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Ahold USA, Inc.</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10,361,000</w:t>
            </w:r>
          </w:p>
        </w:tc>
        <w:tc>
          <w:tcPr>
            <w:tcW w:w="4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4620" w:type="dxa"/>
            <w:vAlign w:val="bottom"/>
          </w:tcPr>
          <w:p>
            <w:pPr>
              <w:spacing w:after="0"/>
              <w:rPr>
                <w:sz w:val="20"/>
                <w:szCs w:val="20"/>
                <w:color w:val="auto"/>
              </w:rPr>
            </w:pPr>
            <w:r>
              <w:rPr>
                <w:rFonts w:ascii="Arial" w:cs="Arial" w:eastAsia="Arial" w:hAnsi="Arial"/>
                <w:sz w:val="18"/>
                <w:szCs w:val="18"/>
                <w:color w:val="auto"/>
              </w:rPr>
              <w:t>Bed, Bath &amp; Beyond, Inc.</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8,655,000</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2.41%</w:t>
            </w:r>
          </w:p>
        </w:tc>
        <w:tc>
          <w:tcPr>
            <w:tcW w:w="800" w:type="dxa"/>
            <w:vAlign w:val="bottom"/>
          </w:tcPr>
          <w:p>
            <w:pPr>
              <w:jc w:val="right"/>
              <w:spacing w:after="0"/>
              <w:rPr>
                <w:sz w:val="20"/>
                <w:szCs w:val="20"/>
                <w:color w:val="auto"/>
              </w:rPr>
            </w:pPr>
            <w:r>
              <w:rPr>
                <w:rFonts w:ascii="Arial" w:cs="Arial" w:eastAsia="Arial" w:hAnsi="Arial"/>
                <w:sz w:val="18"/>
                <w:szCs w:val="18"/>
                <w:color w:val="auto"/>
              </w:rPr>
              <w:t>581,000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2.98%</w:t>
            </w: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Gap, Inc.</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7,170,000</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4620" w:type="dxa"/>
            <w:vAlign w:val="bottom"/>
          </w:tcPr>
          <w:p>
            <w:pPr>
              <w:spacing w:after="0"/>
              <w:rPr>
                <w:sz w:val="20"/>
                <w:szCs w:val="20"/>
                <w:color w:val="auto"/>
              </w:rPr>
            </w:pPr>
            <w:r>
              <w:rPr>
                <w:rFonts w:ascii="Arial" w:cs="Arial" w:eastAsia="Arial" w:hAnsi="Arial"/>
                <w:sz w:val="18"/>
                <w:szCs w:val="18"/>
                <w:color w:val="auto"/>
              </w:rPr>
              <w:t>TJX Companies</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6,820,000</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1.90%</w:t>
            </w:r>
          </w:p>
        </w:tc>
        <w:tc>
          <w:tcPr>
            <w:tcW w:w="800" w:type="dxa"/>
            <w:vAlign w:val="bottom"/>
          </w:tcPr>
          <w:p>
            <w:pPr>
              <w:jc w:val="right"/>
              <w:spacing w:after="0"/>
              <w:rPr>
                <w:sz w:val="20"/>
                <w:szCs w:val="20"/>
                <w:color w:val="auto"/>
              </w:rPr>
            </w:pPr>
            <w:r>
              <w:rPr>
                <w:rFonts w:ascii="Arial" w:cs="Arial" w:eastAsia="Arial" w:hAnsi="Arial"/>
                <w:sz w:val="18"/>
                <w:szCs w:val="18"/>
                <w:color w:val="auto"/>
              </w:rPr>
              <w:t>589,000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3.03%</w:t>
            </w: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Safeway, Inc.</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6,684,000</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4620" w:type="dxa"/>
            <w:vAlign w:val="bottom"/>
          </w:tcPr>
          <w:p>
            <w:pPr>
              <w:spacing w:after="0"/>
              <w:rPr>
                <w:sz w:val="20"/>
                <w:szCs w:val="20"/>
                <w:color w:val="auto"/>
              </w:rPr>
            </w:pPr>
            <w:r>
              <w:rPr>
                <w:rFonts w:ascii="Arial" w:cs="Arial" w:eastAsia="Arial" w:hAnsi="Arial"/>
                <w:sz w:val="18"/>
                <w:szCs w:val="18"/>
                <w:color w:val="auto"/>
              </w:rPr>
              <w:t>Barnes &amp; Noble, Inc.</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4,671,000</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1.30%</w:t>
            </w:r>
          </w:p>
        </w:tc>
        <w:tc>
          <w:tcPr>
            <w:tcW w:w="800" w:type="dxa"/>
            <w:vAlign w:val="bottom"/>
          </w:tcPr>
          <w:p>
            <w:pPr>
              <w:jc w:val="right"/>
              <w:spacing w:after="0"/>
              <w:rPr>
                <w:sz w:val="20"/>
                <w:szCs w:val="20"/>
                <w:color w:val="auto"/>
              </w:rPr>
            </w:pPr>
            <w:r>
              <w:rPr>
                <w:rFonts w:ascii="Arial" w:cs="Arial" w:eastAsia="Arial" w:hAnsi="Arial"/>
                <w:sz w:val="18"/>
                <w:szCs w:val="18"/>
                <w:color w:val="auto"/>
              </w:rPr>
              <w:t>201,000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1.03%</w:t>
            </w: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CVS Corporation</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4,093,000</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4620" w:type="dxa"/>
            <w:vAlign w:val="bottom"/>
          </w:tcPr>
          <w:p>
            <w:pPr>
              <w:spacing w:after="0"/>
              <w:rPr>
                <w:sz w:val="20"/>
                <w:szCs w:val="20"/>
                <w:color w:val="auto"/>
              </w:rPr>
            </w:pPr>
            <w:r>
              <w:rPr>
                <w:rFonts w:ascii="Arial" w:cs="Arial" w:eastAsia="Arial" w:hAnsi="Arial"/>
                <w:sz w:val="18"/>
                <w:szCs w:val="18"/>
                <w:color w:val="auto"/>
              </w:rPr>
              <w:t>OPNET Technologies, Inc.</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3,539,000</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0.99%</w:t>
            </w:r>
          </w:p>
        </w:tc>
        <w:tc>
          <w:tcPr>
            <w:tcW w:w="800" w:type="dxa"/>
            <w:vAlign w:val="bottom"/>
          </w:tcPr>
          <w:p>
            <w:pPr>
              <w:jc w:val="right"/>
              <w:spacing w:after="0"/>
              <w:rPr>
                <w:sz w:val="20"/>
                <w:szCs w:val="20"/>
                <w:color w:val="auto"/>
              </w:rPr>
            </w:pPr>
            <w:r>
              <w:rPr>
                <w:rFonts w:ascii="Arial" w:cs="Arial" w:eastAsia="Arial" w:hAnsi="Arial"/>
                <w:sz w:val="18"/>
                <w:szCs w:val="18"/>
                <w:color w:val="auto"/>
              </w:rPr>
              <w:t>83,000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0.43%</w:t>
            </w: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Best Buy Stores, L.P.</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3,394,000</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4620" w:type="dxa"/>
            <w:vAlign w:val="bottom"/>
          </w:tcPr>
          <w:p>
            <w:pPr>
              <w:spacing w:after="0"/>
              <w:rPr>
                <w:sz w:val="20"/>
                <w:szCs w:val="20"/>
                <w:color w:val="auto"/>
              </w:rPr>
            </w:pPr>
            <w:r>
              <w:rPr>
                <w:rFonts w:ascii="Arial" w:cs="Arial" w:eastAsia="Arial" w:hAnsi="Arial"/>
                <w:sz w:val="18"/>
                <w:szCs w:val="18"/>
                <w:color w:val="auto"/>
              </w:rPr>
              <w:t>Staples, Inc.</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3,360,000</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0.94%</w:t>
            </w:r>
          </w:p>
        </w:tc>
        <w:tc>
          <w:tcPr>
            <w:tcW w:w="800" w:type="dxa"/>
            <w:vAlign w:val="bottom"/>
          </w:tcPr>
          <w:p>
            <w:pPr>
              <w:jc w:val="right"/>
              <w:spacing w:after="0"/>
              <w:rPr>
                <w:sz w:val="20"/>
                <w:szCs w:val="20"/>
                <w:color w:val="auto"/>
              </w:rPr>
            </w:pPr>
            <w:r>
              <w:rPr>
                <w:rFonts w:ascii="Arial" w:cs="Arial" w:eastAsia="Arial" w:hAnsi="Arial"/>
                <w:sz w:val="18"/>
                <w:szCs w:val="18"/>
                <w:color w:val="auto"/>
              </w:rPr>
              <w:t>190,000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0.98%</w:t>
            </w: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w:t>
            </w: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Kohl’s Corporation</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3,297,000</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12</w:t>
            </w:r>
          </w:p>
        </w:tc>
        <w:tc>
          <w:tcPr>
            <w:tcW w:w="4620" w:type="dxa"/>
            <w:vAlign w:val="bottom"/>
          </w:tcPr>
          <w:p>
            <w:pPr>
              <w:spacing w:after="0"/>
              <w:rPr>
                <w:sz w:val="20"/>
                <w:szCs w:val="20"/>
                <w:color w:val="auto"/>
              </w:rPr>
            </w:pPr>
            <w:r>
              <w:rPr>
                <w:rFonts w:ascii="Arial" w:cs="Arial" w:eastAsia="Arial" w:hAnsi="Arial"/>
                <w:sz w:val="18"/>
                <w:szCs w:val="18"/>
                <w:color w:val="auto"/>
              </w:rPr>
              <w:t>L.A. Fitness International LLC</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3,212,000</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0.89%</w:t>
            </w:r>
          </w:p>
        </w:tc>
        <w:tc>
          <w:tcPr>
            <w:tcW w:w="800" w:type="dxa"/>
            <w:vAlign w:val="bottom"/>
          </w:tcPr>
          <w:p>
            <w:pPr>
              <w:jc w:val="right"/>
              <w:spacing w:after="0"/>
              <w:rPr>
                <w:sz w:val="20"/>
                <w:szCs w:val="20"/>
                <w:color w:val="auto"/>
              </w:rPr>
            </w:pPr>
            <w:r>
              <w:rPr>
                <w:rFonts w:ascii="Arial" w:cs="Arial" w:eastAsia="Arial" w:hAnsi="Arial"/>
                <w:sz w:val="18"/>
                <w:szCs w:val="18"/>
                <w:color w:val="auto"/>
              </w:rPr>
              <w:t>191,000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0.98%</w:t>
            </w: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Supervalu (Acme/Sav-A-Lot/Star Mkt/Shoppers Food)</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3,204,000</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14</w:t>
            </w:r>
          </w:p>
        </w:tc>
        <w:tc>
          <w:tcPr>
            <w:tcW w:w="4620" w:type="dxa"/>
            <w:vAlign w:val="bottom"/>
          </w:tcPr>
          <w:p>
            <w:pPr>
              <w:spacing w:after="0"/>
              <w:rPr>
                <w:sz w:val="20"/>
                <w:szCs w:val="20"/>
                <w:color w:val="auto"/>
              </w:rPr>
            </w:pPr>
            <w:r>
              <w:rPr>
                <w:rFonts w:ascii="Arial" w:cs="Arial" w:eastAsia="Arial" w:hAnsi="Arial"/>
                <w:sz w:val="18"/>
                <w:szCs w:val="18"/>
                <w:color w:val="auto"/>
              </w:rPr>
              <w:t>Wakefern Food Corporation</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3,077,000</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0.86%</w:t>
            </w:r>
          </w:p>
        </w:tc>
        <w:tc>
          <w:tcPr>
            <w:tcW w:w="800" w:type="dxa"/>
            <w:vAlign w:val="bottom"/>
          </w:tcPr>
          <w:p>
            <w:pPr>
              <w:jc w:val="right"/>
              <w:spacing w:after="0"/>
              <w:rPr>
                <w:sz w:val="20"/>
                <w:szCs w:val="20"/>
                <w:color w:val="auto"/>
              </w:rPr>
            </w:pPr>
            <w:r>
              <w:rPr>
                <w:rFonts w:ascii="Arial" w:cs="Arial" w:eastAsia="Arial" w:hAnsi="Arial"/>
                <w:sz w:val="18"/>
                <w:szCs w:val="18"/>
                <w:color w:val="auto"/>
              </w:rPr>
              <w:t>232,000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1.19%</w:t>
            </w: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w:t>
            </w: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Great Atlantic &amp; Pacific Tea Co.</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3,022,000</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16</w:t>
            </w:r>
          </w:p>
        </w:tc>
        <w:tc>
          <w:tcPr>
            <w:tcW w:w="4620" w:type="dxa"/>
            <w:vAlign w:val="bottom"/>
          </w:tcPr>
          <w:p>
            <w:pPr>
              <w:spacing w:after="0"/>
              <w:rPr>
                <w:sz w:val="20"/>
                <w:szCs w:val="20"/>
                <w:color w:val="auto"/>
              </w:rPr>
            </w:pPr>
            <w:r>
              <w:rPr>
                <w:rFonts w:ascii="Arial" w:cs="Arial" w:eastAsia="Arial" w:hAnsi="Arial"/>
                <w:sz w:val="18"/>
                <w:szCs w:val="18"/>
                <w:color w:val="auto"/>
              </w:rPr>
              <w:t>Dollar Tree Stores, Inc.</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2,876,000</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0.80%</w:t>
            </w:r>
          </w:p>
        </w:tc>
        <w:tc>
          <w:tcPr>
            <w:tcW w:w="800" w:type="dxa"/>
            <w:vAlign w:val="bottom"/>
          </w:tcPr>
          <w:p>
            <w:pPr>
              <w:jc w:val="right"/>
              <w:spacing w:after="0"/>
              <w:rPr>
                <w:sz w:val="20"/>
                <w:szCs w:val="20"/>
                <w:color w:val="auto"/>
              </w:rPr>
            </w:pPr>
            <w:r>
              <w:rPr>
                <w:rFonts w:ascii="Arial" w:cs="Arial" w:eastAsia="Arial" w:hAnsi="Arial"/>
                <w:sz w:val="18"/>
                <w:szCs w:val="18"/>
                <w:color w:val="auto"/>
              </w:rPr>
              <w:t>210,000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1.08%</w:t>
            </w: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w:t>
            </w: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Michaels Stores, Inc.</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2,861,000</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18</w:t>
            </w:r>
          </w:p>
        </w:tc>
        <w:tc>
          <w:tcPr>
            <w:tcW w:w="4620" w:type="dxa"/>
            <w:vAlign w:val="bottom"/>
          </w:tcPr>
          <w:p>
            <w:pPr>
              <w:spacing w:after="0"/>
              <w:rPr>
                <w:sz w:val="20"/>
                <w:szCs w:val="20"/>
                <w:color w:val="auto"/>
              </w:rPr>
            </w:pPr>
            <w:r>
              <w:rPr>
                <w:rFonts w:ascii="Arial" w:cs="Arial" w:eastAsia="Arial" w:hAnsi="Arial"/>
                <w:sz w:val="18"/>
                <w:szCs w:val="18"/>
                <w:color w:val="auto"/>
              </w:rPr>
              <w:t>Home Depot, Inc.</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2,832,000</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0.79%</w:t>
            </w:r>
          </w:p>
        </w:tc>
        <w:tc>
          <w:tcPr>
            <w:tcW w:w="800" w:type="dxa"/>
            <w:vAlign w:val="bottom"/>
          </w:tcPr>
          <w:p>
            <w:pPr>
              <w:jc w:val="right"/>
              <w:spacing w:after="0"/>
              <w:rPr>
                <w:sz w:val="20"/>
                <w:szCs w:val="20"/>
                <w:color w:val="auto"/>
              </w:rPr>
            </w:pPr>
            <w:r>
              <w:rPr>
                <w:rFonts w:ascii="Arial" w:cs="Arial" w:eastAsia="Arial" w:hAnsi="Arial"/>
                <w:sz w:val="18"/>
                <w:szCs w:val="18"/>
                <w:color w:val="auto"/>
              </w:rPr>
              <w:t>335,000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1.72%</w:t>
            </w: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w:t>
            </w: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DSW</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2,775,000</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20</w:t>
            </w:r>
          </w:p>
        </w:tc>
        <w:tc>
          <w:tcPr>
            <w:tcW w:w="4620" w:type="dxa"/>
            <w:vAlign w:val="bottom"/>
          </w:tcPr>
          <w:p>
            <w:pPr>
              <w:spacing w:after="0"/>
              <w:rPr>
                <w:sz w:val="20"/>
                <w:szCs w:val="20"/>
                <w:color w:val="auto"/>
              </w:rPr>
            </w:pPr>
            <w:r>
              <w:rPr>
                <w:rFonts w:ascii="Arial" w:cs="Arial" w:eastAsia="Arial" w:hAnsi="Arial"/>
                <w:sz w:val="18"/>
                <w:szCs w:val="18"/>
                <w:color w:val="auto"/>
              </w:rPr>
              <w:t>Borders Group, Inc.</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2,759,000</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0.77%</w:t>
            </w:r>
          </w:p>
        </w:tc>
        <w:tc>
          <w:tcPr>
            <w:tcW w:w="800" w:type="dxa"/>
            <w:vAlign w:val="bottom"/>
          </w:tcPr>
          <w:p>
            <w:pPr>
              <w:jc w:val="right"/>
              <w:spacing w:after="0"/>
              <w:rPr>
                <w:sz w:val="20"/>
                <w:szCs w:val="20"/>
                <w:color w:val="auto"/>
              </w:rPr>
            </w:pPr>
            <w:r>
              <w:rPr>
                <w:rFonts w:ascii="Arial" w:cs="Arial" w:eastAsia="Arial" w:hAnsi="Arial"/>
                <w:sz w:val="18"/>
                <w:szCs w:val="18"/>
                <w:color w:val="auto"/>
              </w:rPr>
              <w:t>129,000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0.66%</w:t>
            </w: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w:t>
            </w: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A.C. Moore, Inc.</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2,481,000</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0.69%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22</w:t>
            </w:r>
          </w:p>
        </w:tc>
        <w:tc>
          <w:tcPr>
            <w:tcW w:w="4620" w:type="dxa"/>
            <w:vAlign w:val="bottom"/>
          </w:tcPr>
          <w:p>
            <w:pPr>
              <w:spacing w:after="0"/>
              <w:rPr>
                <w:sz w:val="20"/>
                <w:szCs w:val="20"/>
                <w:color w:val="auto"/>
              </w:rPr>
            </w:pPr>
            <w:r>
              <w:rPr>
                <w:rFonts w:ascii="Arial" w:cs="Arial" w:eastAsia="Arial" w:hAnsi="Arial"/>
                <w:sz w:val="18"/>
                <w:szCs w:val="18"/>
                <w:color w:val="auto"/>
              </w:rPr>
              <w:t>Ross Stores, Inc.</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2,432,000</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0.68%</w:t>
            </w:r>
          </w:p>
        </w:tc>
        <w:tc>
          <w:tcPr>
            <w:tcW w:w="800" w:type="dxa"/>
            <w:vAlign w:val="bottom"/>
          </w:tcPr>
          <w:p>
            <w:pPr>
              <w:jc w:val="right"/>
              <w:spacing w:after="0"/>
              <w:rPr>
                <w:sz w:val="20"/>
                <w:szCs w:val="20"/>
                <w:color w:val="auto"/>
              </w:rPr>
            </w:pPr>
            <w:r>
              <w:rPr>
                <w:rFonts w:ascii="Arial" w:cs="Arial" w:eastAsia="Arial" w:hAnsi="Arial"/>
                <w:sz w:val="18"/>
                <w:szCs w:val="18"/>
                <w:color w:val="auto"/>
              </w:rPr>
              <w:t>149,000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0.77%</w:t>
            </w: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w:t>
            </w: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Office Depot, Inc.</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2,421,000</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0.67%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24</w:t>
            </w:r>
          </w:p>
        </w:tc>
        <w:tc>
          <w:tcPr>
            <w:tcW w:w="4620" w:type="dxa"/>
            <w:vAlign w:val="bottom"/>
          </w:tcPr>
          <w:p>
            <w:pPr>
              <w:spacing w:after="0"/>
              <w:rPr>
                <w:sz w:val="20"/>
                <w:szCs w:val="20"/>
                <w:color w:val="auto"/>
              </w:rPr>
            </w:pPr>
            <w:r>
              <w:rPr>
                <w:rFonts w:ascii="Arial" w:cs="Arial" w:eastAsia="Arial" w:hAnsi="Arial"/>
                <w:sz w:val="18"/>
                <w:szCs w:val="18"/>
                <w:color w:val="auto"/>
              </w:rPr>
              <w:t>Container Store, Inc.</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2,354,000</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0.66%</w:t>
            </w:r>
          </w:p>
        </w:tc>
        <w:tc>
          <w:tcPr>
            <w:tcW w:w="800" w:type="dxa"/>
            <w:vAlign w:val="bottom"/>
          </w:tcPr>
          <w:p>
            <w:pPr>
              <w:jc w:val="right"/>
              <w:spacing w:after="0"/>
              <w:rPr>
                <w:sz w:val="20"/>
                <w:szCs w:val="20"/>
                <w:color w:val="auto"/>
              </w:rPr>
            </w:pPr>
            <w:r>
              <w:rPr>
                <w:rFonts w:ascii="Arial" w:cs="Arial" w:eastAsia="Arial" w:hAnsi="Arial"/>
                <w:sz w:val="18"/>
                <w:szCs w:val="18"/>
                <w:color w:val="auto"/>
              </w:rPr>
              <w:t>52,000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0.27%</w:t>
            </w: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w:t>
            </w: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AMC Entertainment, Inc.</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2,250,000</w:t>
            </w:r>
          </w:p>
        </w:tc>
        <w:tc>
          <w:tcPr>
            <w:tcW w:w="4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0.63%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20" w:type="dxa"/>
            <w:vAlign w:val="bottom"/>
            <w:vMerge w:val="restart"/>
          </w:tcPr>
          <w:p>
            <w:pPr>
              <w:spacing w:after="0"/>
              <w:rPr>
                <w:sz w:val="20"/>
                <w:szCs w:val="20"/>
                <w:color w:val="auto"/>
              </w:rPr>
            </w:pPr>
            <w:r>
              <w:rPr>
                <w:rFonts w:ascii="Arial" w:cs="Arial" w:eastAsia="Arial" w:hAnsi="Arial"/>
                <w:sz w:val="18"/>
                <w:szCs w:val="18"/>
                <w:color w:val="auto"/>
              </w:rPr>
              <w:t>Totals - Top 25 Tenants</w:t>
            </w: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100,600,000</w:t>
            </w:r>
          </w:p>
        </w:tc>
        <w:tc>
          <w:tcPr>
            <w:tcW w:w="46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28.02%</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6,489,000</w:t>
            </w:r>
          </w:p>
        </w:tc>
        <w:tc>
          <w:tcPr>
            <w:tcW w:w="4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33.34%</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(1)</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359,160,000(2)</w:t>
            </w: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19,468,000(3)</w:t>
            </w: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90"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Does not include amounts related to leases these tenants have with our partnership with Clarion Lion Properties Fund.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Reflects annual in-place contractual (cash-basis) rent as of June 30, 2007.</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Excludes redevelopment square footage not yet placed in service.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Income to FFO Guidance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2007</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Gain on sale of real estate</w:t>
      </w:r>
    </w:p>
    <w:p>
      <w:pPr>
        <w:spacing w:after="0" w:line="9" w:lineRule="exact"/>
        <w:rPr>
          <w:sz w:val="20"/>
          <w:szCs w:val="20"/>
          <w:color w:val="auto"/>
        </w:rPr>
      </w:pPr>
    </w:p>
    <w:p>
      <w:pPr>
        <w:ind w:right="3631"/>
        <w:spacing w:after="0" w:line="261" w:lineRule="auto"/>
        <w:rPr>
          <w:sz w:val="20"/>
          <w:szCs w:val="20"/>
          <w:color w:val="auto"/>
        </w:rPr>
      </w:pPr>
      <w:r>
        <w:rPr>
          <w:rFonts w:ascii="Arial" w:cs="Arial" w:eastAsia="Arial" w:hAnsi="Arial"/>
          <w:sz w:val="18"/>
          <w:szCs w:val="18"/>
          <w:color w:val="auto"/>
        </w:rPr>
        <w:t>Depreciation and amortization of real estate &amp; real estate partnership assets Amortization of initial direct costs of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-283845</wp:posOffset>
            </wp:positionV>
            <wp:extent cx="72466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Funds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Income attributable to operating partnership units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Dividends on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Funds from operations available for common shareholders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Shares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Funds from operations available for common shareholders per diluted share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w:t>
      </w:r>
    </w:p>
    <w:p>
      <w:pPr>
        <w:spacing w:after="0" w:line="90"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Individual items may not add up to total due to rounding.</w:t>
      </w:r>
    </w:p>
    <w:p>
      <w:pPr>
        <w:spacing w:after="0" w:line="158" w:lineRule="exact"/>
        <w:rPr>
          <w:sz w:val="20"/>
          <w:szCs w:val="20"/>
          <w:color w:val="auto"/>
        </w:rPr>
      </w:pPr>
    </w:p>
    <w:p>
      <w:pPr>
        <w:jc w:val="right"/>
        <w:ind w:right="3131"/>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29"/>
        <w:spacing w:after="0"/>
        <w:rPr>
          <w:sz w:val="20"/>
          <w:szCs w:val="20"/>
          <w:color w:val="auto"/>
        </w:rPr>
      </w:pPr>
      <w:r>
        <w:rPr>
          <w:rFonts w:ascii="Arial" w:cs="Arial" w:eastAsia="Arial" w:hAnsi="Arial"/>
          <w:sz w:val="14"/>
          <w:szCs w:val="14"/>
          <w:b w:val="1"/>
          <w:bCs w:val="1"/>
          <w:color w:val="auto"/>
        </w:rPr>
        <w:t>2007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10807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ind w:left="49"/>
        <w:spacing w:after="0"/>
        <w:rPr>
          <w:sz w:val="20"/>
          <w:szCs w:val="20"/>
          <w:color w:val="auto"/>
        </w:rPr>
      </w:pPr>
      <w:r>
        <w:rPr>
          <w:rFonts w:ascii="Arial" w:cs="Arial" w:eastAsia="Arial" w:hAnsi="Arial"/>
          <w:sz w:val="12"/>
          <w:szCs w:val="12"/>
          <w:b w:val="1"/>
          <w:bCs w:val="1"/>
          <w:color w:val="auto"/>
        </w:rPr>
        <w:t>(in millions except per share</w:t>
      </w:r>
    </w:p>
    <w:p>
      <w:pPr>
        <w:spacing w:after="0" w:line="4" w:lineRule="exact"/>
        <w:rPr>
          <w:sz w:val="20"/>
          <w:szCs w:val="20"/>
          <w:color w:val="auto"/>
        </w:rPr>
      </w:pPr>
    </w:p>
    <w:p>
      <w:pPr>
        <w:ind w:left="489"/>
        <w:spacing w:after="0"/>
        <w:rPr>
          <w:sz w:val="20"/>
          <w:szCs w:val="20"/>
          <w:color w:val="auto"/>
        </w:rPr>
      </w:pPr>
      <w:r>
        <w:rPr>
          <w:rFonts w:ascii="Arial" w:cs="Arial" w:eastAsia="Arial" w:hAnsi="Arial"/>
          <w:sz w:val="14"/>
          <w:szCs w:val="14"/>
          <w:b w:val="1"/>
          <w:bCs w:val="1"/>
          <w:color w:val="auto"/>
        </w:rPr>
        <w:t>amounts) (1)</w:t>
      </w:r>
    </w:p>
    <w:p>
      <w:pPr>
        <w:ind w:left="309" w:hanging="309"/>
        <w:spacing w:after="0"/>
        <w:tabs>
          <w:tab w:leader="none" w:pos="309" w:val="left"/>
        </w:tabs>
        <w:numPr>
          <w:ilvl w:val="0"/>
          <w:numId w:val="24"/>
        </w:numPr>
        <w:rPr>
          <w:rFonts w:ascii="Arial" w:cs="Arial" w:eastAsia="Arial" w:hAnsi="Arial"/>
          <w:sz w:val="18"/>
          <w:szCs w:val="18"/>
          <w:color w:val="auto"/>
        </w:rPr>
      </w:pPr>
      <w:r>
        <w:rPr>
          <w:rFonts w:ascii="Arial" w:cs="Arial" w:eastAsia="Arial" w:hAnsi="Arial"/>
          <w:sz w:val="18"/>
          <w:szCs w:val="18"/>
          <w:color w:val="auto"/>
        </w:rPr>
        <w:t>120   to  $   122</w:t>
      </w:r>
    </w:p>
    <w:p>
      <w:pPr>
        <w:spacing w:after="0" w:line="1" w:lineRule="exact"/>
        <w:rPr>
          <w:rFonts w:ascii="Arial" w:cs="Arial" w:eastAsia="Arial" w:hAnsi="Arial"/>
          <w:sz w:val="18"/>
          <w:szCs w:val="18"/>
          <w:color w:val="auto"/>
        </w:rPr>
      </w:pPr>
    </w:p>
    <w:p>
      <w:pPr>
        <w:ind w:left="1469" w:hanging="1123"/>
        <w:spacing w:after="0"/>
        <w:tabs>
          <w:tab w:leader="none" w:pos="1469" w:val="left"/>
        </w:tabs>
        <w:numPr>
          <w:ilvl w:val="1"/>
          <w:numId w:val="24"/>
        </w:numPr>
        <w:rPr>
          <w:rFonts w:ascii="Arial" w:cs="Arial" w:eastAsia="Arial" w:hAnsi="Arial"/>
          <w:sz w:val="16"/>
          <w:szCs w:val="16"/>
          <w:color w:val="auto"/>
        </w:rPr>
      </w:pPr>
      <w:r>
        <w:rPr>
          <w:rFonts w:ascii="Arial" w:cs="Arial" w:eastAsia="Arial" w:hAnsi="Arial"/>
          <w:sz w:val="16"/>
          <w:szCs w:val="16"/>
          <w:color w:val="auto"/>
        </w:rPr>
        <w:t>(21)</w:t>
      </w:r>
    </w:p>
    <w:p>
      <w:pPr>
        <w:spacing w:after="0" w:line="32" w:lineRule="exact"/>
        <w:rPr>
          <w:sz w:val="20"/>
          <w:szCs w:val="20"/>
          <w:color w:val="auto"/>
        </w:rPr>
      </w:pPr>
    </w:p>
    <w:tbl>
      <w:tblPr>
        <w:tblLayout w:type="fixed"/>
        <w:tblInd w:w="9" w:type="dxa"/>
        <w:tblCellMar>
          <w:top w:w="0" w:type="dxa"/>
          <w:left w:w="0" w:type="dxa"/>
          <w:bottom w:w="0" w:type="dxa"/>
          <w:right w:w="0" w:type="dxa"/>
        </w:tblCellMar>
      </w:tblPr>
      <w:tr>
        <w:trPr>
          <w:trHeight w:val="210"/>
        </w:trPr>
        <w:tc>
          <w:tcPr>
            <w:tcW w:w="580" w:type="dxa"/>
            <w:vAlign w:val="bottom"/>
          </w:tcPr>
          <w:p>
            <w:pPr>
              <w:jc w:val="right"/>
              <w:spacing w:after="0"/>
              <w:rPr>
                <w:sz w:val="20"/>
                <w:szCs w:val="20"/>
                <w:color w:val="auto"/>
              </w:rPr>
            </w:pPr>
            <w:r>
              <w:rPr>
                <w:rFonts w:ascii="Arial" w:cs="Arial" w:eastAsia="Arial" w:hAnsi="Arial"/>
                <w:sz w:val="18"/>
                <w:szCs w:val="18"/>
                <w:color w:val="auto"/>
              </w:rPr>
              <w:t>98</w:t>
            </w:r>
          </w:p>
        </w:tc>
        <w:tc>
          <w:tcPr>
            <w:tcW w:w="4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98</w:t>
            </w:r>
          </w:p>
        </w:tc>
      </w:tr>
      <w:tr>
        <w:trPr>
          <w:trHeight w:val="223"/>
        </w:trPr>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580" w:type="dxa"/>
            <w:vAlign w:val="bottom"/>
          </w:tcPr>
          <w:p>
            <w:pPr>
              <w:jc w:val="right"/>
              <w:spacing w:after="0"/>
              <w:rPr>
                <w:sz w:val="20"/>
                <w:szCs w:val="20"/>
                <w:color w:val="auto"/>
              </w:rPr>
            </w:pPr>
            <w:r>
              <w:rPr>
                <w:rFonts w:ascii="Arial" w:cs="Arial" w:eastAsia="Arial" w:hAnsi="Arial"/>
                <w:sz w:val="18"/>
                <w:szCs w:val="18"/>
                <w:color w:val="auto"/>
              </w:rPr>
              <w:t>205</w:t>
            </w:r>
          </w:p>
        </w:tc>
        <w:tc>
          <w:tcPr>
            <w:tcW w:w="4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207</w:t>
            </w:r>
          </w:p>
        </w:tc>
      </w:tr>
      <w:tr>
        <w:trPr>
          <w:trHeight w:val="216"/>
        </w:trPr>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22"/>
        </w:trPr>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r>
      <w:tr>
        <w:trPr>
          <w:trHeight w:val="224"/>
        </w:trPr>
        <w:tc>
          <w:tcPr>
            <w:tcW w:w="580" w:type="dxa"/>
            <w:vAlign w:val="bottom"/>
          </w:tcPr>
          <w:p>
            <w:pPr>
              <w:jc w:val="right"/>
              <w:spacing w:after="0"/>
              <w:rPr>
                <w:sz w:val="20"/>
                <w:szCs w:val="20"/>
                <w:color w:val="auto"/>
              </w:rPr>
            </w:pPr>
            <w:r>
              <w:rPr>
                <w:rFonts w:ascii="Arial" w:cs="Arial" w:eastAsia="Arial" w:hAnsi="Arial"/>
                <w:sz w:val="18"/>
                <w:szCs w:val="18"/>
                <w:color w:val="auto"/>
              </w:rPr>
              <w:t>206</w:t>
            </w:r>
          </w:p>
        </w:tc>
        <w:tc>
          <w:tcPr>
            <w:tcW w:w="420" w:type="dxa"/>
            <w:vAlign w:val="bottom"/>
          </w:tcPr>
          <w:p>
            <w:pPr>
              <w:ind w:left="200"/>
              <w:spacing w:after="0"/>
              <w:rPr>
                <w:sz w:val="20"/>
                <w:szCs w:val="20"/>
                <w:color w:val="auto"/>
              </w:rPr>
            </w:pPr>
            <w:r>
              <w:rPr>
                <w:rFonts w:ascii="Arial" w:cs="Arial" w:eastAsia="Arial" w:hAnsi="Arial"/>
                <w:sz w:val="18"/>
                <w:szCs w:val="18"/>
                <w:color w:val="auto"/>
              </w:rPr>
              <w:t>to</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208</w:t>
            </w:r>
          </w:p>
        </w:tc>
      </w:tr>
      <w:tr>
        <w:trPr>
          <w:trHeight w:val="20"/>
        </w:trPr>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r>
        <w:trPr>
          <w:trHeight w:val="209"/>
        </w:trPr>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24"/>
        </w:trPr>
        <w:tc>
          <w:tcPr>
            <w:tcW w:w="580" w:type="dxa"/>
            <w:vAlign w:val="bottom"/>
          </w:tcPr>
          <w:p>
            <w:pPr>
              <w:jc w:val="right"/>
              <w:spacing w:after="0"/>
              <w:rPr>
                <w:sz w:val="20"/>
                <w:szCs w:val="20"/>
                <w:color w:val="auto"/>
              </w:rPr>
            </w:pPr>
            <w:r>
              <w:rPr>
                <w:rFonts w:ascii="Arial" w:cs="Arial" w:eastAsia="Arial" w:hAnsi="Arial"/>
                <w:sz w:val="18"/>
                <w:szCs w:val="18"/>
                <w:color w:val="auto"/>
              </w:rPr>
              <w:t>$  3.62</w:t>
            </w:r>
          </w:p>
        </w:tc>
        <w:tc>
          <w:tcPr>
            <w:tcW w:w="4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   3.65</w:t>
            </w:r>
          </w:p>
        </w:tc>
      </w:tr>
      <w:tr>
        <w:trPr>
          <w:trHeight w:val="20"/>
        </w:trPr>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bl>
    <w:p>
      <w:pPr>
        <w:sectPr>
          <w:pgSz w:w="11900" w:h="16838" w:orient="portrait"/>
          <w:cols w:equalWidth="0" w:num="2">
            <w:col w:w="8931" w:space="720"/>
            <w:col w:w="1769"/>
          </w:cols>
          <w:pgMar w:left="240" w:top="27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 Disclosure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2007</w:t>
      </w:r>
    </w:p>
    <w:p>
      <w:pPr>
        <w:spacing w:after="0" w:line="240" w:lineRule="exact"/>
        <w:rPr>
          <w:sz w:val="20"/>
          <w:szCs w:val="20"/>
          <w:color w:val="auto"/>
        </w:rPr>
      </w:pPr>
    </w:p>
    <w:p>
      <w:pPr>
        <w:jc w:val="right"/>
        <w:ind w:right="3379"/>
        <w:spacing w:after="0"/>
        <w:rPr>
          <w:sz w:val="20"/>
          <w:szCs w:val="20"/>
          <w:color w:val="auto"/>
        </w:rPr>
      </w:pPr>
      <w:r>
        <w:rPr>
          <w:rFonts w:ascii="Arial" w:cs="Arial" w:eastAsia="Arial" w:hAnsi="Arial"/>
          <w:sz w:val="18"/>
          <w:szCs w:val="18"/>
          <w:b w:val="1"/>
          <w:bCs w:val="1"/>
          <w:color w:val="auto"/>
        </w:rPr>
        <w:t>Clarion Lion Properties 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219"/>
          </w:cols>
          <w:pgMar w:left="240" w:top="274" w:right="1440"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Income Statements and Balance Sheets - Joint Venture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2007</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INCOME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040" w:type="dxa"/>
            <w:vAlign w:val="bottom"/>
            <w:gridSpan w:val="8"/>
          </w:tcPr>
          <w:p>
            <w:pPr>
              <w:ind w:left="60"/>
              <w:spacing w:after="0"/>
              <w:rPr>
                <w:sz w:val="20"/>
                <w:szCs w:val="20"/>
                <w:color w:val="auto"/>
              </w:rPr>
            </w:pPr>
            <w:r>
              <w:rPr>
                <w:rFonts w:ascii="Arial" w:cs="Arial" w:eastAsia="Arial" w:hAnsi="Arial"/>
                <w:sz w:val="14"/>
                <w:szCs w:val="14"/>
                <w:b w:val="1"/>
                <w:bCs w:val="1"/>
                <w:color w:val="auto"/>
                <w:w w:val="99"/>
              </w:rPr>
              <w:t>Three months ended June 30,</w:t>
            </w:r>
          </w:p>
        </w:tc>
        <w:tc>
          <w:tcPr>
            <w:tcW w:w="40" w:type="dxa"/>
            <w:vAlign w:val="bottom"/>
          </w:tcPr>
          <w:p>
            <w:pPr>
              <w:spacing w:after="0"/>
              <w:rPr>
                <w:sz w:val="14"/>
                <w:szCs w:val="14"/>
                <w:color w:val="auto"/>
              </w:rPr>
            </w:pPr>
          </w:p>
        </w:tc>
        <w:tc>
          <w:tcPr>
            <w:tcW w:w="1760" w:type="dxa"/>
            <w:vAlign w:val="bottom"/>
            <w:gridSpan w:val="8"/>
          </w:tcPr>
          <w:p>
            <w:pPr>
              <w:jc w:val="center"/>
              <w:ind w:right="60"/>
              <w:spacing w:after="0"/>
              <w:rPr>
                <w:sz w:val="20"/>
                <w:szCs w:val="20"/>
                <w:color w:val="auto"/>
              </w:rPr>
            </w:pPr>
            <w:r>
              <w:rPr>
                <w:rFonts w:ascii="Arial" w:cs="Arial" w:eastAsia="Arial" w:hAnsi="Arial"/>
                <w:sz w:val="14"/>
                <w:szCs w:val="14"/>
                <w:b w:val="1"/>
                <w:bCs w:val="1"/>
                <w:color w:val="auto"/>
                <w:w w:val="85"/>
              </w:rPr>
              <w:t>Six months ended June 30,</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gridSpan w:val="2"/>
          </w:tcPr>
          <w:p>
            <w:pPr>
              <w:jc w:val="right"/>
              <w:ind w:right="154"/>
              <w:spacing w:after="0" w:line="142" w:lineRule="exact"/>
              <w:rPr>
                <w:sz w:val="20"/>
                <w:szCs w:val="20"/>
                <w:color w:val="auto"/>
              </w:rPr>
            </w:pPr>
            <w:r>
              <w:rPr>
                <w:rFonts w:ascii="Arial" w:cs="Arial" w:eastAsia="Arial" w:hAnsi="Arial"/>
                <w:sz w:val="14"/>
                <w:szCs w:val="14"/>
                <w:b w:val="1"/>
                <w:bCs w:val="1"/>
                <w:color w:val="auto"/>
                <w:w w:val="96"/>
              </w:rPr>
              <w:t>2006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w w:val="96"/>
              </w:rPr>
              <w:t>2007</w:t>
            </w: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ind w:right="37"/>
              <w:spacing w:after="0" w:line="129" w:lineRule="exact"/>
              <w:rPr>
                <w:sz w:val="20"/>
                <w:szCs w:val="20"/>
                <w:color w:val="auto"/>
              </w:rPr>
            </w:pPr>
            <w:r>
              <w:rPr>
                <w:rFonts w:ascii="Arial" w:cs="Arial" w:eastAsia="Arial" w:hAnsi="Arial"/>
                <w:sz w:val="14"/>
                <w:szCs w:val="14"/>
                <w:b w:val="1"/>
                <w:bCs w:val="1"/>
                <w:color w:val="auto"/>
              </w:rPr>
              <w:t>(in</w:t>
            </w:r>
          </w:p>
        </w:tc>
        <w:tc>
          <w:tcPr>
            <w:tcW w:w="5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74"/>
              </w:rPr>
              <w:t>thousands)</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line="129" w:lineRule="exact"/>
              <w:rPr>
                <w:sz w:val="20"/>
                <w:szCs w:val="20"/>
                <w:color w:val="auto"/>
              </w:rPr>
            </w:pPr>
            <w:r>
              <w:rPr>
                <w:rFonts w:ascii="Arial" w:cs="Arial" w:eastAsia="Arial" w:hAnsi="Arial"/>
                <w:sz w:val="14"/>
                <w:szCs w:val="14"/>
                <w:b w:val="1"/>
                <w:bCs w:val="1"/>
                <w:color w:val="auto"/>
              </w:rPr>
              <w:t>(in</w:t>
            </w:r>
          </w:p>
        </w:tc>
        <w:tc>
          <w:tcPr>
            <w:tcW w:w="60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w w:val="71"/>
              </w:rPr>
              <w:t>thousands)</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(unaudited)</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Revenues</w:t>
            </w:r>
          </w:p>
        </w:tc>
        <w:tc>
          <w:tcPr>
            <w:tcW w:w="2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3"/>
          </w:tcPr>
          <w:p>
            <w:pPr>
              <w:ind w:left="440"/>
              <w:spacing w:after="0"/>
              <w:rPr>
                <w:sz w:val="20"/>
                <w:szCs w:val="20"/>
                <w:color w:val="auto"/>
              </w:rPr>
            </w:pPr>
            <w:r>
              <w:rPr>
                <w:rFonts w:ascii="Arial" w:cs="Arial" w:eastAsia="Arial" w:hAnsi="Arial"/>
                <w:sz w:val="18"/>
                <w:szCs w:val="18"/>
                <w:color w:val="auto"/>
              </w:rPr>
              <w:t>Rental income</w:t>
            </w:r>
          </w:p>
        </w:tc>
        <w:tc>
          <w:tcPr>
            <w:tcW w:w="27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32"/>
              <w:spacing w:after="0"/>
              <w:rPr>
                <w:sz w:val="20"/>
                <w:szCs w:val="20"/>
                <w:color w:val="auto"/>
              </w:rPr>
            </w:pPr>
            <w:r>
              <w:rPr>
                <w:rFonts w:ascii="Arial" w:cs="Arial" w:eastAsia="Arial" w:hAnsi="Arial"/>
                <w:sz w:val="18"/>
                <w:szCs w:val="18"/>
                <w:color w:val="auto"/>
              </w:rPr>
              <w:t>4,332</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2,288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7,818</w:t>
            </w:r>
          </w:p>
        </w:tc>
        <w:tc>
          <w:tcPr>
            <w:tcW w:w="60" w:type="dxa"/>
            <w:vAlign w:val="bottom"/>
          </w:tcPr>
          <w:p>
            <w:pPr>
              <w:spacing w:after="0"/>
              <w:rPr>
                <w:sz w:val="18"/>
                <w:szCs w:val="18"/>
                <w:color w:val="auto"/>
              </w:rPr>
            </w:pPr>
          </w:p>
        </w:tc>
        <w:tc>
          <w:tcPr>
            <w:tcW w:w="54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4,274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Other property income</w:t>
            </w:r>
          </w:p>
        </w:tc>
        <w:tc>
          <w:tcPr>
            <w:tcW w:w="2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104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32"/>
              <w:spacing w:after="0"/>
              <w:rPr>
                <w:sz w:val="20"/>
                <w:szCs w:val="20"/>
                <w:color w:val="auto"/>
              </w:rPr>
            </w:pPr>
            <w:r>
              <w:rPr>
                <w:rFonts w:ascii="Arial" w:cs="Arial" w:eastAsia="Arial" w:hAnsi="Arial"/>
                <w:sz w:val="18"/>
                <w:szCs w:val="18"/>
                <w:color w:val="auto"/>
              </w:rPr>
              <w:t>4,436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2,342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7,968</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4,350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Expenses</w:t>
            </w:r>
          </w:p>
        </w:tc>
        <w:tc>
          <w:tcPr>
            <w:tcW w:w="2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3"/>
          </w:tcPr>
          <w:p>
            <w:pPr>
              <w:ind w:left="440"/>
              <w:spacing w:after="0"/>
              <w:rPr>
                <w:sz w:val="20"/>
                <w:szCs w:val="20"/>
                <w:color w:val="auto"/>
              </w:rPr>
            </w:pPr>
            <w:r>
              <w:rPr>
                <w:rFonts w:ascii="Arial" w:cs="Arial" w:eastAsia="Arial" w:hAnsi="Arial"/>
                <w:sz w:val="18"/>
                <w:szCs w:val="18"/>
                <w:color w:val="auto"/>
              </w:rPr>
              <w:t>Rental</w:t>
            </w: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32"/>
              <w:spacing w:after="0"/>
              <w:rPr>
                <w:sz w:val="20"/>
                <w:szCs w:val="20"/>
                <w:color w:val="auto"/>
              </w:rPr>
            </w:pPr>
            <w:r>
              <w:rPr>
                <w:rFonts w:ascii="Arial" w:cs="Arial" w:eastAsia="Arial" w:hAnsi="Arial"/>
                <w:sz w:val="18"/>
                <w:szCs w:val="18"/>
                <w:color w:val="auto"/>
              </w:rPr>
              <w:t>638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1,202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Real estate taxes</w:t>
            </w:r>
          </w:p>
        </w:tc>
        <w:tc>
          <w:tcPr>
            <w:tcW w:w="2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401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3"/>
          </w:tcPr>
          <w:p>
            <w:pPr>
              <w:ind w:left="440"/>
              <w:spacing w:after="0"/>
              <w:rPr>
                <w:sz w:val="20"/>
                <w:szCs w:val="20"/>
                <w:color w:val="auto"/>
              </w:rPr>
            </w:pPr>
            <w:r>
              <w:rPr>
                <w:rFonts w:ascii="Arial" w:cs="Arial" w:eastAsia="Arial" w:hAnsi="Arial"/>
                <w:sz w:val="18"/>
                <w:szCs w:val="18"/>
                <w:color w:val="auto"/>
              </w:rPr>
              <w:t>Depreciation and amortization</w:t>
            </w: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32"/>
              <w:spacing w:after="0"/>
              <w:rPr>
                <w:sz w:val="20"/>
                <w:szCs w:val="20"/>
                <w:color w:val="auto"/>
              </w:rPr>
            </w:pPr>
            <w:r>
              <w:rPr>
                <w:rFonts w:ascii="Arial" w:cs="Arial" w:eastAsia="Arial" w:hAnsi="Arial"/>
                <w:sz w:val="18"/>
                <w:szCs w:val="18"/>
                <w:color w:val="auto"/>
              </w:rPr>
              <w:t>1,162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2,137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2,201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4,083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gridSpan w:val="3"/>
            <w:vMerge w:val="restart"/>
          </w:tcPr>
          <w:p>
            <w:pPr>
              <w:ind w:left="440"/>
              <w:spacing w:after="0"/>
              <w:rPr>
                <w:sz w:val="20"/>
                <w:szCs w:val="20"/>
                <w:color w:val="auto"/>
              </w:rPr>
            </w:pPr>
            <w:r>
              <w:rPr>
                <w:rFonts w:ascii="Arial" w:cs="Arial" w:eastAsia="Arial" w:hAnsi="Arial"/>
                <w:sz w:val="18"/>
                <w:szCs w:val="18"/>
                <w:color w:val="auto"/>
              </w:rPr>
              <w:t>Operating income</w:t>
            </w:r>
          </w:p>
        </w:tc>
        <w:tc>
          <w:tcPr>
            <w:tcW w:w="2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960" w:type="dxa"/>
            <w:vAlign w:val="bottom"/>
            <w:gridSpan w:val="3"/>
            <w:vMerge w:val="continue"/>
          </w:tcPr>
          <w:p>
            <w:pPr>
              <w:spacing w:after="0"/>
              <w:rPr>
                <w:sz w:val="19"/>
                <w:szCs w:val="19"/>
                <w:color w:val="auto"/>
              </w:rPr>
            </w:pPr>
          </w:p>
        </w:tc>
        <w:tc>
          <w:tcPr>
            <w:tcW w:w="2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32"/>
              <w:spacing w:after="0"/>
              <w:rPr>
                <w:sz w:val="20"/>
                <w:szCs w:val="20"/>
                <w:color w:val="auto"/>
              </w:rPr>
            </w:pPr>
            <w:r>
              <w:rPr>
                <w:rFonts w:ascii="Arial" w:cs="Arial" w:eastAsia="Arial" w:hAnsi="Arial"/>
                <w:sz w:val="18"/>
                <w:szCs w:val="18"/>
                <w:color w:val="auto"/>
              </w:rPr>
              <w:t>2,235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1,217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3,885</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(1,133)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(742)</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0" w:type="dxa"/>
            <w:vAlign w:val="bottom"/>
          </w:tcPr>
          <w:p>
            <w:pPr>
              <w:spacing w:after="0"/>
              <w:rPr>
                <w:sz w:val="1"/>
                <w:szCs w:val="1"/>
                <w:color w:val="auto"/>
              </w:rPr>
            </w:pPr>
          </w:p>
        </w:tc>
      </w:tr>
      <w:tr>
        <w:trPr>
          <w:trHeight w:val="20"/>
        </w:trPr>
        <w:tc>
          <w:tcPr>
            <w:tcW w:w="4960" w:type="dxa"/>
            <w:vAlign w:val="bottom"/>
            <w:gridSpan w:val="3"/>
            <w:vMerge w:val="restart"/>
          </w:tcPr>
          <w:p>
            <w:pPr>
              <w:spacing w:after="0"/>
              <w:rPr>
                <w:sz w:val="20"/>
                <w:szCs w:val="20"/>
                <w:color w:val="auto"/>
              </w:rPr>
            </w:pPr>
            <w:r>
              <w:rPr>
                <w:rFonts w:ascii="Arial" w:cs="Arial" w:eastAsia="Arial" w:hAnsi="Arial"/>
                <w:sz w:val="18"/>
                <w:szCs w:val="18"/>
                <w:color w:val="auto"/>
              </w:rPr>
              <w:t>Net income</w:t>
            </w:r>
          </w:p>
        </w:tc>
        <w:tc>
          <w:tcPr>
            <w:tcW w:w="2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960" w:type="dxa"/>
            <w:vAlign w:val="bottom"/>
            <w:gridSpan w:val="3"/>
            <w:vMerge w:val="continue"/>
          </w:tcPr>
          <w:p>
            <w:pPr>
              <w:spacing w:after="0"/>
              <w:rPr>
                <w:sz w:val="19"/>
                <w:szCs w:val="19"/>
                <w:color w:val="auto"/>
              </w:rPr>
            </w:pPr>
          </w:p>
        </w:tc>
        <w:tc>
          <w:tcPr>
            <w:tcW w:w="27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32"/>
              <w:spacing w:after="0"/>
              <w:rPr>
                <w:sz w:val="20"/>
                <w:szCs w:val="20"/>
                <w:color w:val="auto"/>
              </w:rPr>
            </w:pPr>
            <w:r>
              <w:rPr>
                <w:rFonts w:ascii="Arial" w:cs="Arial" w:eastAsia="Arial" w:hAnsi="Arial"/>
                <w:sz w:val="18"/>
                <w:szCs w:val="18"/>
                <w:color w:val="auto"/>
              </w:rPr>
              <w:t>1,102</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1,679</w:t>
            </w:r>
          </w:p>
        </w:tc>
        <w:tc>
          <w:tcPr>
            <w:tcW w:w="60" w:type="dxa"/>
            <w:vAlign w:val="bottom"/>
          </w:tcPr>
          <w:p>
            <w:pPr>
              <w:spacing w:after="0"/>
              <w:rPr>
                <w:sz w:val="19"/>
                <w:szCs w:val="19"/>
                <w:color w:val="auto"/>
              </w:rPr>
            </w:pPr>
          </w:p>
        </w:tc>
        <w:tc>
          <w:tcPr>
            <w:tcW w:w="54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CONSOLIDATED BALANCE SHEETS</w:t>
            </w:r>
          </w:p>
        </w:tc>
        <w:tc>
          <w:tcPr>
            <w:tcW w:w="2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4960" w:type="dxa"/>
            <w:vAlign w:val="bottom"/>
            <w:gridSpan w:val="3"/>
            <w:vMerge w:val="continue"/>
          </w:tcPr>
          <w:p>
            <w:pPr>
              <w:spacing w:after="0"/>
              <w:rPr>
                <w:sz w:val="24"/>
                <w:szCs w:val="24"/>
                <w:color w:val="auto"/>
              </w:rPr>
            </w:pPr>
          </w:p>
        </w:tc>
        <w:tc>
          <w:tcPr>
            <w:tcW w:w="2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8"/>
        </w:trPr>
        <w:tc>
          <w:tcPr>
            <w:tcW w:w="460" w:type="dxa"/>
            <w:vAlign w:val="bottom"/>
            <w:tcBorders>
              <w:top w:val="single" w:sz="8" w:color="auto"/>
            </w:tcBorders>
          </w:tcPr>
          <w:p>
            <w:pPr>
              <w:spacing w:after="0"/>
              <w:rPr>
                <w:sz w:val="24"/>
                <w:szCs w:val="24"/>
                <w:color w:val="auto"/>
              </w:rPr>
            </w:pPr>
          </w:p>
        </w:tc>
        <w:tc>
          <w:tcPr>
            <w:tcW w:w="2580" w:type="dxa"/>
            <w:vAlign w:val="bottom"/>
            <w:tcBorders>
              <w:top w:val="single" w:sz="8" w:color="auto"/>
            </w:tcBorders>
          </w:tcPr>
          <w:p>
            <w:pPr>
              <w:spacing w:after="0"/>
              <w:rPr>
                <w:sz w:val="24"/>
                <w:szCs w:val="24"/>
                <w:color w:val="auto"/>
              </w:rPr>
            </w:pPr>
          </w:p>
        </w:tc>
        <w:tc>
          <w:tcPr>
            <w:tcW w:w="19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gridSpan w:val="4"/>
          </w:tcPr>
          <w:p>
            <w:pPr>
              <w:spacing w:after="0"/>
              <w:rPr>
                <w:sz w:val="20"/>
                <w:szCs w:val="20"/>
                <w:color w:val="auto"/>
              </w:rPr>
            </w:pPr>
            <w:r>
              <w:rPr>
                <w:rFonts w:ascii="Arial" w:cs="Arial" w:eastAsia="Arial" w:hAnsi="Arial"/>
                <w:sz w:val="14"/>
                <w:szCs w:val="14"/>
                <w:b w:val="1"/>
                <w:bCs w:val="1"/>
                <w:color w:val="auto"/>
                <w:w w:val="90"/>
              </w:rPr>
              <w:t>December 31,</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3"/>
          </w:tcPr>
          <w:p>
            <w:pPr>
              <w:jc w:val="center"/>
              <w:ind w:right="252"/>
              <w:spacing w:after="0" w:line="142" w:lineRule="exact"/>
              <w:rPr>
                <w:sz w:val="20"/>
                <w:szCs w:val="20"/>
                <w:color w:val="auto"/>
              </w:rPr>
            </w:pPr>
            <w:r>
              <w:rPr>
                <w:rFonts w:ascii="Arial" w:cs="Arial" w:eastAsia="Arial" w:hAnsi="Arial"/>
                <w:sz w:val="14"/>
                <w:szCs w:val="14"/>
                <w:b w:val="1"/>
                <w:bCs w:val="1"/>
                <w:color w:val="auto"/>
                <w:w w:val="89"/>
              </w:rPr>
              <w:t>2006</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gridSpan w:val="6"/>
          </w:tcPr>
          <w:p>
            <w:pPr>
              <w:jc w:val="right"/>
              <w:ind w:right="12"/>
              <w:spacing w:after="0" w:line="129" w:lineRule="exact"/>
              <w:rPr>
                <w:sz w:val="20"/>
                <w:szCs w:val="20"/>
                <w:color w:val="auto"/>
              </w:rPr>
            </w:pPr>
            <w:r>
              <w:rPr>
                <w:rFonts w:ascii="Arial" w:cs="Arial" w:eastAsia="Arial" w:hAnsi="Arial"/>
                <w:sz w:val="14"/>
                <w:szCs w:val="14"/>
                <w:b w:val="1"/>
                <w:bCs w:val="1"/>
                <w:color w:val="auto"/>
                <w:w w:val="89"/>
              </w:rPr>
              <w:t>(in thousands)</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4"/>
          </w:tcPr>
          <w:p>
            <w:pPr>
              <w:spacing w:after="0"/>
              <w:rPr>
                <w:sz w:val="20"/>
                <w:szCs w:val="20"/>
                <w:color w:val="auto"/>
              </w:rPr>
            </w:pPr>
            <w:r>
              <w:rPr>
                <w:rFonts w:ascii="Arial" w:cs="Arial" w:eastAsia="Arial" w:hAnsi="Arial"/>
                <w:sz w:val="14"/>
                <w:szCs w:val="14"/>
                <w:b w:val="1"/>
                <w:bCs w:val="1"/>
                <w:color w:val="auto"/>
                <w:w w:val="99"/>
              </w:rPr>
              <w:t>(unaudited)</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2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Real estate, at cost</w:t>
            </w: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201,403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79"/>
              </w:rPr>
              <w:t>128,946</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Less accumulated depreciation and amortization</w:t>
            </w:r>
          </w:p>
        </w:tc>
        <w:tc>
          <w:tcPr>
            <w:tcW w:w="2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1"/>
              </w:rPr>
              <w:t>(7,586)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(5,468)</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960" w:type="dxa"/>
            <w:vAlign w:val="bottom"/>
            <w:gridSpan w:val="3"/>
          </w:tcPr>
          <w:p>
            <w:pPr>
              <w:ind w:left="460"/>
              <w:spacing w:after="0"/>
              <w:rPr>
                <w:sz w:val="20"/>
                <w:szCs w:val="20"/>
                <w:color w:val="auto"/>
              </w:rPr>
            </w:pPr>
            <w:r>
              <w:rPr>
                <w:rFonts w:ascii="Arial" w:cs="Arial" w:eastAsia="Arial" w:hAnsi="Arial"/>
                <w:sz w:val="18"/>
                <w:szCs w:val="18"/>
                <w:color w:val="auto"/>
              </w:rPr>
              <w:t>Net real estate investments</w:t>
            </w:r>
          </w:p>
        </w:tc>
        <w:tc>
          <w:tcPr>
            <w:tcW w:w="2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6"/>
              </w:rPr>
              <w:t>193,817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79"/>
              </w:rPr>
              <w:t>123,478</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3,244</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2,116</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Accounts receivable and other assets</w:t>
            </w:r>
          </w:p>
        </w:tc>
        <w:tc>
          <w:tcPr>
            <w:tcW w:w="2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6,055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4,064</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2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203,116</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tcBorders>
              <w:right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79"/>
              </w:rPr>
              <w:t>129,658</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gridSpan w:val="3"/>
            <w:vMerge w:val="restart"/>
          </w:tcPr>
          <w:p>
            <w:pPr>
              <w:ind w:left="460"/>
              <w:spacing w:after="0"/>
              <w:rPr>
                <w:sz w:val="20"/>
                <w:szCs w:val="20"/>
                <w:color w:val="auto"/>
              </w:rPr>
            </w:pPr>
            <w:r>
              <w:rPr>
                <w:rFonts w:ascii="Arial" w:cs="Arial" w:eastAsia="Arial" w:hAnsi="Arial"/>
                <w:sz w:val="18"/>
                <w:szCs w:val="18"/>
                <w:color w:val="auto"/>
              </w:rPr>
              <w:t>LIABILITIES AND PARTNERS’ CAPITAL</w:t>
            </w:r>
          </w:p>
        </w:tc>
        <w:tc>
          <w:tcPr>
            <w:tcW w:w="2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960" w:type="dxa"/>
            <w:vAlign w:val="bottom"/>
            <w:gridSpan w:val="3"/>
            <w:vMerge w:val="continue"/>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2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00" w:type="dxa"/>
            <w:vAlign w:val="bottom"/>
            <w:gridSpan w:val="2"/>
          </w:tcPr>
          <w:p>
            <w:pPr>
              <w:ind w:left="440"/>
              <w:spacing w:after="0"/>
              <w:rPr>
                <w:sz w:val="20"/>
                <w:szCs w:val="20"/>
                <w:color w:val="auto"/>
              </w:rPr>
            </w:pPr>
            <w:r>
              <w:rPr>
                <w:rFonts w:ascii="Arial" w:cs="Arial" w:eastAsia="Arial" w:hAnsi="Arial"/>
                <w:sz w:val="18"/>
                <w:szCs w:val="18"/>
                <w:color w:val="auto"/>
              </w:rPr>
              <w:t>Mortgages</w:t>
            </w: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81,610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83"/>
              </w:rPr>
              <w:t>77,425</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liabilities</w:t>
            </w:r>
          </w:p>
        </w:tc>
        <w:tc>
          <w:tcPr>
            <w:tcW w:w="2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9,378</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tcBorders>
              <w:bottom w:val="single" w:sz="8" w:color="auto"/>
              <w:right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6,716</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960" w:type="dxa"/>
            <w:vAlign w:val="bottom"/>
            <w:gridSpan w:val="3"/>
          </w:tcPr>
          <w:p>
            <w:pPr>
              <w:ind w:left="460"/>
              <w:spacing w:after="0"/>
              <w:rPr>
                <w:sz w:val="20"/>
                <w:szCs w:val="20"/>
                <w:color w:val="auto"/>
              </w:rPr>
            </w:pPr>
            <w:r>
              <w:rPr>
                <w:rFonts w:ascii="Arial" w:cs="Arial" w:eastAsia="Arial" w:hAnsi="Arial"/>
                <w:sz w:val="18"/>
                <w:szCs w:val="18"/>
                <w:color w:val="auto"/>
              </w:rPr>
              <w:t>Total liabilities</w:t>
            </w:r>
          </w:p>
        </w:tc>
        <w:tc>
          <w:tcPr>
            <w:tcW w:w="2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90,988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83"/>
              </w:rPr>
              <w:t>84,141</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Partners’ capital</w:t>
            </w:r>
          </w:p>
        </w:tc>
        <w:tc>
          <w:tcPr>
            <w:tcW w:w="2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112,128</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tcBorders>
              <w:bottom w:val="single" w:sz="8" w:color="auto"/>
              <w:right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3"/>
              </w:rPr>
              <w:t>45,517</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960" w:type="dxa"/>
            <w:vAlign w:val="bottom"/>
            <w:gridSpan w:val="3"/>
          </w:tcPr>
          <w:p>
            <w:pPr>
              <w:ind w:left="460"/>
              <w:spacing w:after="0"/>
              <w:rPr>
                <w:sz w:val="20"/>
                <w:szCs w:val="20"/>
                <w:color w:val="auto"/>
              </w:rPr>
            </w:pPr>
            <w:r>
              <w:rPr>
                <w:rFonts w:ascii="Arial" w:cs="Arial" w:eastAsia="Arial" w:hAnsi="Arial"/>
                <w:sz w:val="18"/>
                <w:szCs w:val="18"/>
                <w:color w:val="auto"/>
              </w:rPr>
              <w:t>TOTAL LIABILITIES AND PARTNERS’ CAPITAL</w:t>
            </w:r>
          </w:p>
        </w:tc>
        <w:tc>
          <w:tcPr>
            <w:tcW w:w="2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203,116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79"/>
              </w:rPr>
              <w:t>129,658</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20" w:type="dxa"/>
            <w:vAlign w:val="bottom"/>
            <w:vMerge w:val="restart"/>
          </w:tcPr>
          <w:p>
            <w:pPr>
              <w:jc w:val="right"/>
              <w:ind w:right="1692"/>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Outstanding Debt and Debt Maturities - Joint Venture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2007</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DEBT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Mortgage Loans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gridSpan w:val="3"/>
          </w:tcPr>
          <w:p>
            <w:pPr>
              <w:jc w:val="center"/>
              <w:ind w:right="920"/>
              <w:spacing w:after="0"/>
              <w:rPr>
                <w:sz w:val="20"/>
                <w:szCs w:val="20"/>
                <w:color w:val="auto"/>
              </w:rPr>
            </w:pPr>
            <w:r>
              <w:rPr>
                <w:rFonts w:ascii="Arial" w:cs="Arial" w:eastAsia="Arial" w:hAnsi="Arial"/>
                <w:sz w:val="14"/>
                <w:szCs w:val="14"/>
                <w:b w:val="1"/>
                <w:bCs w:val="1"/>
                <w:color w:val="auto"/>
                <w:w w:val="84"/>
              </w:rPr>
              <w:t>Stated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960" w:type="dxa"/>
            <w:vAlign w:val="bottom"/>
            <w:gridSpan w:val="3"/>
          </w:tcPr>
          <w:p>
            <w:pPr>
              <w:jc w:val="center"/>
              <w:ind w:right="920"/>
              <w:spacing w:after="0" w:line="149" w:lineRule="exact"/>
              <w:rPr>
                <w:sz w:val="20"/>
                <w:szCs w:val="20"/>
                <w:color w:val="auto"/>
              </w:rPr>
            </w:pPr>
            <w:r>
              <w:rPr>
                <w:rFonts w:ascii="Arial" w:cs="Arial" w:eastAsia="Arial" w:hAnsi="Arial"/>
                <w:sz w:val="14"/>
                <w:szCs w:val="14"/>
                <w:b w:val="1"/>
                <w:bCs w:val="1"/>
                <w:color w:val="auto"/>
                <w:w w:val="85"/>
              </w:rPr>
              <w:t>Interest Rate as of</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Maturity</w:t>
            </w:r>
          </w:p>
        </w:tc>
        <w:tc>
          <w:tcPr>
            <w:tcW w:w="480" w:type="dxa"/>
            <w:vAlign w:val="bottom"/>
          </w:tcPr>
          <w:p>
            <w:pPr>
              <w:spacing w:after="0"/>
              <w:rPr>
                <w:sz w:val="14"/>
                <w:szCs w:val="14"/>
                <w:color w:val="auto"/>
              </w:rPr>
            </w:pPr>
          </w:p>
        </w:tc>
        <w:tc>
          <w:tcPr>
            <w:tcW w:w="1960" w:type="dxa"/>
            <w:vAlign w:val="bottom"/>
            <w:gridSpan w:val="3"/>
          </w:tcPr>
          <w:p>
            <w:pPr>
              <w:jc w:val="center"/>
              <w:ind w:right="900"/>
              <w:spacing w:after="0"/>
              <w:rPr>
                <w:sz w:val="20"/>
                <w:szCs w:val="20"/>
                <w:color w:val="auto"/>
              </w:rPr>
            </w:pPr>
            <w:r>
              <w:rPr>
                <w:rFonts w:ascii="Arial" w:cs="Arial" w:eastAsia="Arial" w:hAnsi="Arial"/>
                <w:sz w:val="14"/>
                <w:szCs w:val="14"/>
                <w:b w:val="1"/>
                <w:bCs w:val="1"/>
                <w:color w:val="auto"/>
                <w:w w:val="85"/>
              </w:rPr>
              <w:t>June 30, 2007</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w w:val="96"/>
              </w:rPr>
              <w:t>Secured Fixed Rate</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3"/>
          </w:tcPr>
          <w:p>
            <w:pPr>
              <w:spacing w:after="0"/>
              <w:rPr>
                <w:sz w:val="20"/>
                <w:szCs w:val="20"/>
                <w:color w:val="auto"/>
              </w:rPr>
            </w:pPr>
            <w:r>
              <w:rPr>
                <w:rFonts w:ascii="Arial" w:cs="Arial" w:eastAsia="Arial" w:hAnsi="Arial"/>
                <w:sz w:val="18"/>
                <w:szCs w:val="18"/>
                <w:color w:val="auto"/>
              </w:rPr>
              <w:t>Campus Plaza</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4"/>
          </w:tcPr>
          <w:p>
            <w:pPr>
              <w:jc w:val="center"/>
              <w:ind w:left="973"/>
              <w:spacing w:after="0"/>
              <w:rPr>
                <w:sz w:val="20"/>
                <w:szCs w:val="20"/>
                <w:color w:val="auto"/>
              </w:rPr>
            </w:pPr>
            <w:r>
              <w:rPr>
                <w:rFonts w:ascii="Arial" w:cs="Arial" w:eastAsia="Arial" w:hAnsi="Arial"/>
                <w:sz w:val="18"/>
                <w:szCs w:val="18"/>
                <w:color w:val="auto"/>
                <w:w w:val="88"/>
              </w:rPr>
              <w:t>12/01/09</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60" w:type="dxa"/>
            <w:vAlign w:val="bottom"/>
            <w:gridSpan w:val="2"/>
          </w:tcPr>
          <w:p>
            <w:pPr>
              <w:ind w:left="260"/>
              <w:spacing w:after="0"/>
              <w:rPr>
                <w:sz w:val="20"/>
                <w:szCs w:val="20"/>
                <w:color w:val="auto"/>
              </w:rPr>
            </w:pPr>
            <w:r>
              <w:rPr>
                <w:rFonts w:ascii="Arial" w:cs="Arial" w:eastAsia="Arial" w:hAnsi="Arial"/>
                <w:sz w:val="18"/>
                <w:szCs w:val="18"/>
                <w:color w:val="auto"/>
              </w:rPr>
              <w:t>4.530%(a)</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Pleasant Shops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gridSpan w:val="4"/>
            <w:shd w:val="clear" w:color="auto" w:fill="CCEEFF"/>
          </w:tcPr>
          <w:p>
            <w:pPr>
              <w:jc w:val="center"/>
              <w:ind w:left="973"/>
              <w:spacing w:after="0"/>
              <w:rPr>
                <w:sz w:val="20"/>
                <w:szCs w:val="20"/>
                <w:color w:val="auto"/>
              </w:rPr>
            </w:pPr>
            <w:r>
              <w:rPr>
                <w:rFonts w:ascii="Arial" w:cs="Arial" w:eastAsia="Arial" w:hAnsi="Arial"/>
                <w:sz w:val="18"/>
                <w:szCs w:val="18"/>
                <w:color w:val="auto"/>
                <w:w w:val="88"/>
              </w:rPr>
              <w:t>12/01/09</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4.530%(a)</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3"/>
          </w:tcPr>
          <w:p>
            <w:pPr>
              <w:spacing w:after="0"/>
              <w:rPr>
                <w:sz w:val="20"/>
                <w:szCs w:val="20"/>
                <w:color w:val="auto"/>
              </w:rPr>
            </w:pPr>
            <w:r>
              <w:rPr>
                <w:rFonts w:ascii="Arial" w:cs="Arial" w:eastAsia="Arial" w:hAnsi="Arial"/>
                <w:sz w:val="18"/>
                <w:szCs w:val="18"/>
                <w:color w:val="auto"/>
              </w:rPr>
              <w:t>Plaza del Mercado</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4"/>
          </w:tcPr>
          <w:p>
            <w:pPr>
              <w:jc w:val="center"/>
              <w:ind w:left="973"/>
              <w:spacing w:after="0"/>
              <w:rPr>
                <w:sz w:val="20"/>
                <w:szCs w:val="20"/>
                <w:color w:val="auto"/>
              </w:rPr>
            </w:pPr>
            <w:r>
              <w:rPr>
                <w:rFonts w:ascii="Arial" w:cs="Arial" w:eastAsia="Arial" w:hAnsi="Arial"/>
                <w:sz w:val="18"/>
                <w:szCs w:val="18"/>
                <w:color w:val="auto"/>
                <w:w w:val="88"/>
              </w:rPr>
              <w:t>07/05/14</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60" w:type="dxa"/>
            <w:vAlign w:val="bottom"/>
            <w:gridSpan w:val="2"/>
          </w:tcPr>
          <w:p>
            <w:pPr>
              <w:ind w:left="260"/>
              <w:spacing w:after="0"/>
              <w:rPr>
                <w:sz w:val="20"/>
                <w:szCs w:val="20"/>
                <w:color w:val="auto"/>
              </w:rPr>
            </w:pPr>
            <w:r>
              <w:rPr>
                <w:rFonts w:ascii="Arial" w:cs="Arial" w:eastAsia="Arial" w:hAnsi="Arial"/>
                <w:sz w:val="18"/>
                <w:szCs w:val="18"/>
                <w:color w:val="auto"/>
              </w:rPr>
              <w:t>5.770%(b)</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13,325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Atlantic Plaza</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gridSpan w:val="4"/>
            <w:shd w:val="clear" w:color="auto" w:fill="CCEEFF"/>
          </w:tcPr>
          <w:p>
            <w:pPr>
              <w:jc w:val="center"/>
              <w:ind w:left="973"/>
              <w:spacing w:after="0"/>
              <w:rPr>
                <w:sz w:val="20"/>
                <w:szCs w:val="20"/>
                <w:color w:val="auto"/>
              </w:rPr>
            </w:pPr>
            <w:r>
              <w:rPr>
                <w:rFonts w:ascii="Arial" w:cs="Arial" w:eastAsia="Arial" w:hAnsi="Arial"/>
                <w:sz w:val="18"/>
                <w:szCs w:val="18"/>
                <w:color w:val="auto"/>
                <w:w w:val="88"/>
              </w:rPr>
              <w:t>12/01/14</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5.120%(a)</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3"/>
          </w:tcPr>
          <w:p>
            <w:pPr>
              <w:spacing w:after="0"/>
              <w:rPr>
                <w:sz w:val="20"/>
                <w:szCs w:val="20"/>
                <w:color w:val="auto"/>
              </w:rPr>
            </w:pPr>
            <w:r>
              <w:rPr>
                <w:rFonts w:ascii="Arial" w:cs="Arial" w:eastAsia="Arial" w:hAnsi="Arial"/>
                <w:sz w:val="18"/>
                <w:szCs w:val="18"/>
                <w:color w:val="auto"/>
              </w:rPr>
              <w:t>Barcroft Plaza</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4"/>
          </w:tcPr>
          <w:p>
            <w:pPr>
              <w:jc w:val="center"/>
              <w:ind w:left="973"/>
              <w:spacing w:after="0"/>
              <w:rPr>
                <w:sz w:val="20"/>
                <w:szCs w:val="20"/>
                <w:color w:val="auto"/>
              </w:rPr>
            </w:pPr>
            <w:r>
              <w:rPr>
                <w:rFonts w:ascii="Arial" w:cs="Arial" w:eastAsia="Arial" w:hAnsi="Arial"/>
                <w:sz w:val="18"/>
                <w:szCs w:val="18"/>
                <w:color w:val="auto"/>
                <w:w w:val="88"/>
              </w:rPr>
              <w:t>07/01/16</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60" w:type="dxa"/>
            <w:vAlign w:val="bottom"/>
            <w:gridSpan w:val="2"/>
          </w:tcPr>
          <w:p>
            <w:pPr>
              <w:ind w:left="260"/>
              <w:spacing w:after="0"/>
              <w:rPr>
                <w:sz w:val="20"/>
                <w:szCs w:val="20"/>
                <w:color w:val="auto"/>
              </w:rPr>
            </w:pPr>
            <w:r>
              <w:rPr>
                <w:rFonts w:ascii="Arial" w:cs="Arial" w:eastAsia="Arial" w:hAnsi="Arial"/>
                <w:sz w:val="18"/>
                <w:szCs w:val="18"/>
                <w:color w:val="auto"/>
              </w:rPr>
              <w:t>5.990%(a)(c)</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20,785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Greenlawn Plaza</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gridSpan w:val="4"/>
            <w:shd w:val="clear" w:color="auto" w:fill="CCEEFF"/>
          </w:tcPr>
          <w:p>
            <w:pPr>
              <w:jc w:val="center"/>
              <w:ind w:left="973"/>
              <w:spacing w:after="0"/>
              <w:rPr>
                <w:sz w:val="20"/>
                <w:szCs w:val="20"/>
                <w:color w:val="auto"/>
              </w:rPr>
            </w:pPr>
            <w:r>
              <w:rPr>
                <w:rFonts w:ascii="Arial" w:cs="Arial" w:eastAsia="Arial" w:hAnsi="Arial"/>
                <w:sz w:val="18"/>
                <w:szCs w:val="18"/>
                <w:color w:val="auto"/>
                <w:w w:val="88"/>
              </w:rPr>
              <w:t>07/01/16</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5.900%(a)</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13,600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80" w:type="dxa"/>
            <w:vAlign w:val="bottom"/>
            <w:gridSpan w:val="6"/>
          </w:tcPr>
          <w:p>
            <w:pPr>
              <w:jc w:val="right"/>
              <w:ind w:right="1260"/>
              <w:spacing w:after="0"/>
              <w:rPr>
                <w:sz w:val="20"/>
                <w:szCs w:val="20"/>
                <w:color w:val="auto"/>
              </w:rPr>
            </w:pPr>
            <w:r>
              <w:rPr>
                <w:rFonts w:ascii="Arial" w:cs="Arial" w:eastAsia="Arial" w:hAnsi="Arial"/>
                <w:sz w:val="18"/>
                <w:szCs w:val="18"/>
                <w:color w:val="auto"/>
                <w:w w:val="91"/>
              </w:rPr>
              <w:t>Total Fixed Rate Debt</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81,610</w:t>
            </w:r>
          </w:p>
        </w:tc>
        <w:tc>
          <w:tcPr>
            <w:tcW w:w="0" w:type="dxa"/>
            <w:vAlign w:val="bottom"/>
          </w:tcPr>
          <w:p>
            <w:pPr>
              <w:spacing w:after="0"/>
              <w:rPr>
                <w:sz w:val="1"/>
                <w:szCs w:val="1"/>
                <w:color w:val="auto"/>
              </w:rPr>
            </w:pPr>
          </w:p>
        </w:tc>
      </w:tr>
      <w:tr>
        <w:trPr>
          <w:trHeight w:val="20"/>
        </w:trPr>
        <w:tc>
          <w:tcPr>
            <w:tcW w:w="1120" w:type="dxa"/>
            <w:vAlign w:val="bottom"/>
            <w:gridSpan w:val="3"/>
            <w:vMerge w:val="restart"/>
          </w:tcPr>
          <w:p>
            <w:pPr>
              <w:spacing w:after="0"/>
              <w:rPr>
                <w:sz w:val="20"/>
                <w:szCs w:val="20"/>
                <w:color w:val="auto"/>
              </w:rPr>
            </w:pPr>
            <w:r>
              <w:rPr>
                <w:rFonts w:ascii="Arial" w:cs="Arial" w:eastAsia="Arial" w:hAnsi="Arial"/>
                <w:sz w:val="18"/>
                <w:szCs w:val="18"/>
                <w:color w:val="auto"/>
                <w:w w:val="90"/>
              </w:rPr>
              <w:t>Debt Maturities</w:t>
            </w:r>
          </w:p>
        </w:tc>
        <w:tc>
          <w:tcPr>
            <w:tcW w:w="46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1120" w:type="dxa"/>
            <w:vAlign w:val="bottom"/>
            <w:tcBorders>
              <w:bottom w:val="single" w:sz="8" w:color="auto"/>
            </w:tcBorders>
            <w:gridSpan w:val="3"/>
            <w:vMerge w:val="continue"/>
          </w:tcPr>
          <w:p>
            <w:pPr>
              <w:spacing w:after="0"/>
              <w:rPr>
                <w:sz w:val="24"/>
                <w:szCs w:val="24"/>
                <w:color w:val="auto"/>
              </w:rPr>
            </w:pPr>
          </w:p>
        </w:tc>
        <w:tc>
          <w:tcPr>
            <w:tcW w:w="4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1580" w:type="dxa"/>
            <w:vAlign w:val="bottom"/>
            <w:gridSpan w:val="4"/>
          </w:tcPr>
          <w:p>
            <w:pPr>
              <w:spacing w:after="0"/>
              <w:rPr>
                <w:sz w:val="20"/>
                <w:szCs w:val="20"/>
                <w:color w:val="auto"/>
              </w:rPr>
            </w:pPr>
            <w:r>
              <w:rPr>
                <w:rFonts w:ascii="Arial" w:cs="Arial" w:eastAsia="Arial" w:hAnsi="Arial"/>
                <w:sz w:val="18"/>
                <w:szCs w:val="18"/>
                <w:color w:val="auto"/>
              </w:rPr>
              <w:t>(in thousands)</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w w:val="81"/>
              </w:rPr>
              <w:t>Scheduled</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40" w:type="dxa"/>
            <w:vAlign w:val="bottom"/>
            <w:gridSpan w:val="4"/>
          </w:tcPr>
          <w:p>
            <w:pPr>
              <w:jc w:val="center"/>
              <w:ind w:right="1560"/>
              <w:spacing w:after="0" w:line="149" w:lineRule="exact"/>
              <w:rPr>
                <w:sz w:val="20"/>
                <w:szCs w:val="20"/>
                <w:color w:val="auto"/>
              </w:rPr>
            </w:pPr>
            <w:r>
              <w:rPr>
                <w:rFonts w:ascii="Arial" w:cs="Arial" w:eastAsia="Arial" w:hAnsi="Arial"/>
                <w:sz w:val="14"/>
                <w:szCs w:val="14"/>
                <w:b w:val="1"/>
                <w:bCs w:val="1"/>
                <w:color w:val="auto"/>
                <w:w w:val="87"/>
              </w:rPr>
              <w:t>Percent of</w:t>
            </w:r>
          </w:p>
        </w:tc>
        <w:tc>
          <w:tcPr>
            <w:tcW w:w="104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Percent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8"/>
              </w:rPr>
              <w:t>Year</w:t>
            </w:r>
          </w:p>
        </w:tc>
        <w:tc>
          <w:tcPr>
            <w:tcW w:w="120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Maturities</w:t>
            </w:r>
          </w:p>
        </w:tc>
        <w:tc>
          <w:tcPr>
            <w:tcW w:w="1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5"/>
              </w:rPr>
              <w:t>Total</w:t>
            </w:r>
          </w:p>
        </w:tc>
        <w:tc>
          <w:tcPr>
            <w:tcW w:w="1400" w:type="dxa"/>
            <w:vAlign w:val="bottom"/>
            <w:gridSpan w:val="3"/>
          </w:tcPr>
          <w:p>
            <w:pPr>
              <w:spacing w:after="0"/>
              <w:rPr>
                <w:sz w:val="14"/>
                <w:szCs w:val="1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Debt Maturing</w:t>
            </w:r>
          </w:p>
        </w:tc>
        <w:tc>
          <w:tcPr>
            <w:tcW w:w="1560" w:type="dxa"/>
            <w:vAlign w:val="bottom"/>
            <w:gridSpan w:val="2"/>
          </w:tcPr>
          <w:p>
            <w:pPr>
              <w:spacing w:after="0"/>
              <w:rPr>
                <w:sz w:val="14"/>
                <w:szCs w:val="14"/>
                <w:color w:val="auto"/>
              </w:rPr>
            </w:pPr>
          </w:p>
        </w:tc>
        <w:tc>
          <w:tcPr>
            <w:tcW w:w="8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Debt Maturing</w:t>
            </w:r>
          </w:p>
        </w:tc>
        <w:tc>
          <w:tcPr>
            <w:tcW w:w="1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2007</w:t>
            </w: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color w:val="auto"/>
              </w:rPr>
              <w:t>0.1%</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2008</w:t>
            </w: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175</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175</w:t>
            </w: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jc w:val="right"/>
              <w:ind w:right="412"/>
              <w:spacing w:after="0"/>
              <w:rPr>
                <w:sz w:val="20"/>
                <w:szCs w:val="20"/>
                <w:color w:val="auto"/>
              </w:rPr>
            </w:pPr>
            <w:r>
              <w:rPr>
                <w:rFonts w:ascii="Arial" w:cs="Arial" w:eastAsia="Arial" w:hAnsi="Arial"/>
                <w:sz w:val="18"/>
                <w:szCs w:val="18"/>
                <w:color w:val="auto"/>
              </w:rPr>
              <w:t>0.2%</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2009</w:t>
            </w: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185</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23,400</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23,585</w:t>
            </w: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color w:val="auto"/>
              </w:rPr>
              <w:t>28.9%</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2010</w:t>
            </w: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196</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196</w:t>
            </w: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jc w:val="right"/>
              <w:ind w:right="412"/>
              <w:spacing w:after="0"/>
              <w:rPr>
                <w:sz w:val="20"/>
                <w:szCs w:val="20"/>
                <w:color w:val="auto"/>
              </w:rPr>
            </w:pPr>
            <w:r>
              <w:rPr>
                <w:rFonts w:ascii="Arial" w:cs="Arial" w:eastAsia="Arial" w:hAnsi="Arial"/>
                <w:sz w:val="18"/>
                <w:szCs w:val="18"/>
                <w:color w:val="auto"/>
              </w:rPr>
              <w:t>0.2%</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2011</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208</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color w:val="auto"/>
              </w:rPr>
              <w:t>0.3%</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2012</w:t>
            </w: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220</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220</w:t>
            </w: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jc w:val="right"/>
              <w:ind w:right="412"/>
              <w:spacing w:after="0"/>
              <w:rPr>
                <w:sz w:val="20"/>
                <w:szCs w:val="20"/>
                <w:color w:val="auto"/>
              </w:rPr>
            </w:pPr>
            <w:r>
              <w:rPr>
                <w:rFonts w:ascii="Arial" w:cs="Arial" w:eastAsia="Arial" w:hAnsi="Arial"/>
                <w:sz w:val="18"/>
                <w:szCs w:val="18"/>
                <w:color w:val="auto"/>
              </w:rPr>
              <w:t>0.3%</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2013</w:t>
            </w: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233</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color w:val="auto"/>
              </w:rPr>
              <w:t>0.3%</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2014</w:t>
            </w: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142</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22,396</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22,538</w:t>
            </w: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jc w:val="right"/>
              <w:ind w:right="412"/>
              <w:spacing w:after="0"/>
              <w:rPr>
                <w:sz w:val="20"/>
                <w:szCs w:val="20"/>
                <w:color w:val="auto"/>
              </w:rPr>
            </w:pPr>
            <w:r>
              <w:rPr>
                <w:rFonts w:ascii="Arial" w:cs="Arial" w:eastAsia="Arial" w:hAnsi="Arial"/>
                <w:sz w:val="18"/>
                <w:szCs w:val="18"/>
                <w:color w:val="auto"/>
              </w:rPr>
              <w:t>27.6%</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2015</w:t>
            </w: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color w:val="auto"/>
              </w:rPr>
              <w:t>0.0%</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2016</w:t>
            </w: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34,385</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34,385</w:t>
            </w: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jc w:val="right"/>
              <w:ind w:right="412"/>
              <w:spacing w:after="0"/>
              <w:rPr>
                <w:sz w:val="20"/>
                <w:szCs w:val="20"/>
                <w:color w:val="auto"/>
              </w:rPr>
            </w:pPr>
            <w:r>
              <w:rPr>
                <w:rFonts w:ascii="Arial" w:cs="Arial" w:eastAsia="Arial" w:hAnsi="Arial"/>
                <w:sz w:val="18"/>
                <w:szCs w:val="18"/>
                <w:color w:val="auto"/>
              </w:rPr>
              <w:t>42.1%</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1,429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80,181</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81,610</w:t>
            </w: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color w:val="auto"/>
              </w:rPr>
              <w:t>100.0%</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90"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Interest only until maturity.</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Loan is interest only until July 5, 2007, after which principal and interest payments are due based on a 30-year amortization schedule.</w:t>
      </w:r>
    </w:p>
    <w:p>
      <w:pPr>
        <w:spacing w:after="0" w:line="90" w:lineRule="exact"/>
        <w:rPr>
          <w:rFonts w:ascii="Arial" w:cs="Arial" w:eastAsia="Arial" w:hAnsi="Arial"/>
          <w:sz w:val="18"/>
          <w:szCs w:val="18"/>
          <w:color w:val="auto"/>
        </w:rPr>
      </w:pPr>
    </w:p>
    <w:p>
      <w:pPr>
        <w:ind w:left="460" w:right="120" w:hanging="452"/>
        <w:spacing w:after="0" w:line="26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stated interest rate represents the weighted average interest rate for two mortgage loans secured by this property. The loan balance represents a note of $16.6 million at a stated rate of 6.06% and a note of $4.2 million at a stated rate of 5.71%.</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Year Acquisitions and Dispositions - Joint Venture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Through June 30, 2007</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Joint Venture Acquisitions - Unconsolidated (30% owned)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Date</w:t>
            </w:r>
          </w:p>
        </w:tc>
        <w:tc>
          <w:tcPr>
            <w:tcW w:w="200" w:type="dxa"/>
            <w:vAlign w:val="bottom"/>
          </w:tcPr>
          <w:p>
            <w:pPr>
              <w:spacing w:after="0"/>
              <w:rPr>
                <w:sz w:val="14"/>
                <w:szCs w:val="14"/>
                <w:color w:val="auto"/>
              </w:rPr>
            </w:pPr>
          </w:p>
        </w:tc>
        <w:tc>
          <w:tcPr>
            <w:tcW w:w="3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Property</w:t>
            </w:r>
          </w:p>
        </w:tc>
        <w:tc>
          <w:tcPr>
            <w:tcW w:w="220" w:type="dxa"/>
            <w:vAlign w:val="bottom"/>
          </w:tcPr>
          <w:p>
            <w:pPr>
              <w:spacing w:after="0"/>
              <w:rPr>
                <w:sz w:val="14"/>
                <w:szCs w:val="14"/>
                <w:color w:val="auto"/>
              </w:rPr>
            </w:pPr>
          </w:p>
        </w:tc>
        <w:tc>
          <w:tcPr>
            <w:tcW w:w="144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City / State</w:t>
            </w:r>
          </w:p>
        </w:tc>
        <w:tc>
          <w:tcPr>
            <w:tcW w:w="220" w:type="dxa"/>
            <w:vAlign w:val="bottom"/>
          </w:tcPr>
          <w:p>
            <w:pPr>
              <w:spacing w:after="0"/>
              <w:rPr>
                <w:sz w:val="14"/>
                <w:szCs w:val="14"/>
                <w:color w:val="auto"/>
              </w:rPr>
            </w:pPr>
          </w:p>
        </w:tc>
        <w:tc>
          <w:tcPr>
            <w:tcW w:w="5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GLA</w:t>
            </w:r>
          </w:p>
        </w:tc>
        <w:tc>
          <w:tcPr>
            <w:tcW w:w="220" w:type="dxa"/>
            <w:vAlign w:val="bottom"/>
          </w:tcPr>
          <w:p>
            <w:pPr>
              <w:spacing w:after="0"/>
              <w:rPr>
                <w:sz w:val="14"/>
                <w:szCs w:val="14"/>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Purchase price</w:t>
            </w:r>
          </w:p>
        </w:tc>
        <w:tc>
          <w:tcPr>
            <w:tcW w:w="220" w:type="dxa"/>
            <w:vAlign w:val="bottom"/>
          </w:tcPr>
          <w:p>
            <w:pPr>
              <w:spacing w:after="0"/>
              <w:rPr>
                <w:sz w:val="14"/>
                <w:szCs w:val="14"/>
                <w:color w:val="auto"/>
              </w:rPr>
            </w:pPr>
          </w:p>
        </w:tc>
        <w:tc>
          <w:tcPr>
            <w:tcW w:w="2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Anchor tenants</w:t>
            </w:r>
          </w:p>
        </w:tc>
      </w:tr>
      <w:tr>
        <w:trPr>
          <w:trHeight w:val="149"/>
        </w:trPr>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4"/>
              </w:rPr>
              <w:t>(in thousands)</w:t>
            </w:r>
          </w:p>
        </w:tc>
        <w:tc>
          <w:tcPr>
            <w:tcW w:w="220" w:type="dxa"/>
            <w:vAlign w:val="bottom"/>
          </w:tcPr>
          <w:p>
            <w:pPr>
              <w:spacing w:after="0"/>
              <w:rPr>
                <w:sz w:val="12"/>
                <w:szCs w:val="12"/>
                <w:color w:val="auto"/>
              </w:rPr>
            </w:pPr>
          </w:p>
        </w:tc>
        <w:tc>
          <w:tcPr>
            <w:tcW w:w="2960" w:type="dxa"/>
            <w:vAlign w:val="bottom"/>
          </w:tcPr>
          <w:p>
            <w:pPr>
              <w:spacing w:after="0"/>
              <w:rPr>
                <w:sz w:val="12"/>
                <w:szCs w:val="12"/>
                <w:color w:val="auto"/>
              </w:rPr>
            </w:pPr>
          </w:p>
        </w:tc>
      </w:tr>
      <w:tr>
        <w:trPr>
          <w:trHeight w:val="208"/>
        </w:trPr>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w w:val="97"/>
              </w:rPr>
              <w:t>February 15, 2007</w:t>
            </w:r>
          </w:p>
        </w:tc>
        <w:tc>
          <w:tcPr>
            <w:tcW w:w="20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Freestate Shopping Center</w:t>
            </w:r>
          </w:p>
        </w:tc>
        <w:tc>
          <w:tcPr>
            <w:tcW w:w="1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Bowie, MD</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278,000</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22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Super Giant, Ross, AMF Bowling, TJ</w:t>
            </w:r>
          </w:p>
        </w:tc>
      </w:tr>
      <w:tr>
        <w:trPr>
          <w:trHeight w:val="224"/>
        </w:trPr>
        <w:tc>
          <w:tcPr>
            <w:tcW w:w="1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Maxx, Office Depot</w:t>
            </w:r>
          </w:p>
        </w:tc>
      </w:tr>
      <w:tr>
        <w:trPr>
          <w:trHeight w:val="223"/>
        </w:trPr>
        <w:tc>
          <w:tcPr>
            <w:tcW w:w="1460" w:type="dxa"/>
            <w:vAlign w:val="bottom"/>
          </w:tcPr>
          <w:p>
            <w:pPr>
              <w:spacing w:after="0"/>
              <w:rPr>
                <w:sz w:val="20"/>
                <w:szCs w:val="20"/>
                <w:color w:val="auto"/>
              </w:rPr>
            </w:pPr>
            <w:r>
              <w:rPr>
                <w:rFonts w:ascii="Arial" w:cs="Arial" w:eastAsia="Arial" w:hAnsi="Arial"/>
                <w:sz w:val="18"/>
                <w:szCs w:val="18"/>
                <w:color w:val="auto"/>
                <w:w w:val="97"/>
              </w:rPr>
              <w:t>February 20, 2007</w:t>
            </w:r>
          </w:p>
        </w:tc>
        <w:tc>
          <w:tcPr>
            <w:tcW w:w="20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Lake Barcroft Shopping Center (1)</w:t>
            </w:r>
          </w:p>
        </w:tc>
        <w:tc>
          <w:tcPr>
            <w:tcW w:w="1660" w:type="dxa"/>
            <w:vAlign w:val="bottom"/>
            <w:gridSpan w:val="2"/>
          </w:tcPr>
          <w:p>
            <w:pPr>
              <w:ind w:left="220"/>
              <w:spacing w:after="0"/>
              <w:rPr>
                <w:sz w:val="20"/>
                <w:szCs w:val="20"/>
                <w:color w:val="auto"/>
              </w:rPr>
            </w:pPr>
            <w:r>
              <w:rPr>
                <w:rFonts w:ascii="Arial" w:cs="Arial" w:eastAsia="Arial" w:hAnsi="Arial"/>
                <w:sz w:val="18"/>
                <w:szCs w:val="18"/>
                <w:color w:val="auto"/>
              </w:rPr>
              <w:t>Falls Church, VA</w:t>
            </w: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Bank of America</w:t>
            </w:r>
          </w:p>
        </w:tc>
      </w:tr>
      <w:tr>
        <w:trPr>
          <w:trHeight w:val="216"/>
        </w:trPr>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287,000</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22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r>
      <w:tr>
        <w:trPr>
          <w:trHeight w:val="20"/>
        </w:trPr>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bl>
    <w:p>
      <w:pPr>
        <w:spacing w:after="0" w:line="86" w:lineRule="exact"/>
        <w:rPr>
          <w:sz w:val="20"/>
          <w:szCs w:val="20"/>
          <w:color w:val="auto"/>
        </w:rPr>
      </w:pPr>
    </w:p>
    <w:p>
      <w:pPr>
        <w:ind w:left="5620" w:right="5040" w:hanging="5612"/>
        <w:spacing w:after="0" w:line="525" w:lineRule="auto"/>
        <w:tabs>
          <w:tab w:leader="none" w:pos="448" w:val="left"/>
        </w:tabs>
        <w:numPr>
          <w:ilvl w:val="0"/>
          <w:numId w:val="26"/>
        </w:numPr>
        <w:rPr>
          <w:rFonts w:ascii="Arial" w:cs="Arial" w:eastAsia="Arial" w:hAnsi="Arial"/>
          <w:sz w:val="16"/>
          <w:szCs w:val="16"/>
          <w:color w:val="auto"/>
        </w:rPr>
      </w:pPr>
      <w:r>
        <w:rPr>
          <w:rFonts w:ascii="Arial" w:cs="Arial" w:eastAsia="Arial" w:hAnsi="Arial"/>
          <w:sz w:val="16"/>
          <w:szCs w:val="16"/>
          <w:color w:val="auto"/>
        </w:rPr>
        <w:t>Lake Barcroft Shopping Center is adjacent to and operated as part of Barcroft Plaza. 28</w:t>
      </w:r>
    </w:p>
    <w:p>
      <w:pPr>
        <w:sectPr>
          <w:pgSz w:w="11900" w:h="16838" w:orient="portrait"/>
          <w:cols w:equalWidth="0" w:num="1">
            <w:col w:w="11420"/>
          </w:cols>
          <w:pgMar w:left="240" w:top="27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Status Report - Joint Venture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Grocery</w:t>
            </w: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3"/>
              </w:rPr>
              <w:t>Mortgage or</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Anchor</w:t>
            </w: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vMerge w:val="restart"/>
          </w:tcPr>
          <w:p>
            <w:pPr>
              <w:spacing w:after="0"/>
              <w:rPr>
                <w:sz w:val="20"/>
                <w:szCs w:val="20"/>
                <w:color w:val="auto"/>
              </w:rPr>
            </w:pPr>
            <w:r>
              <w:rPr>
                <w:rFonts w:ascii="Arial" w:cs="Arial" w:eastAsia="Arial" w:hAnsi="Arial"/>
                <w:sz w:val="14"/>
                <w:szCs w:val="14"/>
                <w:b w:val="1"/>
                <w:bCs w:val="1"/>
                <w:color w:val="auto"/>
              </w:rPr>
              <w:t>Property Name</w:t>
            </w:r>
          </w:p>
        </w:tc>
        <w:tc>
          <w:tcPr>
            <w:tcW w:w="20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MSA Description</w:t>
            </w:r>
          </w:p>
        </w:tc>
        <w:tc>
          <w:tcPr>
            <w:tcW w:w="100" w:type="dxa"/>
            <w:vAlign w:val="bottom"/>
          </w:tcPr>
          <w:p>
            <w:pPr>
              <w:spacing w:after="0"/>
              <w:rPr>
                <w:sz w:val="12"/>
                <w:szCs w:val="12"/>
                <w:color w:val="auto"/>
              </w:rPr>
            </w:pPr>
          </w:p>
        </w:tc>
        <w:tc>
          <w:tcPr>
            <w:tcW w:w="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Year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Total</w:t>
            </w:r>
          </w:p>
        </w:tc>
        <w:tc>
          <w:tcPr>
            <w:tcW w:w="6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8"/>
              </w:rPr>
              <w:t>Capital Lease</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5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rPr>
              <w:t>GLA</w:t>
            </w:r>
          </w:p>
        </w:tc>
        <w:tc>
          <w:tcPr>
            <w:tcW w:w="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Grocery</w:t>
            </w:r>
          </w:p>
        </w:tc>
        <w:tc>
          <w:tcPr>
            <w:tcW w:w="100" w:type="dxa"/>
            <w:vAlign w:val="bottom"/>
          </w:tcPr>
          <w:p>
            <w:pPr>
              <w:spacing w:after="0"/>
              <w:rPr>
                <w:sz w:val="12"/>
                <w:szCs w:val="12"/>
                <w:color w:val="auto"/>
              </w:rPr>
            </w:pPr>
          </w:p>
        </w:tc>
        <w:tc>
          <w:tcPr>
            <w:tcW w:w="1880" w:type="dxa"/>
            <w:vAlign w:val="bottom"/>
            <w:vMerge w:val="restart"/>
          </w:tcPr>
          <w:p>
            <w:pPr>
              <w:spacing w:after="0"/>
              <w:rPr>
                <w:sz w:val="20"/>
                <w:szCs w:val="20"/>
                <w:color w:val="auto"/>
              </w:rPr>
            </w:pPr>
            <w:r>
              <w:rPr>
                <w:rFonts w:ascii="Arial" w:cs="Arial" w:eastAsia="Arial" w:hAnsi="Arial"/>
                <w:sz w:val="14"/>
                <w:szCs w:val="14"/>
                <w:b w:val="1"/>
                <w:bCs w:val="1"/>
                <w:color w:val="auto"/>
              </w:rPr>
              <w:t>Other Principal Tenants</w:t>
            </w:r>
          </w:p>
        </w:tc>
        <w:tc>
          <w:tcPr>
            <w:tcW w:w="0" w:type="dxa"/>
            <w:vAlign w:val="bottom"/>
          </w:tcPr>
          <w:p>
            <w:pPr>
              <w:spacing w:after="0"/>
              <w:rPr>
                <w:sz w:val="1"/>
                <w:szCs w:val="1"/>
                <w:color w:val="auto"/>
              </w:rPr>
            </w:pPr>
          </w:p>
        </w:tc>
      </w:tr>
      <w:tr>
        <w:trPr>
          <w:trHeight w:val="155"/>
        </w:trPr>
        <w:tc>
          <w:tcPr>
            <w:tcW w:w="2040" w:type="dxa"/>
            <w:vAlign w:val="bottom"/>
            <w:vMerge w:val="continue"/>
          </w:tcPr>
          <w:p>
            <w:pPr>
              <w:spacing w:after="0"/>
              <w:rPr>
                <w:sz w:val="13"/>
                <w:szCs w:val="13"/>
                <w:color w:val="auto"/>
              </w:rPr>
            </w:pPr>
          </w:p>
        </w:tc>
        <w:tc>
          <w:tcPr>
            <w:tcW w:w="20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88"/>
              </w:rPr>
              <w:t>Acquired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86"/>
              </w:rPr>
              <w:t>Investment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35"/>
              <w:spacing w:after="0" w:line="148" w:lineRule="exact"/>
              <w:rPr>
                <w:sz w:val="20"/>
                <w:szCs w:val="20"/>
                <w:color w:val="auto"/>
              </w:rPr>
            </w:pPr>
            <w:r>
              <w:rPr>
                <w:rFonts w:ascii="Arial" w:cs="Arial" w:eastAsia="Arial" w:hAnsi="Arial"/>
                <w:sz w:val="14"/>
                <w:szCs w:val="14"/>
                <w:b w:val="1"/>
                <w:bCs w:val="1"/>
                <w:color w:val="auto"/>
                <w:w w:val="86"/>
              </w:rPr>
              <w:t>Obligation</w:t>
            </w:r>
          </w:p>
        </w:tc>
        <w:tc>
          <w:tcPr>
            <w:tcW w:w="80" w:type="dxa"/>
            <w:vAlign w:val="bottom"/>
          </w:tcPr>
          <w:p>
            <w:pPr>
              <w:spacing w:after="0"/>
              <w:rPr>
                <w:sz w:val="13"/>
                <w:szCs w:val="13"/>
                <w:color w:val="auto"/>
              </w:rPr>
            </w:pPr>
          </w:p>
        </w:tc>
        <w:tc>
          <w:tcPr>
            <w:tcW w:w="64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rPr>
              <w:t>GLA</w:t>
            </w:r>
          </w:p>
        </w:tc>
        <w:tc>
          <w:tcPr>
            <w:tcW w:w="680" w:type="dxa"/>
            <w:vAlign w:val="bottom"/>
            <w:gridSpan w:val="3"/>
          </w:tcPr>
          <w:p>
            <w:pPr>
              <w:jc w:val="center"/>
              <w:ind w:right="200"/>
              <w:spacing w:after="0" w:line="148" w:lineRule="exact"/>
              <w:rPr>
                <w:sz w:val="20"/>
                <w:szCs w:val="20"/>
                <w:color w:val="auto"/>
              </w:rPr>
            </w:pPr>
            <w:r>
              <w:rPr>
                <w:rFonts w:ascii="Arial" w:cs="Arial" w:eastAsia="Arial" w:hAnsi="Arial"/>
                <w:sz w:val="14"/>
                <w:szCs w:val="14"/>
                <w:b w:val="1"/>
                <w:bCs w:val="1"/>
                <w:color w:val="auto"/>
                <w:w w:val="82"/>
              </w:rPr>
              <w:t>Leased</w:t>
            </w:r>
          </w:p>
        </w:tc>
        <w:tc>
          <w:tcPr>
            <w:tcW w:w="5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(1)</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8"/>
              </w:rPr>
              <w:t>Anchor (1)</w:t>
            </w:r>
          </w:p>
        </w:tc>
        <w:tc>
          <w:tcPr>
            <w:tcW w:w="100" w:type="dxa"/>
            <w:vAlign w:val="bottom"/>
          </w:tcPr>
          <w:p>
            <w:pPr>
              <w:spacing w:after="0"/>
              <w:rPr>
                <w:sz w:val="13"/>
                <w:szCs w:val="13"/>
                <w:color w:val="auto"/>
              </w:rPr>
            </w:pPr>
          </w:p>
        </w:tc>
        <w:tc>
          <w:tcPr>
            <w:tcW w:w="1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4"/>
                <w:szCs w:val="14"/>
                <w:b w:val="1"/>
                <w:bCs w:val="1"/>
                <w:color w:val="auto"/>
                <w:w w:val="82"/>
              </w:rPr>
              <w:t>(in thousands)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Borders>
              <w:top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w w:val="82"/>
              </w:rPr>
              <w:t>(in thousands)</w:t>
            </w:r>
          </w:p>
        </w:tc>
        <w:tc>
          <w:tcPr>
            <w:tcW w:w="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East Region</w:t>
            </w:r>
          </w:p>
        </w:tc>
        <w:tc>
          <w:tcPr>
            <w:tcW w:w="1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40" w:type="dxa"/>
            <w:vAlign w:val="bottom"/>
          </w:tcPr>
          <w:p>
            <w:pPr>
              <w:spacing w:after="0" w:line="201" w:lineRule="exact"/>
              <w:rPr>
                <w:sz w:val="20"/>
                <w:szCs w:val="20"/>
                <w:color w:val="auto"/>
              </w:rPr>
            </w:pPr>
            <w:r>
              <w:rPr>
                <w:rFonts w:ascii="Arial" w:cs="Arial" w:eastAsia="Arial" w:hAnsi="Arial"/>
                <w:sz w:val="18"/>
                <w:szCs w:val="18"/>
                <w:b w:val="1"/>
                <w:bCs w:val="1"/>
                <w:color w:val="auto"/>
                <w:w w:val="93"/>
              </w:rPr>
              <w:t>Washington Metropolitan</w:t>
            </w: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40" w:type="dxa"/>
            <w:vAlign w:val="bottom"/>
          </w:tcPr>
          <w:p>
            <w:pPr>
              <w:ind w:left="220"/>
              <w:spacing w:after="0"/>
              <w:rPr>
                <w:sz w:val="20"/>
                <w:szCs w:val="20"/>
                <w:color w:val="auto"/>
              </w:rPr>
            </w:pPr>
            <w:r>
              <w:rPr>
                <w:rFonts w:ascii="Arial" w:cs="Arial" w:eastAsia="Arial" w:hAnsi="Arial"/>
                <w:sz w:val="18"/>
                <w:szCs w:val="18"/>
                <w:b w:val="1"/>
                <w:bCs w:val="1"/>
                <w:color w:val="auto"/>
              </w:rPr>
              <w:t>Area</w:t>
            </w: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Barcroft Plaza</w:t>
            </w:r>
          </w:p>
        </w:tc>
        <w:tc>
          <w:tcPr>
            <w:tcW w:w="2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7"/>
              </w:rPr>
              <w:t>Washington, DC-MD-VA</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2006-</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33,900</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20,785</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8"/>
              </w:rPr>
              <w:t>100,000</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5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7"/>
              </w:rPr>
              <w:t>46,000</w:t>
            </w:r>
          </w:p>
        </w:tc>
        <w:tc>
          <w:tcPr>
            <w:tcW w:w="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85"/>
              </w:rPr>
              <w:t>Harris Teeter</w:t>
            </w: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Bank of America</w:t>
            </w:r>
          </w:p>
        </w:tc>
        <w:tc>
          <w:tcPr>
            <w:tcW w:w="0" w:type="dxa"/>
            <w:vAlign w:val="bottom"/>
          </w:tcPr>
          <w:p>
            <w:pPr>
              <w:spacing w:after="0"/>
              <w:rPr>
                <w:sz w:val="1"/>
                <w:szCs w:val="1"/>
                <w:color w:val="auto"/>
              </w:rPr>
            </w:pPr>
          </w:p>
        </w:tc>
      </w:tr>
      <w:tr>
        <w:trPr>
          <w:trHeight w:val="224"/>
        </w:trPr>
        <w:tc>
          <w:tcPr>
            <w:tcW w:w="2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2007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w w:val="90"/>
              </w:rPr>
              <w:t>Free State Shopping Center</w:t>
            </w:r>
          </w:p>
        </w:tc>
        <w:tc>
          <w:tcPr>
            <w:tcW w:w="2020" w:type="dxa"/>
            <w:vAlign w:val="bottom"/>
            <w:gridSpan w:val="2"/>
          </w:tcPr>
          <w:p>
            <w:pPr>
              <w:ind w:left="100"/>
              <w:spacing w:after="0"/>
              <w:rPr>
                <w:sz w:val="20"/>
                <w:szCs w:val="20"/>
                <w:color w:val="auto"/>
              </w:rPr>
            </w:pPr>
            <w:r>
              <w:rPr>
                <w:rFonts w:ascii="Arial" w:cs="Arial" w:eastAsia="Arial" w:hAnsi="Arial"/>
                <w:sz w:val="18"/>
                <w:szCs w:val="18"/>
                <w:color w:val="auto"/>
                <w:w w:val="97"/>
              </w:rPr>
              <w:t>Washington, DC-MD-VA</w:t>
            </w: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2007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65,805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w w:val="98"/>
              </w:rPr>
              <w:t>279,000</w:t>
            </w: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100%</w:t>
            </w:r>
          </w:p>
        </w:tc>
        <w:tc>
          <w:tcPr>
            <w:tcW w:w="54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73,000</w:t>
            </w:r>
          </w:p>
        </w:tc>
        <w:tc>
          <w:tcPr>
            <w:tcW w:w="960" w:type="dxa"/>
            <w:vAlign w:val="bottom"/>
            <w:gridSpan w:val="2"/>
          </w:tcPr>
          <w:p>
            <w:pPr>
              <w:ind w:left="40"/>
              <w:spacing w:after="0"/>
              <w:rPr>
                <w:sz w:val="20"/>
                <w:szCs w:val="20"/>
                <w:color w:val="auto"/>
              </w:rPr>
            </w:pPr>
            <w:r>
              <w:rPr>
                <w:rFonts w:ascii="Arial" w:cs="Arial" w:eastAsia="Arial" w:hAnsi="Arial"/>
                <w:sz w:val="18"/>
                <w:szCs w:val="18"/>
                <w:color w:val="auto"/>
              </w:rPr>
              <w:t>Giant Food</w:t>
            </w: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Plaza del Mercado</w:t>
            </w:r>
          </w:p>
        </w:tc>
        <w:tc>
          <w:tcPr>
            <w:tcW w:w="2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7"/>
              </w:rPr>
              <w:t>Washington, DC-MD-VA</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2004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13,325</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96,000</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99%</w:t>
            </w:r>
          </w:p>
        </w:tc>
        <w:tc>
          <w:tcPr>
            <w:tcW w:w="5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7"/>
              </w:rPr>
              <w:t>25,000</w:t>
            </w:r>
          </w:p>
        </w:tc>
        <w:tc>
          <w:tcPr>
            <w:tcW w:w="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Giant Food</w:t>
            </w: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CVS</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202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Total Washington</w:t>
            </w: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40" w:type="dxa"/>
            <w:vAlign w:val="bottom"/>
          </w:tcPr>
          <w:p>
            <w:pPr>
              <w:spacing w:after="0"/>
              <w:rPr>
                <w:sz w:val="18"/>
                <w:szCs w:val="18"/>
                <w:color w:val="auto"/>
              </w:rPr>
            </w:pPr>
          </w:p>
        </w:tc>
        <w:tc>
          <w:tcPr>
            <w:tcW w:w="20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120,433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475,000</w:t>
            </w: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99%</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40" w:type="dxa"/>
            <w:vAlign w:val="bottom"/>
          </w:tcPr>
          <w:p>
            <w:pPr>
              <w:spacing w:after="0"/>
              <w:rPr>
                <w:sz w:val="19"/>
                <w:szCs w:val="19"/>
                <w:color w:val="auto"/>
              </w:rPr>
            </w:pPr>
          </w:p>
        </w:tc>
        <w:tc>
          <w:tcPr>
            <w:tcW w:w="2020" w:type="dxa"/>
            <w:vAlign w:val="bottom"/>
            <w:gridSpan w:val="2"/>
          </w:tcPr>
          <w:p>
            <w:pPr>
              <w:ind w:left="100"/>
              <w:spacing w:after="0"/>
              <w:rPr>
                <w:sz w:val="20"/>
                <w:szCs w:val="20"/>
                <w:color w:val="auto"/>
              </w:rPr>
            </w:pPr>
            <w:r>
              <w:rPr>
                <w:rFonts w:ascii="Arial" w:cs="Arial" w:eastAsia="Arial" w:hAnsi="Arial"/>
                <w:sz w:val="18"/>
                <w:szCs w:val="18"/>
                <w:b w:val="1"/>
                <w:bCs w:val="1"/>
                <w:color w:val="auto"/>
              </w:rPr>
              <w:t>Metropolitan Area</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New York / New Jersey</w:t>
            </w:r>
          </w:p>
        </w:tc>
        <w:tc>
          <w:tcPr>
            <w:tcW w:w="1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Greenlawn Plaza</w:t>
            </w:r>
          </w:p>
        </w:tc>
        <w:tc>
          <w:tcPr>
            <w:tcW w:w="2020" w:type="dxa"/>
            <w:vAlign w:val="bottom"/>
            <w:gridSpan w:val="2"/>
          </w:tcPr>
          <w:p>
            <w:pPr>
              <w:ind w:left="100"/>
              <w:spacing w:after="0"/>
              <w:rPr>
                <w:sz w:val="20"/>
                <w:szCs w:val="20"/>
                <w:color w:val="auto"/>
              </w:rPr>
            </w:pPr>
            <w:r>
              <w:rPr>
                <w:rFonts w:ascii="Arial" w:cs="Arial" w:eastAsia="Arial" w:hAnsi="Arial"/>
                <w:sz w:val="18"/>
                <w:szCs w:val="18"/>
                <w:color w:val="auto"/>
              </w:rPr>
              <w:t>Nassau-Suffolk, NY</w:t>
            </w: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2006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19,850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13,600</w:t>
            </w: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106,000</w:t>
            </w: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100%</w:t>
            </w:r>
          </w:p>
        </w:tc>
        <w:tc>
          <w:tcPr>
            <w:tcW w:w="54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46,000</w:t>
            </w:r>
          </w:p>
        </w:tc>
        <w:tc>
          <w:tcPr>
            <w:tcW w:w="960" w:type="dxa"/>
            <w:vAlign w:val="bottom"/>
            <w:gridSpan w:val="2"/>
          </w:tcPr>
          <w:p>
            <w:pPr>
              <w:ind w:left="40"/>
              <w:spacing w:after="0"/>
              <w:rPr>
                <w:sz w:val="20"/>
                <w:szCs w:val="20"/>
                <w:color w:val="auto"/>
              </w:rPr>
            </w:pPr>
            <w:r>
              <w:rPr>
                <w:rFonts w:ascii="Arial" w:cs="Arial" w:eastAsia="Arial" w:hAnsi="Arial"/>
                <w:sz w:val="18"/>
                <w:szCs w:val="18"/>
                <w:color w:val="auto"/>
                <w:w w:val="90"/>
              </w:rPr>
              <w:t>Waldbaum’s</w:t>
            </w:r>
          </w:p>
        </w:tc>
        <w:tc>
          <w:tcPr>
            <w:tcW w:w="10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Tuesday Morning</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40" w:type="dxa"/>
            <w:vAlign w:val="bottom"/>
            <w:shd w:val="clear" w:color="auto" w:fill="CCEEFF"/>
          </w:tcPr>
          <w:p>
            <w:pPr>
              <w:spacing w:after="0"/>
              <w:rPr>
                <w:sz w:val="17"/>
                <w:szCs w:val="17"/>
                <w:color w:val="auto"/>
              </w:rPr>
            </w:pPr>
          </w:p>
        </w:tc>
        <w:tc>
          <w:tcPr>
            <w:tcW w:w="202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b w:val="1"/>
                <w:bCs w:val="1"/>
                <w:color w:val="auto"/>
              </w:rPr>
              <w:t>Total New York / New</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19,850</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w w:val="86"/>
              </w:rPr>
              <w:t>106,000</w:t>
            </w:r>
          </w:p>
        </w:tc>
        <w:tc>
          <w:tcPr>
            <w:tcW w:w="680" w:type="dxa"/>
            <w:vAlign w:val="bottom"/>
            <w:gridSpan w:val="3"/>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100%</w:t>
            </w: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spacing w:after="0"/>
              <w:rPr>
                <w:sz w:val="20"/>
                <w:szCs w:val="20"/>
                <w:color w:val="auto"/>
              </w:rPr>
            </w:pPr>
          </w:p>
        </w:tc>
        <w:tc>
          <w:tcPr>
            <w:tcW w:w="202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Jersey</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New England</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Atlantic Plaza</w:t>
            </w:r>
          </w:p>
        </w:tc>
        <w:tc>
          <w:tcPr>
            <w:tcW w:w="2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Boston-Worcester-</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2004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16,332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8"/>
              </w:rPr>
              <w:t>123,000</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5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7"/>
              </w:rPr>
              <w:t>63,000</w:t>
            </w:r>
          </w:p>
        </w:tc>
        <w:tc>
          <w:tcPr>
            <w:tcW w:w="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Shaw’s</w:t>
            </w: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Sears</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Lawrence-Lowell-</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87"/>
              </w:rPr>
              <w:t>Supermarket</w:t>
            </w: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4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Brockton, MA</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40" w:type="dxa"/>
            <w:vAlign w:val="bottom"/>
          </w:tcPr>
          <w:p>
            <w:pPr>
              <w:spacing w:after="0"/>
              <w:rPr>
                <w:sz w:val="20"/>
                <w:szCs w:val="20"/>
                <w:color w:val="auto"/>
              </w:rPr>
            </w:pPr>
            <w:r>
              <w:rPr>
                <w:rFonts w:ascii="Arial" w:cs="Arial" w:eastAsia="Arial" w:hAnsi="Arial"/>
                <w:sz w:val="18"/>
                <w:szCs w:val="18"/>
                <w:color w:val="auto"/>
              </w:rPr>
              <w:t>Campus Plaza</w:t>
            </w:r>
          </w:p>
        </w:tc>
        <w:tc>
          <w:tcPr>
            <w:tcW w:w="2020" w:type="dxa"/>
            <w:vAlign w:val="bottom"/>
            <w:gridSpan w:val="2"/>
          </w:tcPr>
          <w:p>
            <w:pPr>
              <w:ind w:left="100"/>
              <w:spacing w:after="0"/>
              <w:rPr>
                <w:sz w:val="20"/>
                <w:szCs w:val="20"/>
                <w:color w:val="auto"/>
              </w:rPr>
            </w:pPr>
            <w:r>
              <w:rPr>
                <w:rFonts w:ascii="Arial" w:cs="Arial" w:eastAsia="Arial" w:hAnsi="Arial"/>
                <w:sz w:val="18"/>
                <w:szCs w:val="18"/>
                <w:color w:val="auto"/>
              </w:rPr>
              <w:t>Boston-Worcester-</w:t>
            </w: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2004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22,101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11,000</w:t>
            </w: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w w:val="98"/>
              </w:rPr>
              <w:t>116,000</w:t>
            </w: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100%</w:t>
            </w:r>
          </w:p>
        </w:tc>
        <w:tc>
          <w:tcPr>
            <w:tcW w:w="54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46,000</w:t>
            </w:r>
          </w:p>
        </w:tc>
        <w:tc>
          <w:tcPr>
            <w:tcW w:w="960" w:type="dxa"/>
            <w:vAlign w:val="bottom"/>
            <w:gridSpan w:val="2"/>
          </w:tcPr>
          <w:p>
            <w:pPr>
              <w:ind w:left="40"/>
              <w:spacing w:after="0"/>
              <w:rPr>
                <w:sz w:val="20"/>
                <w:szCs w:val="20"/>
                <w:color w:val="auto"/>
              </w:rPr>
            </w:pPr>
            <w:r>
              <w:rPr>
                <w:rFonts w:ascii="Arial" w:cs="Arial" w:eastAsia="Arial" w:hAnsi="Arial"/>
                <w:sz w:val="18"/>
                <w:szCs w:val="18"/>
                <w:color w:val="auto"/>
              </w:rPr>
              <w:t>Roche</w:t>
            </w:r>
          </w:p>
        </w:tc>
        <w:tc>
          <w:tcPr>
            <w:tcW w:w="10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8"/>
                <w:szCs w:val="18"/>
                <w:color w:val="auto"/>
                <w:w w:val="98"/>
              </w:rPr>
              <w:t>Burlington Coat Factory</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20" w:type="dxa"/>
            <w:vAlign w:val="bottom"/>
            <w:gridSpan w:val="2"/>
          </w:tcPr>
          <w:p>
            <w:pPr>
              <w:ind w:left="100"/>
              <w:spacing w:after="0"/>
              <w:rPr>
                <w:sz w:val="20"/>
                <w:szCs w:val="20"/>
                <w:color w:val="auto"/>
              </w:rPr>
            </w:pPr>
            <w:r>
              <w:rPr>
                <w:rFonts w:ascii="Arial" w:cs="Arial" w:eastAsia="Arial" w:hAnsi="Arial"/>
                <w:sz w:val="18"/>
                <w:szCs w:val="18"/>
                <w:color w:val="auto"/>
              </w:rPr>
              <w:t>Lawrence-Lowell-</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8"/>
                <w:szCs w:val="18"/>
                <w:color w:val="auto"/>
              </w:rPr>
              <w:t>Brothers</w:t>
            </w: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40" w:type="dxa"/>
            <w:vAlign w:val="bottom"/>
          </w:tcPr>
          <w:p>
            <w:pPr>
              <w:spacing w:after="0"/>
              <w:rPr>
                <w:sz w:val="19"/>
                <w:szCs w:val="19"/>
                <w:color w:val="auto"/>
              </w:rPr>
            </w:pPr>
          </w:p>
        </w:tc>
        <w:tc>
          <w:tcPr>
            <w:tcW w:w="2020" w:type="dxa"/>
            <w:vAlign w:val="bottom"/>
            <w:gridSpan w:val="2"/>
          </w:tcPr>
          <w:p>
            <w:pPr>
              <w:ind w:left="100"/>
              <w:spacing w:after="0"/>
              <w:rPr>
                <w:sz w:val="20"/>
                <w:szCs w:val="20"/>
                <w:color w:val="auto"/>
              </w:rPr>
            </w:pPr>
            <w:r>
              <w:rPr>
                <w:rFonts w:ascii="Arial" w:cs="Arial" w:eastAsia="Arial" w:hAnsi="Arial"/>
                <w:sz w:val="18"/>
                <w:szCs w:val="18"/>
                <w:color w:val="auto"/>
              </w:rPr>
              <w:t>Brockton, MA</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Pleasant Shops</w:t>
            </w:r>
          </w:p>
        </w:tc>
        <w:tc>
          <w:tcPr>
            <w:tcW w:w="2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Boston-Worcester-</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2004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22,687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12,400</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8"/>
              </w:rPr>
              <w:t>130,000</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93%</w:t>
            </w:r>
          </w:p>
        </w:tc>
        <w:tc>
          <w:tcPr>
            <w:tcW w:w="5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7"/>
              </w:rPr>
              <w:t>38,000</w:t>
            </w:r>
          </w:p>
        </w:tc>
        <w:tc>
          <w:tcPr>
            <w:tcW w:w="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3"/>
              </w:rPr>
              <w:t>Foodmaster</w:t>
            </w: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Marshalls</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Lawrence-Lowell-</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4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Brockton, MA</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40" w:type="dxa"/>
            <w:vAlign w:val="bottom"/>
          </w:tcPr>
          <w:p>
            <w:pPr>
              <w:spacing w:after="0"/>
              <w:rPr>
                <w:sz w:val="19"/>
                <w:szCs w:val="19"/>
                <w:color w:val="auto"/>
              </w:rPr>
            </w:pPr>
          </w:p>
        </w:tc>
        <w:tc>
          <w:tcPr>
            <w:tcW w:w="202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 New England</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61,120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369,000</w:t>
            </w: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98%</w:t>
            </w: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Total East Region</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201,403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950,000</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99%</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40" w:type="dxa"/>
            <w:vAlign w:val="bottom"/>
            <w:vMerge w:val="restart"/>
          </w:tcPr>
          <w:p>
            <w:pPr>
              <w:spacing w:after="0"/>
              <w:rPr>
                <w:sz w:val="20"/>
                <w:szCs w:val="20"/>
                <w:color w:val="auto"/>
              </w:rPr>
            </w:pPr>
            <w:r>
              <w:rPr>
                <w:rFonts w:ascii="Arial" w:cs="Arial" w:eastAsia="Arial" w:hAnsi="Arial"/>
                <w:sz w:val="18"/>
                <w:szCs w:val="18"/>
                <w:color w:val="auto"/>
              </w:rPr>
              <w:t>Grand Totals</w:t>
            </w: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201,403</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81,610</w:t>
            </w: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w w:val="98"/>
              </w:rPr>
              <w:t>950,000</w:t>
            </w: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99%</w:t>
            </w: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w:t>
      </w:r>
    </w:p>
    <w:p>
      <w:pPr>
        <w:spacing w:after="0" w:line="90" w:lineRule="exact"/>
        <w:rPr>
          <w:sz w:val="20"/>
          <w:szCs w:val="20"/>
          <w:color w:val="auto"/>
        </w:rPr>
      </w:pPr>
    </w:p>
    <w:p>
      <w:pPr>
        <w:ind w:left="5620" w:right="5260" w:hanging="5612"/>
        <w:spacing w:after="0" w:line="408" w:lineRule="auto"/>
        <w:tabs>
          <w:tab w:leader="none" w:pos="448" w:val="left"/>
        </w:tabs>
        <w:numPr>
          <w:ilvl w:val="0"/>
          <w:numId w:val="27"/>
        </w:numPr>
        <w:rPr>
          <w:rFonts w:ascii="Arial" w:cs="Arial" w:eastAsia="Arial" w:hAnsi="Arial"/>
          <w:sz w:val="15"/>
          <w:szCs w:val="15"/>
          <w:color w:val="auto"/>
        </w:rPr>
      </w:pPr>
      <w:r>
        <w:rPr>
          <w:rFonts w:ascii="Arial" w:cs="Arial" w:eastAsia="Arial" w:hAnsi="Arial"/>
          <w:sz w:val="15"/>
          <w:szCs w:val="15"/>
          <w:color w:val="auto"/>
        </w:rPr>
        <w:t>Grocery anchor is defined as a grocery tenant leasing 15,000 square feet or more. 29</w:t>
      </w:r>
    </w:p>
    <w:p>
      <w:pPr>
        <w:sectPr>
          <w:pgSz w:w="11900" w:h="16838" w:orient="portrait"/>
          <w:cols w:equalWidth="0" w:num="1">
            <w:col w:w="11420"/>
          </w:cols>
          <w:pgMar w:left="240" w:top="274"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Glossary of Terms</w:t>
      </w:r>
    </w:p>
    <w:p>
      <w:pPr>
        <w:spacing w:after="0" w:line="171"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b w:val="1"/>
          <w:bCs w:val="1"/>
          <w:color w:val="auto"/>
        </w:rPr>
        <w:t>Adjusted EBITDA</w:t>
      </w:r>
      <w:r>
        <w:rPr>
          <w:rFonts w:ascii="Arial" w:cs="Arial" w:eastAsia="Arial" w:hAnsi="Arial"/>
          <w:sz w:val="16"/>
          <w:szCs w:val="16"/>
          <w:color w:val="auto"/>
        </w:rPr>
        <w:t>: Adjusted EBITDA is a non-GAAP measure that means net income or loss plus depreciation and amortization, net interest expense, income</w:t>
      </w:r>
      <w:r>
        <w:rPr>
          <w:rFonts w:ascii="Arial" w:cs="Arial" w:eastAsia="Arial" w:hAnsi="Arial"/>
          <w:sz w:val="16"/>
          <w:szCs w:val="16"/>
          <w:b w:val="1"/>
          <w:bCs w:val="1"/>
          <w:color w:val="auto"/>
        </w:rPr>
        <w:t xml:space="preserve"> </w:t>
      </w:r>
      <w:r>
        <w:rPr>
          <w:rFonts w:ascii="Arial" w:cs="Arial" w:eastAsia="Arial" w:hAnsi="Arial"/>
          <w:sz w:val="16"/>
          <w:szCs w:val="16"/>
          <w:color w:val="auto"/>
        </w:rPr>
        <w:t>taxes, gain or loss on sale of real estate and impairments of real estate, if any. Adjusted EBITDA is presented because we believe that it provides useful information to investors regarding our ability to service debt and because it approximates a key covenant in material notes. Adjusted EBITDA should not be considered an alternative measure of operating results or cash flow from operations as determined in accordance with GAAP. The reconciliation of Adjusted EBITDA, to net income for the three and six months ended June 30, 2007 and 2006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168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6"/>
              </w:rPr>
              <w:t>For the Three Months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8"/>
              </w:rPr>
              <w:t>For the Six Months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900" w:type="dxa"/>
            <w:vAlign w:val="bottom"/>
          </w:tcPr>
          <w:p>
            <w:pPr>
              <w:spacing w:after="0"/>
              <w:rPr>
                <w:sz w:val="15"/>
                <w:szCs w:val="15"/>
                <w:color w:val="auto"/>
              </w:rPr>
            </w:pPr>
          </w:p>
        </w:tc>
        <w:tc>
          <w:tcPr>
            <w:tcW w:w="16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Ended June 30,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5"/>
              </w:rPr>
              <w:t>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0"/>
              <w:spacing w:after="0" w:line="143" w:lineRule="exact"/>
              <w:rPr>
                <w:sz w:val="20"/>
                <w:szCs w:val="20"/>
                <w:color w:val="auto"/>
              </w:rPr>
            </w:pPr>
            <w:r>
              <w:rPr>
                <w:rFonts w:ascii="Arial" w:cs="Arial" w:eastAsia="Arial" w:hAnsi="Arial"/>
                <w:sz w:val="14"/>
                <w:szCs w:val="14"/>
                <w:b w:val="1"/>
                <w:bCs w:val="1"/>
                <w:color w:val="auto"/>
              </w:rPr>
              <w:t>2007</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9"/>
              <w:spacing w:after="0" w:line="143" w:lineRule="exact"/>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20"/>
              <w:spacing w:after="0" w:line="143" w:lineRule="exact"/>
              <w:rPr>
                <w:sz w:val="20"/>
                <w:szCs w:val="20"/>
                <w:color w:val="auto"/>
              </w:rPr>
            </w:pPr>
            <w:r>
              <w:rPr>
                <w:rFonts w:ascii="Arial" w:cs="Arial" w:eastAsia="Arial" w:hAnsi="Arial"/>
                <w:sz w:val="14"/>
                <w:szCs w:val="14"/>
                <w:b w:val="1"/>
                <w:bCs w:val="1"/>
                <w:color w:val="auto"/>
              </w:rPr>
              <w:t>2007</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3"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940" w:type="dxa"/>
            <w:vAlign w:val="bottom"/>
            <w:gridSpan w:val="3"/>
          </w:tcPr>
          <w:p>
            <w:pPr>
              <w:jc w:val="right"/>
              <w:ind w:right="279"/>
              <w:spacing w:after="0" w:line="142" w:lineRule="exact"/>
              <w:rPr>
                <w:sz w:val="20"/>
                <w:szCs w:val="20"/>
                <w:color w:val="auto"/>
              </w:rPr>
            </w:pPr>
            <w:r>
              <w:rPr>
                <w:rFonts w:ascii="Arial" w:cs="Arial" w:eastAsia="Arial" w:hAnsi="Arial"/>
                <w:sz w:val="14"/>
                <w:szCs w:val="14"/>
                <w:b w:val="1"/>
                <w:bCs w:val="1"/>
                <w:color w:val="auto"/>
                <w:w w:val="74"/>
              </w:rPr>
              <w:t>thousands)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5"/>
          </w:tcPr>
          <w:p>
            <w:pPr>
              <w:jc w:val="center"/>
              <w:ind w:right="18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$26,718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$ 38,256</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49,854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580" w:type="dxa"/>
            <w:vAlign w:val="bottom"/>
          </w:tcPr>
          <w:p>
            <w:pPr>
              <w:jc w:val="right"/>
              <w:spacing w:after="0"/>
              <w:rPr>
                <w:sz w:val="20"/>
                <w:szCs w:val="20"/>
                <w:color w:val="auto"/>
              </w:rPr>
            </w:pPr>
            <w:r>
              <w:rPr>
                <w:rFonts w:ascii="Arial" w:cs="Arial" w:eastAsia="Arial" w:hAnsi="Arial"/>
                <w:sz w:val="18"/>
                <w:szCs w:val="18"/>
                <w:color w:val="auto"/>
              </w:rPr>
              <w:t>26,902</w:t>
            </w: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24,302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53,386</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48,339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59,219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Other interest income</w:t>
            </w:r>
          </w:p>
        </w:tc>
        <w:tc>
          <w:tcPr>
            <w:tcW w:w="760" w:type="dxa"/>
            <w:vAlign w:val="bottom"/>
            <w:gridSpan w:val="2"/>
          </w:tcPr>
          <w:p>
            <w:pPr>
              <w:jc w:val="right"/>
              <w:ind w:right="52"/>
              <w:spacing w:after="0"/>
              <w:rPr>
                <w:sz w:val="20"/>
                <w:szCs w:val="20"/>
                <w:color w:val="auto"/>
              </w:rPr>
            </w:pPr>
            <w:r>
              <w:rPr>
                <w:rFonts w:ascii="Arial" w:cs="Arial" w:eastAsia="Arial" w:hAnsi="Arial"/>
                <w:sz w:val="18"/>
                <w:szCs w:val="18"/>
                <w:color w:val="auto"/>
              </w:rPr>
              <w:t>(332)</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86,967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161,770</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166,039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(Gain) on sale of real estate</w:t>
            </w:r>
          </w:p>
        </w:tc>
        <w:tc>
          <w:tcPr>
            <w:tcW w:w="760" w:type="dxa"/>
            <w:vAlign w:val="bottom"/>
            <w:gridSpan w:val="2"/>
          </w:tcPr>
          <w:p>
            <w:pPr>
              <w:jc w:val="right"/>
              <w:ind w:right="52"/>
              <w:spacing w:after="0"/>
              <w:rPr>
                <w:sz w:val="20"/>
                <w:szCs w:val="20"/>
                <w:color w:val="auto"/>
              </w:rPr>
            </w:pPr>
            <w:r>
              <w:rPr>
                <w:rFonts w:ascii="Arial" w:cs="Arial" w:eastAsia="Arial" w:hAnsi="Arial"/>
                <w:sz w:val="18"/>
                <w:szCs w:val="18"/>
                <w:color w:val="auto"/>
              </w:rPr>
              <w:t>(1,849)</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(15,034)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(1,849)</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(23,771)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81,175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$ 71,933</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159,921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142,268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b w:val="1"/>
          <w:bCs w:val="1"/>
          <w:color w:val="auto"/>
        </w:rPr>
        <w:t xml:space="preserve">Funds From Operations (FFO): </w:t>
      </w:r>
      <w:r>
        <w:rPr>
          <w:rFonts w:ascii="Arial" w:cs="Arial" w:eastAsia="Arial" w:hAnsi="Arial"/>
          <w:sz w:val="16"/>
          <w:szCs w:val="16"/>
          <w:color w:val="auto"/>
        </w:rPr>
        <w:t>FFO is a supplemental measure of real estate companies’ operating performances. The National Association of Real Estate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Trusts (“NAREIT”) defines FFO as follows: income available for common shareholders before depreciation and amortization of real estate assets and excluding extraordinary items and gains and losses on sale of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because it primarily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115"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color w:val="auto"/>
        </w:rPr>
        <w:t xml:space="preserve">Property Operating Income: </w:t>
      </w:r>
      <w:r>
        <w:rPr>
          <w:rFonts w:ascii="Arial" w:cs="Arial" w:eastAsia="Arial" w:hAnsi="Arial"/>
          <w:sz w:val="18"/>
          <w:szCs w:val="18"/>
          <w:color w:val="auto"/>
        </w:rPr>
        <w:t>Rental income, other property income and mortgage interest income, less rental expenses and real estate taxes and excluding</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results from discontinued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 Portfolio</w:t>
      </w:r>
      <w:r>
        <w:rPr>
          <w:rFonts w:ascii="Arial" w:cs="Arial" w:eastAsia="Arial" w:hAnsi="Arial"/>
          <w:sz w:val="18"/>
          <w:szCs w:val="18"/>
          <w:color w:val="auto"/>
        </w:rPr>
        <w:t>: Includes all operating properties owned in reporting period.</w:t>
      </w:r>
    </w:p>
    <w:p>
      <w:pPr>
        <w:spacing w:after="0" w:line="171"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b w:val="1"/>
          <w:bCs w:val="1"/>
          <w:color w:val="auto"/>
        </w:rPr>
        <w:t xml:space="preserve">Same Center: </w:t>
      </w:r>
      <w:r>
        <w:rPr>
          <w:rFonts w:ascii="Arial" w:cs="Arial" w:eastAsia="Arial" w:hAnsi="Arial"/>
          <w:sz w:val="18"/>
          <w:szCs w:val="18"/>
          <w:color w:val="auto"/>
        </w:rPr>
        <w:t>Information provided on a same center basis is provided for only those properties that were owned and operated for the entirety of both periods</w:t>
      </w:r>
      <w:r>
        <w:rPr>
          <w:rFonts w:ascii="Arial" w:cs="Arial" w:eastAsia="Arial" w:hAnsi="Arial"/>
          <w:sz w:val="18"/>
          <w:szCs w:val="18"/>
          <w:b w:val="1"/>
          <w:bCs w:val="1"/>
          <w:color w:val="auto"/>
        </w:rPr>
        <w:t xml:space="preserve"> </w:t>
      </w:r>
      <w:r>
        <w:rPr>
          <w:rFonts w:ascii="Arial" w:cs="Arial" w:eastAsia="Arial" w:hAnsi="Arial"/>
          <w:sz w:val="18"/>
          <w:szCs w:val="18"/>
          <w:color w:val="auto"/>
        </w:rPr>
        <w:t>being compared, excludes properties that were redeveloped, expanded or under development and properties purchased or sold at any time during the periods being compared.</w:t>
      </w:r>
    </w:p>
    <w:p>
      <w:pPr>
        <w:spacing w:after="0" w:line="13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color w:val="auto"/>
        </w:rPr>
        <w:t>Tenant Improvements and Incentives</w:t>
      </w:r>
      <w:r>
        <w:rPr>
          <w:rFonts w:ascii="Arial" w:cs="Arial" w:eastAsia="Arial" w:hAnsi="Arial"/>
          <w:sz w:val="18"/>
          <w:szCs w:val="18"/>
          <w:color w:val="auto"/>
        </w:rPr>
        <w:t>: Represents not only the total dollars committed for the improvement (fit-out) of a space as it relates to a specific lease</w:t>
      </w:r>
      <w:r>
        <w:rPr>
          <w:rFonts w:ascii="Arial" w:cs="Arial" w:eastAsia="Arial" w:hAnsi="Arial"/>
          <w:sz w:val="18"/>
          <w:szCs w:val="18"/>
          <w:b w:val="1"/>
          <w:bCs w:val="1"/>
          <w:color w:val="auto"/>
        </w:rPr>
        <w:t xml:space="preserve"> </w:t>
      </w:r>
      <w:r>
        <w:rPr>
          <w:rFonts w:ascii="Arial" w:cs="Arial" w:eastAsia="Arial" w:hAnsi="Arial"/>
          <w:sz w:val="18"/>
          <w:szCs w:val="18"/>
          <w:color w:val="auto"/>
        </w:rPr>
        <w:t>but may also include base building costs (i.e. expansion, escalators or new entrances) which are required to make the space leasable. Incentives include amounts paid to tenants as an inducement to sign a lease that do not represent building improvements.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1)"/>
      <w:numFmt w:val="lowerLetter"/>
      <w:start w:val="3"/>
    </w:lvl>
  </w:abstractNum>
  <w:abstractNum w:abstractNumId="2">
    <w:nsid w:val="1BEFD79F"/>
    <w:multiLevelType w:val="hybridMultilevel"/>
    <w:lvl w:ilvl="0">
      <w:lvlJc w:val="left"/>
      <w:lvlText w:val="%1."/>
      <w:numFmt w:val="decimal"/>
      <w:start w:val="3"/>
    </w:lvl>
  </w:abstractNum>
  <w:abstractNum w:abstractNumId="3">
    <w:nsid w:val="41A7C4C9"/>
    <w:multiLevelType w:val="hybridMultilevel"/>
    <w:lvl w:ilvl="0">
      <w:lvlJc w:val="left"/>
      <w:lvlText w:val="%1."/>
      <w:numFmt w:val="decimal"/>
      <w:start w:val="12"/>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lowerLetter"/>
      <w:start w:val="1"/>
    </w:lvl>
  </w:abstractNum>
  <w:abstractNum w:abstractNumId="12">
    <w:nsid w:val="62BBD95A"/>
    <w:multiLevelType w:val="hybridMultilevel"/>
    <w:lvl w:ilvl="0">
      <w:lvlJc w:val="left"/>
      <w:lvlText w:val="(%1)"/>
      <w:numFmt w:val="lowerLetter"/>
      <w:start w:val="3"/>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decimal"/>
      <w:start w:val="5"/>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
      <w:numFmt w:val="bullet"/>
      <w:start w:val="1"/>
    </w:lvl>
    <w:lvl w:ilvl="1">
      <w:lvlJc w:val="left"/>
      <w:lvlText w:val="(%2)"/>
      <w:numFmt w:val="decimal"/>
      <w:start w:val="21"/>
    </w:lvl>
  </w:abstractNum>
  <w:abstractNum w:abstractNumId="24">
    <w:nsid w:val="B03E0C6"/>
    <w:multiLevelType w:val="hybridMultilevel"/>
    <w:lvl w:ilvl="0">
      <w:lvlJc w:val="left"/>
      <w:lvlText w:val="(%1)"/>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2019-12-13T00:54:34Z</dcterms:created>
  <dcterms:modified xsi:type="dcterms:W3CDTF">2019-12-13T00:54:34Z</dcterms:modified>
</cp:coreProperties>
</file>