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74" w:lineRule="exact"/>
        <w:rPr>
          <w:sz w:val="24"/>
          <w:szCs w:val="24"/>
          <w:color w:val="auto"/>
        </w:rPr>
      </w:pPr>
    </w:p>
    <w:p>
      <w:pPr>
        <w:ind w:left="4140" w:right="2360" w:hanging="1666"/>
        <w:spacing w:after="0" w:line="254" w:lineRule="auto"/>
        <w:tabs>
          <w:tab w:leader="none" w:pos="2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the Section 13 or 15(d) of the Securities Exchange Act of 1934 For the fiscal year ended December 31, 2004</w:t>
      </w:r>
    </w:p>
    <w:p>
      <w:pPr>
        <w:ind w:left="562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ind w:left="2700" w:hanging="197"/>
        <w:spacing w:after="0"/>
        <w:tabs>
          <w:tab w:leader="none" w:pos="27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 w:lineRule="exact"/>
        <w:rPr>
          <w:sz w:val="24"/>
          <w:szCs w:val="24"/>
          <w:color w:val="auto"/>
        </w:rPr>
      </w:pPr>
    </w:p>
    <w:p>
      <w:pPr>
        <w:ind w:left="400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3898900</wp:posOffset>
            </wp:positionH>
            <wp:positionV relativeFrom="paragraph">
              <wp:posOffset>-22860</wp:posOffset>
            </wp:positionV>
            <wp:extent cx="81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Commission file number: 1-07533</w:t>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FEDERAL REALTY INVESTMENT TRUST</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Declaration of Trust)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2840" w:type="dxa"/>
            <w:vAlign w:val="bottom"/>
            <w:gridSpan w:val="2"/>
            <w:vMerge w:val="restart"/>
          </w:tcPr>
          <w:p>
            <w:pPr>
              <w:jc w:val="center"/>
              <w:ind w:right="1352"/>
              <w:spacing w:after="0"/>
              <w:rPr>
                <w:sz w:val="20"/>
                <w:szCs w:val="20"/>
                <w:color w:val="auto"/>
              </w:rPr>
            </w:pPr>
            <w:r>
              <w:rPr>
                <w:rFonts w:ascii="Arial" w:cs="Arial" w:eastAsia="Arial" w:hAnsi="Arial"/>
                <w:sz w:val="18"/>
                <w:szCs w:val="18"/>
                <w:color w:val="auto"/>
                <w:w w:val="94"/>
              </w:rPr>
              <w:t>Maryland</w:t>
            </w:r>
          </w:p>
        </w:tc>
        <w:tc>
          <w:tcPr>
            <w:tcW w:w="5560" w:type="dxa"/>
            <w:vAlign w:val="bottom"/>
            <w:gridSpan w:val="2"/>
          </w:tcPr>
          <w:p>
            <w:pPr>
              <w:jc w:val="right"/>
              <w:ind w:right="1262"/>
              <w:spacing w:after="0"/>
              <w:rPr>
                <w:sz w:val="20"/>
                <w:szCs w:val="20"/>
                <w:color w:val="auto"/>
              </w:rPr>
            </w:pPr>
            <w:r>
              <w:rPr>
                <w:rFonts w:ascii="Arial" w:cs="Arial" w:eastAsia="Arial" w:hAnsi="Arial"/>
                <w:sz w:val="18"/>
                <w:szCs w:val="18"/>
                <w:color w:val="auto"/>
              </w:rPr>
              <w:t>52-0782497</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2840" w:type="dxa"/>
            <w:vAlign w:val="bottom"/>
            <w:gridSpan w:val="2"/>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(IRS Employer Identification No.)</w:t>
            </w:r>
          </w:p>
        </w:tc>
        <w:tc>
          <w:tcPr>
            <w:tcW w:w="0" w:type="dxa"/>
            <w:vAlign w:val="bottom"/>
          </w:tcPr>
          <w:p>
            <w:pPr>
              <w:spacing w:after="0"/>
              <w:rPr>
                <w:sz w:val="1"/>
                <w:szCs w:val="1"/>
                <w:color w:val="auto"/>
              </w:rPr>
            </w:pPr>
          </w:p>
        </w:tc>
      </w:tr>
      <w:tr>
        <w:trPr>
          <w:trHeight w:val="93"/>
        </w:trPr>
        <w:tc>
          <w:tcPr>
            <w:tcW w:w="2100" w:type="dxa"/>
            <w:vAlign w:val="bottom"/>
          </w:tcPr>
          <w:p>
            <w:pPr>
              <w:spacing w:after="0"/>
              <w:rPr>
                <w:sz w:val="8"/>
                <w:szCs w:val="8"/>
                <w:color w:val="auto"/>
              </w:rPr>
            </w:pPr>
          </w:p>
        </w:tc>
        <w:tc>
          <w:tcPr>
            <w:tcW w:w="2840" w:type="dxa"/>
            <w:vAlign w:val="bottom"/>
            <w:gridSpan w:val="2"/>
            <w:vMerge w:val="restart"/>
          </w:tcPr>
          <w:p>
            <w:pPr>
              <w:jc w:val="center"/>
              <w:ind w:right="1352"/>
              <w:spacing w:after="0"/>
              <w:rPr>
                <w:sz w:val="20"/>
                <w:szCs w:val="20"/>
                <w:color w:val="auto"/>
              </w:rPr>
            </w:pPr>
            <w:r>
              <w:rPr>
                <w:rFonts w:ascii="Arial" w:cs="Arial" w:eastAsia="Arial" w:hAnsi="Arial"/>
                <w:sz w:val="14"/>
                <w:szCs w:val="14"/>
                <w:b w:val="1"/>
                <w:bCs w:val="1"/>
                <w:color w:val="auto"/>
                <w:w w:val="89"/>
              </w:rPr>
              <w:t>(State of Organization)</w:t>
            </w:r>
          </w:p>
        </w:tc>
        <w:tc>
          <w:tcPr>
            <w:tcW w:w="204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2840" w:type="dxa"/>
            <w:vAlign w:val="bottom"/>
            <w:gridSpan w:val="2"/>
            <w:vMerge w:val="continue"/>
          </w:tcPr>
          <w:p>
            <w:pPr>
              <w:spacing w:after="0"/>
              <w:rPr>
                <w:sz w:val="7"/>
                <w:szCs w:val="7"/>
                <w:color w:val="auto"/>
              </w:rPr>
            </w:pPr>
          </w:p>
        </w:tc>
        <w:tc>
          <w:tcPr>
            <w:tcW w:w="5560" w:type="dxa"/>
            <w:vAlign w:val="bottom"/>
            <w:gridSpan w:val="2"/>
            <w:vMerge w:val="restart"/>
          </w:tcPr>
          <w:p>
            <w:pPr>
              <w:jc w:val="right"/>
              <w:ind w:right="1462"/>
              <w:spacing w:after="0"/>
              <w:rPr>
                <w:sz w:val="20"/>
                <w:szCs w:val="20"/>
                <w:color w:val="auto"/>
              </w:rPr>
            </w:pPr>
            <w:r>
              <w:rPr>
                <w:rFonts w:ascii="Arial" w:cs="Arial" w:eastAsia="Arial" w:hAnsi="Arial"/>
                <w:sz w:val="18"/>
                <w:szCs w:val="18"/>
                <w:color w:val="auto"/>
              </w:rPr>
              <w:t>20852</w:t>
            </w:r>
          </w:p>
        </w:tc>
        <w:tc>
          <w:tcPr>
            <w:tcW w:w="0" w:type="dxa"/>
            <w:vAlign w:val="bottom"/>
          </w:tcPr>
          <w:p>
            <w:pPr>
              <w:spacing w:after="0"/>
              <w:rPr>
                <w:sz w:val="1"/>
                <w:szCs w:val="1"/>
                <w:color w:val="auto"/>
              </w:rPr>
            </w:pPr>
          </w:p>
        </w:tc>
      </w:tr>
      <w:tr>
        <w:trPr>
          <w:trHeight w:val="177"/>
        </w:trPr>
        <w:tc>
          <w:tcPr>
            <w:tcW w:w="4940" w:type="dxa"/>
            <w:vAlign w:val="bottom"/>
            <w:gridSpan w:val="3"/>
            <w:vMerge w:val="restart"/>
          </w:tcPr>
          <w:p>
            <w:pPr>
              <w:jc w:val="center"/>
              <w:ind w:left="595"/>
              <w:spacing w:after="0"/>
              <w:rPr>
                <w:sz w:val="20"/>
                <w:szCs w:val="20"/>
                <w:color w:val="auto"/>
              </w:rPr>
            </w:pPr>
            <w:r>
              <w:rPr>
                <w:rFonts w:ascii="Arial" w:cs="Arial" w:eastAsia="Arial" w:hAnsi="Arial"/>
                <w:sz w:val="18"/>
                <w:szCs w:val="18"/>
                <w:color w:val="auto"/>
                <w:w w:val="89"/>
              </w:rPr>
              <w:t>1626 East Jefferson Street, Rockville, Maryland</w:t>
            </w:r>
          </w:p>
        </w:tc>
        <w:tc>
          <w:tcPr>
            <w:tcW w:w="5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940" w:type="dxa"/>
            <w:vAlign w:val="bottom"/>
            <w:gridSpan w:val="3"/>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93"/>
        </w:trPr>
        <w:tc>
          <w:tcPr>
            <w:tcW w:w="4940" w:type="dxa"/>
            <w:vAlign w:val="bottom"/>
            <w:gridSpan w:val="3"/>
            <w:vMerge w:val="restart"/>
          </w:tcPr>
          <w:p>
            <w:pPr>
              <w:jc w:val="center"/>
              <w:ind w:left="595"/>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04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940" w:type="dxa"/>
            <w:vAlign w:val="bottom"/>
            <w:gridSpan w:val="3"/>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40" w:type="dxa"/>
            <w:vAlign w:val="bottom"/>
          </w:tcPr>
          <w:p>
            <w:pPr>
              <w:jc w:val="right"/>
              <w:ind w:right="632"/>
              <w:spacing w:after="0"/>
              <w:rPr>
                <w:sz w:val="20"/>
                <w:szCs w:val="20"/>
                <w:color w:val="auto"/>
              </w:rPr>
            </w:pPr>
            <w:r>
              <w:rPr>
                <w:rFonts w:ascii="Arial" w:cs="Arial" w:eastAsia="Arial" w:hAnsi="Arial"/>
                <w:sz w:val="18"/>
                <w:szCs w:val="18"/>
                <w:color w:val="auto"/>
              </w:rPr>
              <w:t>(301) 998-8100</w:t>
            </w:r>
          </w:p>
        </w:tc>
        <w:tc>
          <w:tcPr>
            <w:tcW w:w="3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980" w:type="dxa"/>
            <w:vAlign w:val="bottom"/>
            <w:gridSpan w:val="3"/>
          </w:tcPr>
          <w:p>
            <w:pPr>
              <w:jc w:val="center"/>
              <w:ind w:right="252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0" w:type="dxa"/>
            <w:vAlign w:val="bottom"/>
          </w:tcPr>
          <w:p>
            <w:pPr>
              <w:spacing w:after="0"/>
              <w:rPr>
                <w:sz w:val="1"/>
                <w:szCs w:val="1"/>
                <w:color w:val="auto"/>
              </w:rPr>
            </w:pPr>
          </w:p>
        </w:tc>
      </w:tr>
      <w:tr>
        <w:trPr>
          <w:trHeight w:val="350"/>
        </w:trPr>
        <w:tc>
          <w:tcPr>
            <w:tcW w:w="49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1420" w:type="dxa"/>
            <w:vAlign w:val="bottom"/>
          </w:tcPr>
          <w:p>
            <w:pPr>
              <w:spacing w:after="0"/>
              <w:rPr>
                <w:sz w:val="24"/>
                <w:szCs w:val="24"/>
                <w:color w:val="auto"/>
              </w:rPr>
            </w:pPr>
          </w:p>
        </w:tc>
        <w:tc>
          <w:tcPr>
            <w:tcW w:w="5560" w:type="dxa"/>
            <w:vAlign w:val="bottom"/>
            <w:gridSpan w:val="2"/>
          </w:tcPr>
          <w:p>
            <w:pPr>
              <w:jc w:val="center"/>
              <w:ind w:left="1952"/>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40" w:type="dxa"/>
            <w:vAlign w:val="bottom"/>
            <w:gridSpan w:val="3"/>
            <w:vMerge w:val="restart"/>
          </w:tcPr>
          <w:p>
            <w:pPr>
              <w:jc w:val="center"/>
              <w:ind w:left="595"/>
              <w:spacing w:after="0"/>
              <w:rPr>
                <w:sz w:val="20"/>
                <w:szCs w:val="20"/>
                <w:color w:val="auto"/>
              </w:rPr>
            </w:pPr>
            <w:r>
              <w:rPr>
                <w:rFonts w:ascii="Arial" w:cs="Arial" w:eastAsia="Arial" w:hAnsi="Arial"/>
                <w:sz w:val="18"/>
                <w:szCs w:val="18"/>
                <w:color w:val="auto"/>
                <w:w w:val="88"/>
              </w:rPr>
              <w:t>Common Shares of Beneficial Interest, $.01 par value</w:t>
            </w:r>
          </w:p>
        </w:tc>
        <w:tc>
          <w:tcPr>
            <w:tcW w:w="20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c>
          <w:tcPr>
            <w:tcW w:w="0" w:type="dxa"/>
            <w:vAlign w:val="bottom"/>
          </w:tcPr>
          <w:p>
            <w:pPr>
              <w:spacing w:after="0"/>
              <w:rPr>
                <w:sz w:val="1"/>
                <w:szCs w:val="1"/>
                <w:color w:val="auto"/>
              </w:rPr>
            </w:pPr>
          </w:p>
        </w:tc>
      </w:tr>
      <w:tr>
        <w:trPr>
          <w:trHeight w:val="210"/>
        </w:trPr>
        <w:tc>
          <w:tcPr>
            <w:tcW w:w="4940" w:type="dxa"/>
            <w:vAlign w:val="bottom"/>
            <w:gridSpan w:val="3"/>
            <w:vMerge w:val="continue"/>
          </w:tcPr>
          <w:p>
            <w:pPr>
              <w:spacing w:after="0"/>
              <w:rPr>
                <w:sz w:val="18"/>
                <w:szCs w:val="18"/>
                <w:color w:val="auto"/>
              </w:rPr>
            </w:pPr>
          </w:p>
        </w:tc>
        <w:tc>
          <w:tcPr>
            <w:tcW w:w="20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jc w:val="center"/>
              <w:ind w:left="595"/>
              <w:spacing w:after="0"/>
              <w:rPr>
                <w:sz w:val="20"/>
                <w:szCs w:val="20"/>
                <w:color w:val="auto"/>
              </w:rPr>
            </w:pPr>
            <w:r>
              <w:rPr>
                <w:rFonts w:ascii="Arial" w:cs="Arial" w:eastAsia="Arial" w:hAnsi="Arial"/>
                <w:sz w:val="18"/>
                <w:szCs w:val="18"/>
                <w:color w:val="auto"/>
                <w:w w:val="85"/>
              </w:rPr>
              <w:t>per share, with associated Common Share Purchase</w:t>
            </w:r>
          </w:p>
        </w:tc>
        <w:tc>
          <w:tcPr>
            <w:tcW w:w="20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2840" w:type="dxa"/>
            <w:vAlign w:val="bottom"/>
            <w:gridSpan w:val="2"/>
          </w:tcPr>
          <w:p>
            <w:pPr>
              <w:jc w:val="center"/>
              <w:ind w:right="1352"/>
              <w:spacing w:after="0"/>
              <w:rPr>
                <w:sz w:val="20"/>
                <w:szCs w:val="20"/>
                <w:color w:val="auto"/>
              </w:rPr>
            </w:pPr>
            <w:r>
              <w:rPr>
                <w:rFonts w:ascii="Arial" w:cs="Arial" w:eastAsia="Arial" w:hAnsi="Arial"/>
                <w:sz w:val="18"/>
                <w:szCs w:val="18"/>
                <w:color w:val="auto"/>
                <w:w w:val="90"/>
              </w:rPr>
              <w:t>Rights</w:t>
            </w:r>
          </w:p>
        </w:tc>
        <w:tc>
          <w:tcPr>
            <w:tcW w:w="20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940" w:type="dxa"/>
            <w:vAlign w:val="bottom"/>
            <w:gridSpan w:val="3"/>
          </w:tcPr>
          <w:p>
            <w:pPr>
              <w:jc w:val="center"/>
              <w:ind w:left="595"/>
              <w:spacing w:after="0"/>
              <w:rPr>
                <w:sz w:val="20"/>
                <w:szCs w:val="20"/>
                <w:color w:val="auto"/>
              </w:rPr>
            </w:pPr>
            <w:r>
              <w:rPr>
                <w:rFonts w:ascii="Arial" w:cs="Arial" w:eastAsia="Arial" w:hAnsi="Arial"/>
                <w:sz w:val="18"/>
                <w:szCs w:val="18"/>
                <w:color w:val="auto"/>
                <w:w w:val="87"/>
              </w:rPr>
              <w:t>8.5% Series B Cumulative Redeemable Preferred</w:t>
            </w:r>
          </w:p>
        </w:tc>
        <w:tc>
          <w:tcPr>
            <w:tcW w:w="20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c>
          <w:tcPr>
            <w:tcW w:w="0" w:type="dxa"/>
            <w:vAlign w:val="bottom"/>
          </w:tcPr>
          <w:p>
            <w:pPr>
              <w:spacing w:after="0"/>
              <w:rPr>
                <w:sz w:val="1"/>
                <w:szCs w:val="1"/>
                <w:color w:val="auto"/>
              </w:rPr>
            </w:pPr>
          </w:p>
        </w:tc>
      </w:tr>
      <w:tr>
        <w:trPr>
          <w:trHeight w:val="216"/>
        </w:trPr>
        <w:tc>
          <w:tcPr>
            <w:tcW w:w="4940" w:type="dxa"/>
            <w:vAlign w:val="bottom"/>
            <w:gridSpan w:val="3"/>
          </w:tcPr>
          <w:p>
            <w:pPr>
              <w:jc w:val="center"/>
              <w:ind w:left="595"/>
              <w:spacing w:after="0"/>
              <w:rPr>
                <w:sz w:val="20"/>
                <w:szCs w:val="20"/>
                <w:color w:val="auto"/>
              </w:rPr>
            </w:pPr>
            <w:r>
              <w:rPr>
                <w:rFonts w:ascii="Arial" w:cs="Arial" w:eastAsia="Arial" w:hAnsi="Arial"/>
                <w:sz w:val="18"/>
                <w:szCs w:val="18"/>
                <w:color w:val="auto"/>
                <w:w w:val="87"/>
              </w:rPr>
              <w:t>Shares of Beneficial Interest, par value $.01 per</w:t>
            </w:r>
          </w:p>
        </w:tc>
        <w:tc>
          <w:tcPr>
            <w:tcW w:w="20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3"/>
          </w:tcPr>
          <w:p>
            <w:pPr>
              <w:jc w:val="center"/>
              <w:ind w:left="595"/>
              <w:spacing w:after="0"/>
              <w:rPr>
                <w:sz w:val="20"/>
                <w:szCs w:val="20"/>
                <w:color w:val="auto"/>
              </w:rPr>
            </w:pPr>
            <w:r>
              <w:rPr>
                <w:rFonts w:ascii="Arial" w:cs="Arial" w:eastAsia="Arial" w:hAnsi="Arial"/>
                <w:sz w:val="18"/>
                <w:szCs w:val="18"/>
                <w:color w:val="auto"/>
                <w:w w:val="87"/>
              </w:rPr>
              <w:t>share, (Liquidation Preference $25.00 per share)</w:t>
            </w:r>
          </w:p>
        </w:tc>
        <w:tc>
          <w:tcPr>
            <w:tcW w:w="20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58" w:lineRule="exact"/>
        <w:rPr>
          <w:sz w:val="24"/>
          <w:szCs w:val="24"/>
          <w:color w:val="auto"/>
        </w:rPr>
      </w:pPr>
    </w:p>
    <w:p>
      <w:pPr>
        <w:jc w:val="both"/>
        <w:ind w:right="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207" w:lineRule="exact"/>
        <w:tabs>
          <w:tab w:leader="none" w:pos="2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9" w:lineRule="exact"/>
        <w:rPr>
          <w:sz w:val="24"/>
          <w:szCs w:val="24"/>
          <w:color w:val="auto"/>
        </w:rPr>
      </w:pPr>
    </w:p>
    <w:p>
      <w:pPr>
        <w:spacing w:after="0" w:line="184" w:lineRule="exact"/>
        <w:tabs>
          <w:tab w:leader="none" w:pos="844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Exchange Act Rule 12b-2).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13"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The aggregate market value of the Registrant’s common shares held by non-affiliates of the Registrant, based upon the closing sales price of the Registrant’s common shares on June 30, 2004 was $2.1 billion.</w:t>
      </w:r>
    </w:p>
    <w:p>
      <w:pPr>
        <w:spacing w:after="0" w:line="11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Registrant’s common shares outstanding on March 2, 2005 was 52,446,262.</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its 2005 annual meeting of shareholders to be held in May 2005 will be incorporated by reference into Part III hereof.</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40" w:type="dxa"/>
            <w:vAlign w:val="bottom"/>
            <w:gridSpan w:val="14"/>
          </w:tcPr>
          <w:p>
            <w:pPr>
              <w:jc w:val="center"/>
              <w:ind w:right="1040"/>
              <w:spacing w:after="0"/>
              <w:rPr>
                <w:sz w:val="20"/>
                <w:szCs w:val="20"/>
                <w:color w:val="auto"/>
              </w:rPr>
            </w:pPr>
            <w:r>
              <w:rPr>
                <w:rFonts w:ascii="Arial" w:cs="Arial" w:eastAsia="Arial" w:hAnsi="Arial"/>
                <w:sz w:val="18"/>
                <w:szCs w:val="18"/>
                <w:b w:val="1"/>
                <w:bCs w:val="1"/>
                <w:color w:val="auto"/>
                <w:w w:val="98"/>
              </w:rPr>
              <w:t>FEDERAL REALTY INVESTMENT TRUST ANNUAL REPORT ON FORM 10-K</w:t>
            </w:r>
          </w:p>
        </w:tc>
        <w:tc>
          <w:tcPr>
            <w:tcW w:w="1360" w:type="dxa"/>
            <w:vAlign w:val="bottom"/>
          </w:tcPr>
          <w:p>
            <w:pPr>
              <w:spacing w:after="0"/>
              <w:rPr>
                <w:sz w:val="19"/>
                <w:szCs w:val="19"/>
                <w:color w:val="auto"/>
              </w:rPr>
            </w:pPr>
          </w:p>
        </w:tc>
      </w:tr>
      <w:tr>
        <w:trPr>
          <w:trHeight w:val="28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2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95"/>
              </w:rPr>
              <w:t>FISCAL YEAR ENDED DECEMBER 31, 2004</w:t>
            </w:r>
          </w:p>
        </w:tc>
        <w:tc>
          <w:tcPr>
            <w:tcW w:w="136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gridSpan w:val="6"/>
          </w:tcPr>
          <w:p>
            <w:pPr>
              <w:jc w:val="center"/>
              <w:ind w:right="3160"/>
              <w:spacing w:after="0"/>
              <w:rPr>
                <w:sz w:val="20"/>
                <w:szCs w:val="20"/>
                <w:color w:val="auto"/>
              </w:rPr>
            </w:pPr>
            <w:r>
              <w:rPr>
                <w:rFonts w:ascii="Arial" w:cs="Arial" w:eastAsia="Arial" w:hAnsi="Arial"/>
                <w:sz w:val="18"/>
                <w:szCs w:val="18"/>
                <w:b w:val="1"/>
                <w:bCs w:val="1"/>
                <w:color w:val="auto"/>
                <w:w w:val="96"/>
              </w:rPr>
              <w:t>TABLE OF CONTENTS</w:t>
            </w:r>
          </w:p>
        </w:tc>
        <w:tc>
          <w:tcPr>
            <w:tcW w:w="1360" w:type="dxa"/>
            <w:vAlign w:val="bottom"/>
          </w:tcPr>
          <w:p>
            <w:pPr>
              <w:spacing w:after="0"/>
              <w:rPr>
                <w:sz w:val="24"/>
                <w:szCs w:val="24"/>
                <w:color w:val="auto"/>
              </w:rPr>
            </w:pPr>
          </w:p>
        </w:tc>
      </w:tr>
      <w:tr>
        <w:trPr>
          <w:trHeight w:val="326"/>
        </w:trPr>
        <w:tc>
          <w:tcPr>
            <w:tcW w:w="108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60" w:type="dxa"/>
            <w:vAlign w:val="bottom"/>
            <w:gridSpan w:val="5"/>
          </w:tcPr>
          <w:p>
            <w:pPr>
              <w:spacing w:after="0"/>
              <w:rPr>
                <w:sz w:val="17"/>
                <w:szCs w:val="17"/>
                <w:color w:val="auto"/>
              </w:rPr>
            </w:pPr>
          </w:p>
        </w:tc>
        <w:tc>
          <w:tcPr>
            <w:tcW w:w="8980" w:type="dxa"/>
            <w:vAlign w:val="bottom"/>
            <w:gridSpan w:val="18"/>
          </w:tcPr>
          <w:p>
            <w:pPr>
              <w:ind w:left="6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Business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80" w:type="dxa"/>
            <w:vAlign w:val="bottom"/>
            <w:gridSpan w:val="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8980" w:type="dxa"/>
            <w:vAlign w:val="bottom"/>
            <w:gridSpan w:val="18"/>
          </w:tcPr>
          <w:p>
            <w:pPr>
              <w:ind w:left="6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80" w:type="dxa"/>
            <w:vAlign w:val="bottom"/>
            <w:gridSpan w:val="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8980" w:type="dxa"/>
            <w:vAlign w:val="bottom"/>
            <w:gridSpan w:val="18"/>
          </w:tcPr>
          <w:p>
            <w:pPr>
              <w:ind w:left="6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80" w:type="dxa"/>
            <w:vAlign w:val="bottom"/>
            <w:gridSpan w:val="7"/>
          </w:tcPr>
          <w:p>
            <w:pPr>
              <w:spacing w:after="0" w:line="196" w:lineRule="exact"/>
              <w:rPr>
                <w:sz w:val="20"/>
                <w:szCs w:val="20"/>
                <w:color w:val="auto"/>
              </w:rPr>
            </w:pPr>
            <w:r>
              <w:rPr>
                <w:rFonts w:ascii="Arial" w:cs="Arial" w:eastAsia="Arial" w:hAnsi="Arial"/>
                <w:sz w:val="18"/>
                <w:szCs w:val="18"/>
                <w:color w:val="0000EE"/>
              </w:rPr>
              <w:t>Item 4.</w:t>
            </w:r>
          </w:p>
        </w:tc>
        <w:tc>
          <w:tcPr>
            <w:tcW w:w="8980" w:type="dxa"/>
            <w:vAlign w:val="bottom"/>
            <w:gridSpan w:val="18"/>
          </w:tcPr>
          <w:p>
            <w:pPr>
              <w:ind w:left="6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Shareholders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6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PART II</w:t>
              </w:r>
            </w:hyperlink>
          </w:p>
        </w:tc>
        <w:tc>
          <w:tcPr>
            <w:tcW w:w="48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1080" w:type="dxa"/>
            <w:vAlign w:val="bottom"/>
            <w:gridSpan w:val="7"/>
          </w:tcPr>
          <w:p>
            <w:pPr>
              <w:spacing w:after="0" w:line="196" w:lineRule="exact"/>
              <w:rPr>
                <w:sz w:val="20"/>
                <w:szCs w:val="20"/>
                <w:color w:val="auto"/>
              </w:rPr>
            </w:pPr>
            <w:r>
              <w:rPr>
                <w:rFonts w:ascii="Arial" w:cs="Arial" w:eastAsia="Arial" w:hAnsi="Arial"/>
                <w:sz w:val="18"/>
                <w:szCs w:val="18"/>
                <w:color w:val="0000EE"/>
              </w:rPr>
              <w:t>Item 5.</w:t>
            </w:r>
          </w:p>
        </w:tc>
        <w:tc>
          <w:tcPr>
            <w:tcW w:w="8980" w:type="dxa"/>
            <w:vAlign w:val="bottom"/>
            <w:gridSpan w:val="18"/>
          </w:tcPr>
          <w:p>
            <w:pPr>
              <w:ind w:left="60"/>
              <w:spacing w:after="0" w:line="196" w:lineRule="exact"/>
              <w:rPr>
                <w:sz w:val="20"/>
                <w:szCs w:val="20"/>
                <w:color w:val="auto"/>
              </w:rPr>
            </w:pPr>
            <w:r>
              <w:rPr>
                <w:rFonts w:ascii="Arial" w:cs="Arial" w:eastAsia="Arial" w:hAnsi="Arial"/>
                <w:sz w:val="18"/>
                <w:szCs w:val="18"/>
                <w:color w:val="0000EE"/>
              </w:rPr>
              <w:t>Market for Our Common Equity and Related Shareholder Matters and Issuer Purchases of Equity Securities</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80" w:type="dxa"/>
            <w:vAlign w:val="bottom"/>
            <w:gridSpan w:val="7"/>
          </w:tcPr>
          <w:p>
            <w:pPr>
              <w:spacing w:after="0" w:line="196" w:lineRule="exact"/>
              <w:rPr>
                <w:sz w:val="20"/>
                <w:szCs w:val="20"/>
                <w:color w:val="auto"/>
              </w:rPr>
            </w:pPr>
            <w:r>
              <w:rPr>
                <w:rFonts w:ascii="Arial" w:cs="Arial" w:eastAsia="Arial" w:hAnsi="Arial"/>
                <w:sz w:val="18"/>
                <w:szCs w:val="18"/>
                <w:color w:val="0000EE"/>
              </w:rPr>
              <w:t>Item 6.</w:t>
            </w:r>
          </w:p>
        </w:tc>
        <w:tc>
          <w:tcPr>
            <w:tcW w:w="8980" w:type="dxa"/>
            <w:vAlign w:val="bottom"/>
            <w:gridSpan w:val="18"/>
          </w:tcPr>
          <w:p>
            <w:pPr>
              <w:ind w:left="60"/>
              <w:spacing w:after="0" w:line="196" w:lineRule="exact"/>
              <w:rPr>
                <w:sz w:val="20"/>
                <w:szCs w:val="20"/>
                <w:color w:val="auto"/>
              </w:rPr>
            </w:pPr>
            <w:r>
              <w:rPr>
                <w:rFonts w:ascii="Arial" w:cs="Arial" w:eastAsia="Arial" w:hAnsi="Arial"/>
                <w:sz w:val="18"/>
                <w:szCs w:val="18"/>
                <w:color w:val="0000EE"/>
              </w:rPr>
              <w:t>Selected Financial Data</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80" w:type="dxa"/>
            <w:vAlign w:val="bottom"/>
            <w:gridSpan w:val="7"/>
          </w:tcPr>
          <w:p>
            <w:pPr>
              <w:spacing w:after="0" w:line="196" w:lineRule="exact"/>
              <w:rPr>
                <w:sz w:val="20"/>
                <w:szCs w:val="20"/>
                <w:color w:val="auto"/>
              </w:rPr>
            </w:pPr>
            <w:r>
              <w:rPr>
                <w:rFonts w:ascii="Arial" w:cs="Arial" w:eastAsia="Arial" w:hAnsi="Arial"/>
                <w:sz w:val="18"/>
                <w:szCs w:val="18"/>
                <w:color w:val="0000EE"/>
              </w:rPr>
              <w:t>Item 7.</w:t>
            </w:r>
          </w:p>
        </w:tc>
        <w:tc>
          <w:tcPr>
            <w:tcW w:w="8980" w:type="dxa"/>
            <w:vAlign w:val="bottom"/>
            <w:gridSpan w:val="18"/>
          </w:tcPr>
          <w:p>
            <w:pPr>
              <w:ind w:left="60"/>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Item 7A.</w:t>
            </w:r>
          </w:p>
        </w:tc>
        <w:tc>
          <w:tcPr>
            <w:tcW w:w="4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Quantitative and Qualitative Disclosures About Market Risk</w:t>
            </w:r>
          </w:p>
        </w:tc>
        <w:tc>
          <w:tcPr>
            <w:tcW w:w="4660" w:type="dxa"/>
            <w:vAlign w:val="bottom"/>
            <w:gridSpan w:val="5"/>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080" w:type="dxa"/>
            <w:vAlign w:val="bottom"/>
            <w:gridSpan w:val="7"/>
          </w:tcPr>
          <w:p>
            <w:pPr>
              <w:spacing w:after="0" w:line="196" w:lineRule="exact"/>
              <w:rPr>
                <w:sz w:val="20"/>
                <w:szCs w:val="20"/>
                <w:color w:val="auto"/>
              </w:rPr>
            </w:pPr>
            <w:r>
              <w:rPr>
                <w:rFonts w:ascii="Arial" w:cs="Arial" w:eastAsia="Arial" w:hAnsi="Arial"/>
                <w:sz w:val="18"/>
                <w:szCs w:val="18"/>
                <w:color w:val="0000EE"/>
              </w:rPr>
              <w:t>Item 8.</w:t>
            </w:r>
          </w:p>
        </w:tc>
        <w:tc>
          <w:tcPr>
            <w:tcW w:w="8980" w:type="dxa"/>
            <w:vAlign w:val="bottom"/>
            <w:gridSpan w:val="18"/>
          </w:tcPr>
          <w:p>
            <w:pPr>
              <w:ind w:left="60"/>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80" w:type="dxa"/>
            <w:vAlign w:val="bottom"/>
            <w:gridSpan w:val="7"/>
          </w:tcPr>
          <w:p>
            <w:pPr>
              <w:spacing w:after="0" w:line="196" w:lineRule="exact"/>
              <w:rPr>
                <w:sz w:val="20"/>
                <w:szCs w:val="20"/>
                <w:color w:val="auto"/>
              </w:rPr>
            </w:pPr>
            <w:r>
              <w:rPr>
                <w:rFonts w:ascii="Arial" w:cs="Arial" w:eastAsia="Arial" w:hAnsi="Arial"/>
                <w:sz w:val="18"/>
                <w:szCs w:val="18"/>
                <w:color w:val="0000EE"/>
              </w:rPr>
              <w:t>Item 9.</w:t>
            </w:r>
          </w:p>
        </w:tc>
        <w:tc>
          <w:tcPr>
            <w:tcW w:w="8980" w:type="dxa"/>
            <w:vAlign w:val="bottom"/>
            <w:gridSpan w:val="18"/>
          </w:tcPr>
          <w:p>
            <w:pPr>
              <w:ind w:left="60"/>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640" w:type="dxa"/>
            <w:vAlign w:val="bottom"/>
            <w:gridSpan w:val="5"/>
          </w:tcPr>
          <w:p>
            <w:pPr>
              <w:spacing w:after="0" w:line="196" w:lineRule="exact"/>
              <w:rPr>
                <w:sz w:val="20"/>
                <w:szCs w:val="20"/>
                <w:color w:val="auto"/>
              </w:rPr>
            </w:pPr>
            <w:r>
              <w:rPr>
                <w:rFonts w:ascii="Arial" w:cs="Arial" w:eastAsia="Arial" w:hAnsi="Arial"/>
                <w:sz w:val="18"/>
                <w:szCs w:val="18"/>
                <w:color w:val="0000EE"/>
                <w:w w:val="92"/>
              </w:rPr>
              <w:t>Item 9A.</w:t>
            </w:r>
          </w:p>
        </w:tc>
        <w:tc>
          <w:tcPr>
            <w:tcW w:w="4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92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640" w:type="dxa"/>
            <w:vAlign w:val="bottom"/>
            <w:tcBorders>
              <w:top w:val="single" w:sz="8" w:color="0000EE"/>
            </w:tcBorders>
            <w:gridSpan w:val="5"/>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Item 9B.</w:t>
              </w:r>
            </w:hyperlink>
          </w:p>
        </w:tc>
        <w:tc>
          <w:tcPr>
            <w:tcW w:w="4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7200" w:type="dxa"/>
            <w:vAlign w:val="bottom"/>
            <w:gridSpan w:val="1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108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PART III</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6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6"/>
              </w:rPr>
              <w:t>Item 10.</w:t>
            </w:r>
          </w:p>
        </w:tc>
        <w:tc>
          <w:tcPr>
            <w:tcW w:w="40" w:type="dxa"/>
            <w:vAlign w:val="bottom"/>
            <w:tcBorders>
              <w:top w:val="single" w:sz="8" w:color="0000EE"/>
            </w:tcBorders>
          </w:tcPr>
          <w:p>
            <w:pPr>
              <w:spacing w:after="0"/>
              <w:rPr>
                <w:sz w:val="17"/>
                <w:szCs w:val="17"/>
                <w:color w:val="auto"/>
              </w:rPr>
            </w:pPr>
          </w:p>
        </w:tc>
        <w:tc>
          <w:tcPr>
            <w:tcW w:w="4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Trustees and Executive Officers</w:t>
              </w:r>
            </w:hyperlink>
          </w:p>
        </w:tc>
        <w:tc>
          <w:tcPr>
            <w:tcW w:w="6660" w:type="dxa"/>
            <w:vAlign w:val="bottom"/>
            <w:gridSpan w:val="1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080" w:type="dxa"/>
            <w:vAlign w:val="bottom"/>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11.</w:t>
              </w:r>
            </w:hyperlink>
          </w:p>
        </w:tc>
        <w:tc>
          <w:tcPr>
            <w:tcW w:w="8980" w:type="dxa"/>
            <w:vAlign w:val="bottom"/>
            <w:gridSpan w:val="18"/>
          </w:tcPr>
          <w:p>
            <w:pPr>
              <w:ind w:left="60"/>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Executive Compensation</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80">
              <w:r>
                <w:rPr>
                  <w:rFonts w:ascii="Arial" w:cs="Arial" w:eastAsia="Arial" w:hAnsi="Arial"/>
                  <w:sz w:val="18"/>
                  <w:szCs w:val="18"/>
                  <w:color w:val="0000EE"/>
                  <w:w w:val="86"/>
                </w:rPr>
                <w:t>Item 12.</w:t>
              </w:r>
            </w:hyperlink>
          </w:p>
        </w:tc>
        <w:tc>
          <w:tcPr>
            <w:tcW w:w="4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71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8"/>
              </w:rPr>
              <w:t>Security Ownership of Certain Beneficial Owners and Management and Related Shareholder Matters</w:t>
            </w:r>
          </w:p>
        </w:tc>
        <w:tc>
          <w:tcPr>
            <w:tcW w:w="180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6"/>
              </w:rPr>
              <w:t>Item 13.</w:t>
            </w:r>
          </w:p>
        </w:tc>
        <w:tc>
          <w:tcPr>
            <w:tcW w:w="4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Certain Relationships and Related Transactions</w:t>
            </w:r>
          </w:p>
        </w:tc>
        <w:tc>
          <w:tcPr>
            <w:tcW w:w="552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6"/>
              </w:rPr>
              <w:t>Item 14.</w:t>
            </w:r>
          </w:p>
        </w:tc>
        <w:tc>
          <w:tcPr>
            <w:tcW w:w="4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7"/>
              </w:rPr>
              <w:t>Principal Accountant Fees and Services</w:t>
            </w:r>
          </w:p>
        </w:tc>
        <w:tc>
          <w:tcPr>
            <w:tcW w:w="6120" w:type="dxa"/>
            <w:vAlign w:val="bottom"/>
            <w:gridSpan w:val="9"/>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304"/>
        </w:trPr>
        <w:tc>
          <w:tcPr>
            <w:tcW w:w="6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PART IV</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600" w:type="dxa"/>
            <w:vAlign w:val="bottom"/>
            <w:gridSpan w:val="4"/>
          </w:tcPr>
          <w:p>
            <w:pPr>
              <w:spacing w:after="0" w:line="196" w:lineRule="exact"/>
              <w:rPr>
                <w:sz w:val="20"/>
                <w:szCs w:val="20"/>
                <w:color w:val="auto"/>
              </w:rPr>
            </w:pPr>
            <w:r>
              <w:rPr>
                <w:rFonts w:ascii="Arial" w:cs="Arial" w:eastAsia="Arial" w:hAnsi="Arial"/>
                <w:sz w:val="18"/>
                <w:szCs w:val="18"/>
                <w:color w:val="0000EE"/>
                <w:w w:val="86"/>
              </w:rPr>
              <w:t>Item 15.</w:t>
            </w:r>
          </w:p>
        </w:tc>
        <w:tc>
          <w:tcPr>
            <w:tcW w:w="4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8920" w:type="dxa"/>
            <w:vAlign w:val="bottom"/>
            <w:gridSpan w:val="17"/>
          </w:tcPr>
          <w:p>
            <w:pPr>
              <w:spacing w:after="0" w:line="196" w:lineRule="exact"/>
              <w:rPr>
                <w:sz w:val="20"/>
                <w:szCs w:val="20"/>
                <w:color w:val="auto"/>
              </w:rPr>
            </w:pPr>
            <w:r>
              <w:rPr>
                <w:rFonts w:ascii="Arial" w:cs="Arial" w:eastAsia="Arial" w:hAnsi="Arial"/>
                <w:sz w:val="18"/>
                <w:szCs w:val="18"/>
                <w:color w:val="0000EE"/>
              </w:rPr>
              <w:t>Exhibits and Financial Statement Schedules</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10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SIGNATURES</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83"/>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60" w:type="dxa"/>
            <w:vAlign w:val="bottom"/>
            <w:gridSpan w:val="14"/>
          </w:tcPr>
          <w:p>
            <w:pPr>
              <w:jc w:val="center"/>
              <w:ind w:left="283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an equity real estate investment trust (“REIT”) specializing in the ownership, management, development and redevelopment of high-quality retail and mixed-use properties. As of December 31, 2004, we owned or had a majority ownership interest in 106 community and neighborhood shopping centers and retail mixed-use properties comprising approximately 16.9 million square feet, located primarily in densely populated and affluent communities throughout the Northeast and Mid-Atlantic United States, as well as California and one apartment complex in Maryland. In total, these 106 commercial properties were 95.1% leased at December 31, 2004. A joint venture in which we own a 30% interest owned four neighborhood shopping centers totaling approximately 0.5 million square feet as of December 31, 2004. We have paid quarterly dividends to our shareholders continuously since our founding in 1962, and have increased our dividend rate for 37 consecutive years. Revenue, profit and total assets of each reportable segment are described in the financial statements contained in Item 8 of this Form 10-K.</w:t>
      </w:r>
    </w:p>
    <w:p>
      <w:pPr>
        <w:spacing w:after="0" w:line="10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We were founded in 1962 under the laws of the District of Columbia and reformed as a real estate investment trust in the state of Maryland in 1999. Our principal executive offices are located at 1626 East Jefferson Street, Rockville, Maryland 20852 and our telephone number is (301) 998-8100. Our Web 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 site is not a part of this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primary business objective is to own, manage, acquire and redevelop a portfolio of commercial retail properties, with the dominant property type being grocery anchored community and neighborhood shopping centers, that will:</w:t>
      </w:r>
    </w:p>
    <w:p>
      <w:pPr>
        <w:spacing w:after="0" w:line="3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 higher internal growth than our peers;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increasing cash flow for quarterly distributions to shareholders;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potential for capital appreciation.</w:t>
      </w:r>
    </w:p>
    <w:p>
      <w:pPr>
        <w:spacing w:after="0" w:line="1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traditional focus has been on grocery anchored community and neighborhood shopping centers. Late in 1994, recognizing a trend of increased consumer acceptance and retailer expansion to main streets; we expanded our investment strategy to include “street retail” and “mixed-use” properties. The mixed-use properties are typically centered around a retail component but may also include office, residential and hotel components in established main street shopping areas. In addition, from 1997 through 2001, we undertook the ground-up development in urban areas of mixed-use projects that center around the retail component. In 2002, our Board of Trustees approved the adoption of a business plan which returned our primary focus to our traditional business of owning, managing, acquiring and redeveloping high quality retail properties in our core markets.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8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Our core operating strategy is to actively manage our properties to maximize rents and maintain high occupancy levels by attracting and retaining a strong and diverse base of tenants and replacing weaker, underperforming tenants with stronger ones. Our properties are generally located in some of the most densely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populated and affluent areas of the country. In addition, because of the in-fill nature of our locations, our centers generally face less competition per capita than centers owned by our peers. These strong demographics help our tenants generate higher sales, which has enabled us to maintain high occupancy rates, charge higher rental rates, and maintain steady rent growth, all of which increases the value of our portfolio. Our operating strategies also include:</w:t>
      </w:r>
    </w:p>
    <w:p>
      <w:pPr>
        <w:spacing w:after="0" w:line="1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difficulties;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credit mix of our tenant base to achieve a balance of strong national and regional tenants with local specialty tenants;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103"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the physical appearance of our properties and the construction quality, condition and design of the buildings and other improvements located on our properties to maximize our ability to generate high rental and occupancy rates;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 investors and financing sources;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increasing rental rates through the renewal or releasing of expiring leases at higher rental rates and by limiting vacancy and down-time;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exceptional customer service.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Strategies</w:t>
      </w:r>
    </w:p>
    <w:p>
      <w:pPr>
        <w:spacing w:after="0" w:line="8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investment strategy calls for deploying capital at risk-adjusted rates of return that exceed our weighted average cost of capital in projects that have potential for future net income growth equal to, or in excess of, the historical net income growth of our core portfolio of properties.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investments primarily fall into one of the following four categories:</w:t>
      </w:r>
    </w:p>
    <w:p>
      <w:pPr>
        <w:spacing w:after="0" w:line="77" w:lineRule="exact"/>
        <w:rPr>
          <w:sz w:val="20"/>
          <w:szCs w:val="20"/>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our internal growth rate;</w:t>
      </w:r>
    </w:p>
    <w:p>
      <w:pPr>
        <w:spacing w:after="0" w:line="37"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acquiring community and neighborhood shopping centers, located in densely populated or growing affluent areas where barriers to entry for further development are high, and that have possibilities for enhancing operating performance through renovation, expansion, reconfiguration and/or retenanting;</w:t>
      </w:r>
    </w:p>
    <w:p>
      <w:pPr>
        <w:spacing w:after="0" w:line="45" w:lineRule="exact"/>
        <w:rPr>
          <w:rFonts w:ascii="Arial" w:cs="Arial" w:eastAsia="Arial" w:hAnsi="Arial"/>
          <w:sz w:val="18"/>
          <w:szCs w:val="18"/>
          <w:color w:val="auto"/>
        </w:rPr>
      </w:pPr>
    </w:p>
    <w:p>
      <w:pPr>
        <w:ind w:left="900" w:right="14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renovating or expanding tenant spaces for tenants capable of producing higher sales, and therefore, paying higher rents, including expanding space available to an existing tenant that is performing well but is operating out of an old or otherwise inefficient store format; and</w:t>
      </w:r>
    </w:p>
    <w:p>
      <w:pPr>
        <w:spacing w:after="0" w:line="1"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acquiring, in partnership with longer term investors who contribute a substantial portion of the equity needed to acquire those properties, stabilized community and neighborhood shopping centers, located in densely populated or growing affluent areas where barriers to entry for further development are high and that have limited potential for significant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we evaluate potential redevelopment, retenanting, expansion and acquisition opportunities, we consider such factors as:</w:t>
      </w:r>
    </w:p>
    <w:p>
      <w:pPr>
        <w:spacing w:after="0" w:line="77" w:lineRule="exact"/>
        <w:rPr>
          <w:sz w:val="20"/>
          <w:szCs w:val="20"/>
          <w:color w:val="auto"/>
        </w:rPr>
      </w:pPr>
    </w:p>
    <w:p>
      <w:pPr>
        <w:ind w:left="5680" w:right="1360" w:hanging="5226"/>
        <w:spacing w:after="0" w:line="472" w:lineRule="auto"/>
        <w:tabs>
          <w:tab w:leader="none" w:pos="9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returns in relation to our cost of capital as well as the anticipated risk we will face in achieving the expected returns; 4</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103"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geographic area in which the property is located, including the population density and household incomes, as well as the population and income trends in that geographic area;</w:t>
      </w:r>
    </w:p>
    <w:p>
      <w:pPr>
        <w:spacing w:after="0" w:line="37"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competition for tenants and the ability to create competing properties through redevelopment, new construction or renovation;</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Strategies</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financing strategies are designed to enable us to maintain a strong balance sheet while retaining sufficient flexibility to fund our operating and investing activities in the most cost-efficient way possible. Our financing strategies include:</w:t>
      </w:r>
    </w:p>
    <w:p>
      <w:pPr>
        <w:spacing w:after="0" w:line="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adequate pool of unencumbered properties;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actively managing our exposure to variable-rate debt;</w:t>
      </w:r>
    </w:p>
    <w:p>
      <w:pPr>
        <w:spacing w:after="0" w:line="103"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utilizing the most advantageous long-term source of capital available to us to finance redevelopment and acquisition opportunities, which may include:</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sale of our equity or debt securities through public offerings or private placements,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incurrence of indebtedness through secured or unsecured borrowings,</w:t>
      </w:r>
    </w:p>
    <w:p>
      <w:pPr>
        <w:spacing w:after="0" w:line="103" w:lineRule="exact"/>
        <w:rPr>
          <w:rFonts w:ascii="Arial" w:cs="Arial" w:eastAsia="Arial" w:hAnsi="Arial"/>
          <w:sz w:val="18"/>
          <w:szCs w:val="18"/>
          <w:color w:val="auto"/>
        </w:rPr>
      </w:pPr>
    </w:p>
    <w:p>
      <w:pPr>
        <w:ind w:left="1360" w:right="140" w:hanging="555"/>
        <w:spacing w:after="0" w:line="325"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issuance of operating units in a new or existing “downREIT partnership” (the operating units generally receive the same distributions as our common shares and may be convertible into our common shares, in exchange for a tax deferred contribution of property), or</w:t>
      </w:r>
    </w:p>
    <w:p>
      <w:pPr>
        <w:spacing w:after="0" w:line="1" w:lineRule="exact"/>
        <w:rPr>
          <w:rFonts w:ascii="Arial" w:cs="Arial" w:eastAsia="Arial" w:hAnsi="Arial"/>
          <w:sz w:val="16"/>
          <w:szCs w:val="16"/>
          <w:color w:val="auto"/>
        </w:rPr>
      </w:pPr>
    </w:p>
    <w:p>
      <w:pPr>
        <w:ind w:left="1360" w:hanging="555"/>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taking advantage of market opportunities to refinance existing debt, reduce interest costs and manage our debt maturity schedule; and</w:t>
      </w:r>
    </w:p>
    <w:p>
      <w:pPr>
        <w:spacing w:after="0" w:line="126"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properties that have limited growth potential or are not a strategic fit within our overall portfolio and redeploying the proceeds to redevelop, renovate, retenant and/or expand our existing properties, acquire new properties or reduce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December 31, 2004, we had 262 full-time employees and 140 part-time employees. None of the employees is represented by a collective bargaining unit. We believe that our relationship with our employees is good.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elected to be taxed as a REIT for federal income tax purposes beginning with our taxable year ended December 31, 1962. As a REIT we are generally not subject to federal income tax on REIT taxable income that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distribute to our shareholders. Under the internal revenue Code of 1986, as amended, which we prefer as to the Code, REITs are subject to numerous organizational and operational requirements, including the requirement to distribute at least 90% of REIT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REIT taxable income. We will also not be permitted to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REIT taxable income. In addition, certain of our subsidiaries are subject to federal, state and local income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our properties are subject to a variety of federal, state and local environmental, health, safety and similar laws, including:</w:t>
      </w:r>
    </w:p>
    <w:p>
      <w:pPr>
        <w:spacing w:after="0" w:line="7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Comprehensive Environmental Response, Compensation, and Liability Act of 1980, as amended, which we refer to as CERCLA;</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18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application of these laws to a specific property that we own depends on a variety of property-specific circumstances, including the former uses of the property, the building materials used at each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the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0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Numerous commercial developers and real estate companies compete with us with respect to the tenant leasing and the acquisition of properties. Some of these competitors may possess greater capital resources than we do, although no single competitor or group of competitors in any of the primary markets where our properties are located is believed to be dominant in that market. This competition may:</w:t>
      </w:r>
    </w:p>
    <w:p>
      <w:pPr>
        <w:spacing w:after="0" w:line="4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Retailers at our properties also face increasing competition from outlet stores, discount shopping clubs, and other forms of marketing of goods and services, such as direct mail, internet marketing and telemarketing. This competition could contribute to lease defaults and insolvency of tenants.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are available free of charge through the Investor Information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 practicable after we electronically file the material with, or furnish the material to, the Securities and Exchange Commission, or the SEC.</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 Information section of our website.</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You may obtain a printed copy of any of the foregoing materials from us by writing to us at Federal Realty Investment Trust, 1626 East Jefferson Street, Rockville, Maryland 20852.</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that section of our website as well.</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jc w:val="both"/>
        <w:ind w:right="320" w:firstLine="456"/>
        <w:spacing w:after="0" w:line="294" w:lineRule="auto"/>
        <w:rPr>
          <w:sz w:val="20"/>
          <w:szCs w:val="20"/>
          <w:color w:val="auto"/>
        </w:rPr>
      </w:pPr>
      <w:r>
        <w:rPr>
          <w:rFonts w:ascii="Arial" w:cs="Arial" w:eastAsia="Arial" w:hAnsi="Arial"/>
          <w:sz w:val="16"/>
          <w:szCs w:val="16"/>
          <w:color w:val="auto"/>
        </w:rPr>
        <w:t>As of December 31, 2004, we owned or had a majority ownership interest in 106 community and neighborhood shopping centers and retail mixed-used properties comprising approximately 16.9 million square feet, located primarily in densely populated and affluent communities throughout the Northeast and Mid-Atlantic United States, as well as California. In addition we own one apartment complex in Maryland. No single property accounted for over 10% of our 2004 total revenue or net income.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operate our business on an asset management model, where small, focused teams are responsible for a portfolio of assets. We have divided our portfolio of properties into two operating regions: the East and West. Each region is operated under the direction of an asset manager, with dedicated leasing, property management and financial staff, and operates largely autonomously with respect to day-to-day operating decisions.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December 31, 2004, we had approximately 2,200 tenants, ranging from sole proprietors to major national retailers. No one tenant or affiliated group of tenants accounted for more than 2.3% of our annualized base rent as of December 31, 2004. As a result of our tenant diversification, we believe our exposure to recent and future bankruptcy filings in the retail sector has not been and will not be significant.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107 properties are located in 14 states and the District of Columbia. The following table shows, by region and state within the region, the number of properties, the gross leasable area and the percentage of total portfolio gross leasable area in each state as of December 31, 2004.</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Number</w:t>
            </w: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of 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Gross Leasable</w:t>
            </w: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Leasable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w w:val="99"/>
              </w:rPr>
              <w:t>Region and State</w:t>
            </w:r>
          </w:p>
        </w:tc>
        <w:tc>
          <w:tcPr>
            <w:tcW w:w="3600" w:type="dxa"/>
            <w:vAlign w:val="bottom"/>
          </w:tcPr>
          <w:p>
            <w:pPr>
              <w:spacing w:after="0"/>
              <w:rPr>
                <w:sz w:val="15"/>
                <w:szCs w:val="15"/>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Properties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Area</w:t>
            </w: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(In square feet)</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East</w:t>
            </w:r>
          </w:p>
        </w:tc>
        <w:tc>
          <w:tcPr>
            <w:tcW w:w="3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Virginia</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3,273,000</w:t>
            </w: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Maryland</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2,968,000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New Jersey</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2,670,000</w:t>
            </w: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Pennsylvania</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2,284,000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New York</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1,001,000</w:t>
            </w: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Illinois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Massachusetts</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638,000</w:t>
            </w: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Connecticut</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319,000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Michigan</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217,000</w:t>
            </w: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District of Columbia</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North Carolina</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159,000</w:t>
            </w: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Florida</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14,482,000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w:t>
            </w:r>
          </w:p>
        </w:tc>
        <w:tc>
          <w:tcPr>
            <w:tcW w:w="3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California</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2,198,000</w:t>
            </w: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Texas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Arizona</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39,000</w:t>
            </w:r>
          </w:p>
        </w:tc>
        <w:tc>
          <w:tcPr>
            <w:tcW w:w="5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2,408,000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16,890,000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Leases, Lease Terms and Lease Expirations</w:t>
            </w:r>
          </w:p>
        </w:tc>
        <w:tc>
          <w:tcPr>
            <w:tcW w:w="36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420" w:type="dxa"/>
            <w:vAlign w:val="bottom"/>
            <w:gridSpan w:val="3"/>
            <w:vMerge w:val="continue"/>
          </w:tcPr>
          <w:p>
            <w:pPr>
              <w:spacing w:after="0"/>
              <w:rPr>
                <w:sz w:val="24"/>
                <w:szCs w:val="24"/>
                <w:color w:val="auto"/>
              </w:rPr>
            </w:pPr>
          </w:p>
        </w:tc>
        <w:tc>
          <w:tcPr>
            <w:tcW w:w="3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-325755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-325755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41"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Our leases are classified as operating leases and typically are structured to require the monthly payment of minimum rents in advance, subject to periodic increases during the term of the lease; percentage rents based on our tenants’ gross sales volumes, and reimbursement of a majority of on-site operating expenses and real estate taxes. These features in our leases reduce our exposure to higher costs caused by inflation and allow us to participate in improved tenant sales.</w:t>
      </w:r>
    </w:p>
    <w:p>
      <w:pPr>
        <w:spacing w:after="0" w:line="75"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Commercial property leases generally range from 3 to 10 years; however, certain leases with anchor tenants may be longer. Many of our leases contain tenant options that enable the tenant to extend the term of the lease at expiration at pre-established rates that often include fixed rent increases, consumer price index adjustments or other market rate adjustments from the prior base rent. Leases on apartments are generally for a period of one year or less and, in 2004, represented approximately 3.2% of total revenues.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2004 for each of the 10 years beginning with 2005, assuming that none of the tenants exercise their future renewal options. Annualized base rents reflect in-place contractual rents as of December 31, 2004.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Leased</w:t>
            </w:r>
          </w:p>
        </w:tc>
        <w:tc>
          <w:tcPr>
            <w:tcW w:w="780" w:type="dxa"/>
            <w:vAlign w:val="bottom"/>
          </w:tcPr>
          <w:p>
            <w:pPr>
              <w:spacing w:after="0"/>
              <w:rPr>
                <w:sz w:val="14"/>
                <w:szCs w:val="14"/>
                <w:color w:val="auto"/>
              </w:rPr>
            </w:pPr>
          </w:p>
        </w:tc>
        <w:tc>
          <w:tcPr>
            <w:tcW w:w="17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4"/>
              </w:rPr>
              <w:t>Percentage of</w:t>
            </w:r>
          </w:p>
        </w:tc>
        <w:tc>
          <w:tcPr>
            <w:tcW w:w="10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Annualized</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Square</w:t>
            </w:r>
          </w:p>
        </w:tc>
        <w:tc>
          <w:tcPr>
            <w:tcW w:w="780" w:type="dxa"/>
            <w:vAlign w:val="bottom"/>
          </w:tcPr>
          <w:p>
            <w:pPr>
              <w:spacing w:after="0"/>
              <w:rPr>
                <w:sz w:val="12"/>
                <w:szCs w:val="12"/>
                <w:color w:val="auto"/>
              </w:rPr>
            </w:pPr>
          </w:p>
        </w:tc>
        <w:tc>
          <w:tcPr>
            <w:tcW w:w="17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Leased Square</w:t>
            </w:r>
          </w:p>
        </w:tc>
        <w:tc>
          <w:tcPr>
            <w:tcW w:w="100" w:type="dxa"/>
            <w:vAlign w:val="bottom"/>
          </w:tcPr>
          <w:p>
            <w:pPr>
              <w:spacing w:after="0"/>
              <w:rPr>
                <w:sz w:val="12"/>
                <w:szCs w:val="12"/>
                <w:color w:val="auto"/>
              </w:rPr>
            </w:pPr>
          </w:p>
        </w:tc>
        <w:tc>
          <w:tcPr>
            <w:tcW w:w="8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4"/>
              </w:rPr>
              <w:t>Base Rent</w:t>
            </w:r>
          </w:p>
        </w:tc>
        <w:tc>
          <w:tcPr>
            <w:tcW w:w="780" w:type="dxa"/>
            <w:vAlign w:val="bottom"/>
          </w:tcPr>
          <w:p>
            <w:pPr>
              <w:spacing w:after="0"/>
              <w:rPr>
                <w:sz w:val="12"/>
                <w:szCs w:val="12"/>
                <w:color w:val="auto"/>
              </w:rPr>
            </w:pPr>
          </w:p>
        </w:tc>
        <w:tc>
          <w:tcPr>
            <w:tcW w:w="1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Percentage of Annualized</w:t>
            </w:r>
          </w:p>
        </w:tc>
        <w:tc>
          <w:tcPr>
            <w:tcW w:w="0" w:type="dxa"/>
            <w:vAlign w:val="bottom"/>
          </w:tcPr>
          <w:p>
            <w:pPr>
              <w:spacing w:after="0"/>
              <w:rPr>
                <w:sz w:val="1"/>
                <w:szCs w:val="1"/>
                <w:color w:val="auto"/>
              </w:rPr>
            </w:pPr>
          </w:p>
        </w:tc>
      </w:tr>
      <w:tr>
        <w:trPr>
          <w:trHeight w:val="149"/>
        </w:trPr>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Year of Lease</w:t>
            </w:r>
          </w:p>
        </w:tc>
        <w:tc>
          <w:tcPr>
            <w:tcW w:w="3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Footage</w:t>
            </w:r>
          </w:p>
        </w:tc>
        <w:tc>
          <w:tcPr>
            <w:tcW w:w="780" w:type="dxa"/>
            <w:vAlign w:val="bottom"/>
          </w:tcPr>
          <w:p>
            <w:pPr>
              <w:spacing w:after="0"/>
              <w:rPr>
                <w:sz w:val="12"/>
                <w:szCs w:val="12"/>
                <w:color w:val="auto"/>
              </w:rPr>
            </w:pPr>
          </w:p>
        </w:tc>
        <w:tc>
          <w:tcPr>
            <w:tcW w:w="17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4"/>
              </w:rPr>
              <w:t>Footage</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Represented by</w:t>
            </w:r>
          </w:p>
        </w:tc>
        <w:tc>
          <w:tcPr>
            <w:tcW w:w="780" w:type="dxa"/>
            <w:vAlign w:val="bottom"/>
          </w:tcPr>
          <w:p>
            <w:pPr>
              <w:spacing w:after="0"/>
              <w:rPr>
                <w:sz w:val="12"/>
                <w:szCs w:val="12"/>
                <w:color w:val="auto"/>
              </w:rPr>
            </w:pPr>
          </w:p>
        </w:tc>
        <w:tc>
          <w:tcPr>
            <w:tcW w:w="1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Base Rent Represented</w:t>
            </w:r>
          </w:p>
        </w:tc>
        <w:tc>
          <w:tcPr>
            <w:tcW w:w="0" w:type="dxa"/>
            <w:vAlign w:val="bottom"/>
          </w:tcPr>
          <w:p>
            <w:pPr>
              <w:spacing w:after="0"/>
              <w:rPr>
                <w:sz w:val="1"/>
                <w:szCs w:val="1"/>
                <w:color w:val="auto"/>
              </w:rPr>
            </w:pPr>
          </w:p>
        </w:tc>
      </w:tr>
      <w:tr>
        <w:trPr>
          <w:trHeight w:val="174"/>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Expiration</w:t>
            </w:r>
          </w:p>
        </w:tc>
        <w:tc>
          <w:tcPr>
            <w:tcW w:w="37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Expiring</w:t>
            </w:r>
          </w:p>
        </w:tc>
        <w:tc>
          <w:tcPr>
            <w:tcW w:w="780" w:type="dxa"/>
            <w:vAlign w:val="bottom"/>
          </w:tcPr>
          <w:p>
            <w:pPr>
              <w:spacing w:after="0"/>
              <w:rPr>
                <w:sz w:val="15"/>
                <w:szCs w:val="15"/>
                <w:color w:val="auto"/>
              </w:rPr>
            </w:pPr>
          </w:p>
        </w:tc>
        <w:tc>
          <w:tcPr>
            <w:tcW w:w="17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Expiring</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Expiring Leases</w:t>
            </w:r>
          </w:p>
        </w:tc>
        <w:tc>
          <w:tcPr>
            <w:tcW w:w="780" w:type="dxa"/>
            <w:vAlign w:val="bottom"/>
          </w:tcPr>
          <w:p>
            <w:pPr>
              <w:spacing w:after="0"/>
              <w:rPr>
                <w:sz w:val="15"/>
                <w:szCs w:val="15"/>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by Expiring Leases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936,000</w:t>
            </w:r>
          </w:p>
        </w:tc>
        <w:tc>
          <w:tcPr>
            <w:tcW w:w="2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18,132,000</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2006</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1,324,000</w:t>
            </w:r>
          </w:p>
        </w:tc>
        <w:tc>
          <w:tcPr>
            <w:tcW w:w="2560" w:type="dxa"/>
            <w:vAlign w:val="bottom"/>
            <w:gridSpan w:val="3"/>
          </w:tcPr>
          <w:p>
            <w:pPr>
              <w:jc w:val="right"/>
              <w:ind w:right="7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25,031,000</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1,879,000</w:t>
            </w:r>
          </w:p>
        </w:tc>
        <w:tc>
          <w:tcPr>
            <w:tcW w:w="2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31,587,000</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2008</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1,646,000</w:t>
            </w:r>
          </w:p>
        </w:tc>
        <w:tc>
          <w:tcPr>
            <w:tcW w:w="2560" w:type="dxa"/>
            <w:vAlign w:val="bottom"/>
            <w:gridSpan w:val="3"/>
          </w:tcPr>
          <w:p>
            <w:pPr>
              <w:jc w:val="right"/>
              <w:ind w:right="7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29,148,000</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2,096,000</w:t>
            </w:r>
          </w:p>
        </w:tc>
        <w:tc>
          <w:tcPr>
            <w:tcW w:w="2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38,497,000</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2010</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1,073,000</w:t>
            </w:r>
          </w:p>
        </w:tc>
        <w:tc>
          <w:tcPr>
            <w:tcW w:w="2560" w:type="dxa"/>
            <w:vAlign w:val="bottom"/>
            <w:gridSpan w:val="3"/>
          </w:tcPr>
          <w:p>
            <w:pPr>
              <w:jc w:val="right"/>
              <w:ind w:right="7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19,269,000</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892,000</w:t>
            </w:r>
          </w:p>
        </w:tc>
        <w:tc>
          <w:tcPr>
            <w:tcW w:w="2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21,983,000</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2012</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956,000</w:t>
            </w:r>
          </w:p>
        </w:tc>
        <w:tc>
          <w:tcPr>
            <w:tcW w:w="2560" w:type="dxa"/>
            <w:vAlign w:val="bottom"/>
            <w:gridSpan w:val="3"/>
          </w:tcPr>
          <w:p>
            <w:pPr>
              <w:jc w:val="right"/>
              <w:ind w:right="7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20,651,000</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903,000</w:t>
            </w:r>
          </w:p>
        </w:tc>
        <w:tc>
          <w:tcPr>
            <w:tcW w:w="2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17,298,000</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2014</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950,000</w:t>
            </w:r>
          </w:p>
        </w:tc>
        <w:tc>
          <w:tcPr>
            <w:tcW w:w="2560" w:type="dxa"/>
            <w:vAlign w:val="bottom"/>
            <w:gridSpan w:val="3"/>
          </w:tcPr>
          <w:p>
            <w:pPr>
              <w:jc w:val="right"/>
              <w:ind w:right="7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20,803,000</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3,122,000</w:t>
            </w:r>
          </w:p>
        </w:tc>
        <w:tc>
          <w:tcPr>
            <w:tcW w:w="2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46,800,000</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15,777,000</w:t>
            </w:r>
          </w:p>
        </w:tc>
        <w:tc>
          <w:tcPr>
            <w:tcW w:w="2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289,199,000</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8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following table sets forth information concerning all properties, in which we own an equity interest or have a leasehold interest and are consolidated as of December 31, 2004. Except as otherwise noted, we are the sole owner of our retail properties. Principal tenants are the largest tenants in the property based on square feet leased or are tenants important to a property’s success due to their ability to attract retail customers.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Square Feet (1)</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4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4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Percentage</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EAST REGION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completed</w:t>
            </w:r>
          </w:p>
        </w:tc>
        <w:tc>
          <w:tcPr>
            <w:tcW w:w="4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acquired</w:t>
            </w:r>
          </w:p>
        </w:tc>
        <w:tc>
          <w:tcPr>
            <w:tcW w:w="4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4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leased (2)</w:t>
            </w:r>
          </w:p>
        </w:tc>
        <w:tc>
          <w:tcPr>
            <w:tcW w:w="440" w:type="dxa"/>
            <w:vAlign w:val="bottom"/>
          </w:tcPr>
          <w:p>
            <w:pPr>
              <w:spacing w:after="0"/>
              <w:rPr>
                <w:sz w:val="15"/>
                <w:szCs w:val="15"/>
                <w:color w:val="auto"/>
              </w:rPr>
            </w:pPr>
          </w:p>
        </w:tc>
        <w:tc>
          <w:tcPr>
            <w:tcW w:w="1180" w:type="dxa"/>
            <w:vAlign w:val="bottom"/>
          </w:tcPr>
          <w:p>
            <w:pPr>
              <w:ind w:left="120"/>
              <w:spacing w:after="0"/>
              <w:rPr>
                <w:sz w:val="20"/>
                <w:szCs w:val="20"/>
                <w:color w:val="auto"/>
              </w:rPr>
            </w:pPr>
            <w:r>
              <w:rPr>
                <w:rFonts w:ascii="Arial" w:cs="Arial" w:eastAsia="Arial" w:hAnsi="Arial"/>
                <w:sz w:val="14"/>
                <w:szCs w:val="14"/>
                <w:b w:val="1"/>
                <w:bCs w:val="1"/>
                <w:color w:val="auto"/>
                <w:w w:val="95"/>
              </w:rPr>
              <w:t>Principal Tenant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Allwood</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1958</w:t>
            </w:r>
          </w:p>
        </w:tc>
        <w:tc>
          <w:tcPr>
            <w:tcW w:w="106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9"/>
              </w:rPr>
              <w:t>1988</w:t>
            </w:r>
          </w:p>
        </w:tc>
        <w:tc>
          <w:tcPr>
            <w:tcW w:w="13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3"/>
              </w:rPr>
              <w:t>52,000</w:t>
            </w:r>
          </w:p>
        </w:tc>
        <w:tc>
          <w:tcPr>
            <w:tcW w:w="110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3"/>
              </w:rPr>
              <w:t>100%</w:t>
            </w:r>
          </w:p>
        </w:tc>
        <w:tc>
          <w:tcPr>
            <w:tcW w:w="16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Clifton, NJ 07013 (3)</w:t>
            </w: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Mandee’s Shop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80" w:type="dxa"/>
            <w:vAlign w:val="bottom"/>
            <w:gridSpan w:val="2"/>
          </w:tcPr>
          <w:p>
            <w:pPr>
              <w:spacing w:after="0" w:line="138" w:lineRule="exact"/>
              <w:rPr>
                <w:sz w:val="20"/>
                <w:szCs w:val="20"/>
                <w:color w:val="auto"/>
              </w:rPr>
            </w:pPr>
            <w:r>
              <w:rPr>
                <w:rFonts w:ascii="Arial" w:cs="Arial" w:eastAsia="Arial" w:hAnsi="Arial"/>
                <w:sz w:val="14"/>
                <w:szCs w:val="14"/>
                <w:color w:val="auto"/>
              </w:rPr>
              <w:t>Andorra</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1953</w:t>
            </w:r>
          </w:p>
        </w:tc>
        <w:tc>
          <w:tcPr>
            <w:tcW w:w="106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9"/>
              </w:rPr>
              <w:t>1988</w:t>
            </w:r>
          </w:p>
        </w:tc>
        <w:tc>
          <w:tcPr>
            <w:tcW w:w="13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6"/>
              </w:rPr>
              <w:t>267,000</w:t>
            </w:r>
          </w:p>
        </w:tc>
        <w:tc>
          <w:tcPr>
            <w:tcW w:w="110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3"/>
              </w:rPr>
              <w:t>100%</w:t>
            </w:r>
          </w:p>
        </w:tc>
        <w:tc>
          <w:tcPr>
            <w:tcW w:w="16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Philadelphia, PA 19128 (4)</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L.A.Fitness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Bala Cynwyd</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1955</w:t>
            </w:r>
          </w:p>
        </w:tc>
        <w:tc>
          <w:tcPr>
            <w:tcW w:w="106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9"/>
              </w:rPr>
              <w:t>1993</w:t>
            </w:r>
          </w:p>
        </w:tc>
        <w:tc>
          <w:tcPr>
            <w:tcW w:w="13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6"/>
              </w:rPr>
              <w:t>280,000</w:t>
            </w:r>
          </w:p>
        </w:tc>
        <w:tc>
          <w:tcPr>
            <w:tcW w:w="110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3"/>
              </w:rPr>
              <w:t>100%</w:t>
            </w:r>
          </w:p>
        </w:tc>
        <w:tc>
          <w:tcPr>
            <w:tcW w:w="16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Bala Cynwyd, PA 19004</w:t>
            </w: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Lord &amp; Taylor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L.A.Fitness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80" w:type="dxa"/>
            <w:vAlign w:val="bottom"/>
            <w:gridSpan w:val="2"/>
          </w:tcPr>
          <w:p>
            <w:pPr>
              <w:spacing w:after="0" w:line="138" w:lineRule="exact"/>
              <w:rPr>
                <w:sz w:val="20"/>
                <w:szCs w:val="20"/>
                <w:color w:val="auto"/>
              </w:rPr>
            </w:pPr>
            <w:r>
              <w:rPr>
                <w:rFonts w:ascii="Arial" w:cs="Arial" w:eastAsia="Arial" w:hAnsi="Arial"/>
                <w:sz w:val="14"/>
                <w:szCs w:val="14"/>
                <w:color w:val="auto"/>
              </w:rPr>
              <w:t>Barracks Road</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1958</w:t>
            </w:r>
          </w:p>
        </w:tc>
        <w:tc>
          <w:tcPr>
            <w:tcW w:w="106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9"/>
              </w:rPr>
              <w:t>1985</w:t>
            </w:r>
          </w:p>
        </w:tc>
        <w:tc>
          <w:tcPr>
            <w:tcW w:w="13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6"/>
              </w:rPr>
              <w:t>483,000</w:t>
            </w:r>
          </w:p>
        </w:tc>
        <w:tc>
          <w:tcPr>
            <w:tcW w:w="110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92"/>
              </w:rPr>
              <w:t>99%</w:t>
            </w:r>
          </w:p>
        </w:tc>
        <w:tc>
          <w:tcPr>
            <w:tcW w:w="1620" w:type="dxa"/>
            <w:vAlign w:val="bottom"/>
            <w:gridSpan w:val="2"/>
          </w:tcPr>
          <w:p>
            <w:pPr>
              <w:ind w:left="440"/>
              <w:spacing w:after="0" w:line="138" w:lineRule="exact"/>
              <w:rPr>
                <w:sz w:val="20"/>
                <w:szCs w:val="20"/>
                <w:color w:val="auto"/>
              </w:rPr>
            </w:pPr>
            <w:r>
              <w:rPr>
                <w:rFonts w:ascii="Arial" w:cs="Arial" w:eastAsia="Arial" w:hAnsi="Arial"/>
                <w:sz w:val="14"/>
                <w:szCs w:val="14"/>
                <w:color w:val="auto"/>
                <w:w w:val="91"/>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Charlottesville, VA 22905</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Bethesda Row</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1945-1991</w:t>
            </w:r>
          </w:p>
        </w:tc>
        <w:tc>
          <w:tcPr>
            <w:tcW w:w="106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9"/>
              </w:rPr>
              <w:t>1993-1998</w:t>
            </w:r>
          </w:p>
        </w:tc>
        <w:tc>
          <w:tcPr>
            <w:tcW w:w="13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6"/>
              </w:rPr>
              <w:t>440,000</w:t>
            </w:r>
          </w:p>
        </w:tc>
        <w:tc>
          <w:tcPr>
            <w:tcW w:w="110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92"/>
              </w:rPr>
              <w:t>98%</w:t>
            </w:r>
          </w:p>
        </w:tc>
        <w:tc>
          <w:tcPr>
            <w:tcW w:w="16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Bethesda, MD 20814 (8)</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2001</w:t>
            </w: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Landmark Theater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80" w:type="dxa"/>
            <w:vAlign w:val="bottom"/>
            <w:gridSpan w:val="2"/>
          </w:tcPr>
          <w:p>
            <w:pPr>
              <w:spacing w:after="0" w:line="138" w:lineRule="exact"/>
              <w:rPr>
                <w:sz w:val="20"/>
                <w:szCs w:val="20"/>
                <w:color w:val="auto"/>
              </w:rPr>
            </w:pPr>
            <w:r>
              <w:rPr>
                <w:rFonts w:ascii="Arial" w:cs="Arial" w:eastAsia="Arial" w:hAnsi="Arial"/>
                <w:sz w:val="14"/>
                <w:szCs w:val="14"/>
                <w:color w:val="auto"/>
              </w:rPr>
              <w:t>Blue Star</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1959</w:t>
            </w:r>
          </w:p>
        </w:tc>
        <w:tc>
          <w:tcPr>
            <w:tcW w:w="106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9"/>
              </w:rPr>
              <w:t>1988</w:t>
            </w:r>
          </w:p>
        </w:tc>
        <w:tc>
          <w:tcPr>
            <w:tcW w:w="13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6"/>
              </w:rPr>
              <w:t>407,000</w:t>
            </w:r>
          </w:p>
        </w:tc>
        <w:tc>
          <w:tcPr>
            <w:tcW w:w="110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3"/>
              </w:rPr>
              <w:t>100%</w:t>
            </w:r>
          </w:p>
        </w:tc>
        <w:tc>
          <w:tcPr>
            <w:tcW w:w="16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Watchung, NJ 07060 (3)</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20" w:type="dxa"/>
            <w:vAlign w:val="bottom"/>
            <w:gridSpan w:val="2"/>
          </w:tcPr>
          <w:p>
            <w:pPr>
              <w:ind w:left="440"/>
              <w:spacing w:after="0"/>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bl>
    <w:p>
      <w:pPr>
        <w:ind w:left="10240"/>
        <w:spacing w:after="0" w:line="221" w:lineRule="auto"/>
        <w:rPr>
          <w:sz w:val="20"/>
          <w:szCs w:val="20"/>
          <w:color w:val="auto"/>
        </w:rPr>
      </w:pPr>
      <w:r>
        <w:rPr>
          <w:rFonts w:ascii="Arial" w:cs="Arial" w:eastAsia="Arial" w:hAnsi="Arial"/>
          <w:sz w:val="14"/>
          <w:szCs w:val="14"/>
          <w:color w:val="auto"/>
        </w:rPr>
        <w:t>Toys R Us</w:t>
      </w:r>
    </w:p>
    <w:p>
      <w:pPr>
        <w:ind w:left="10240"/>
        <w:spacing w:after="0"/>
        <w:rPr>
          <w:sz w:val="20"/>
          <w:szCs w:val="20"/>
          <w:color w:val="auto"/>
        </w:rPr>
      </w:pPr>
      <w:r>
        <w:rPr>
          <w:rFonts w:ascii="Arial" w:cs="Arial" w:eastAsia="Arial" w:hAnsi="Arial"/>
          <w:sz w:val="14"/>
          <w:szCs w:val="14"/>
          <w:color w:val="auto"/>
        </w:rPr>
        <w:t>Marshalls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Retail and Residential Properties—continued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Square Feet (1)</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Year</w:t>
            </w:r>
          </w:p>
        </w:tc>
        <w:tc>
          <w:tcPr>
            <w:tcW w:w="5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5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Percentage</w:t>
            </w: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79"/>
              </w:rPr>
              <w:t>completed</w:t>
            </w: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acquired</w:t>
            </w:r>
          </w:p>
        </w:tc>
        <w:tc>
          <w:tcPr>
            <w:tcW w:w="5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5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leased (2)</w:t>
            </w:r>
          </w:p>
        </w:tc>
        <w:tc>
          <w:tcPr>
            <w:tcW w:w="54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w w:val="95"/>
              </w:rPr>
              <w:t>Principal Tenant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Brick Plaza</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1958</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1989</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409,000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98%</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A&amp;P Supermarket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Brick Township, NJ 08723 (7)</w:t>
            </w: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Loews Theatres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Bristol</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1959</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1995</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277,000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92"/>
              </w:rPr>
              <w:t>95%</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Bristol, CT 06010</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Brunswick</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1957</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1988</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303,000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97%</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A&amp;P Supermarket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North Brunswick, NJ 08902 (3)</w:t>
            </w: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A.J.Wright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Congressional Plaza</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1965</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1965</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337,000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Rockville, MD 20852 (5)</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Tower Records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Congressional Plaza Residential</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2003</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1965</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5"/>
              </w:rPr>
              <w:t>146</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97%</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Rockville, MD 20852 (5)</w:t>
            </w: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units</w:t>
            </w: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Courthouse Center</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1970</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1997</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3"/>
              </w:rPr>
              <w:t>38,000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Rockville, MD 20852 (6)</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Clifton</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1959</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1988</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3"/>
              </w:rPr>
              <w:t>80,000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96%</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Drug Fair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Clifton, NJ 07013 (3)</w:t>
            </w: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Dollar Express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Crossroads</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1959</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1993</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173,000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92"/>
              </w:rPr>
              <w:t>97%</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Comp USA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Highland Park, IL 60035</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Golfsmith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Dedham</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1959</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1993</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243,000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98%</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Pier 1 Imports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Dedham, MA 02026</w:t>
            </w: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Eastgate</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1963</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1986</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159,000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92"/>
              </w:rPr>
              <w:t>86%</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Earth Fare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Chapel Hill, NC 27514</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Ellisburg Circle</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1959</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1992</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267,000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Genuardi’s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Cherry Hill, NJ 08034</w:t>
            </w: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Bed, Bath &amp; Beyond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Falls Plaza</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1962</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1967</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3"/>
              </w:rPr>
              <w:t>73,000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Falls Church, VA 22046</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Falls Plaza – East</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1960</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1972</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3"/>
              </w:rPr>
              <w:t>71,000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Falls Church, VA 22046</w:t>
            </w: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Feasterville</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1958</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1980</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111,000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Genuardi’s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Feasterville, PA 19047</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Federal Plaza</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1970</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1989</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247,000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99%</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Comp USA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Rockville, MD 20852</w:t>
            </w: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Ross Dress For Less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Finley Square</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1974</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1995</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313,000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w w:val="88"/>
              </w:rPr>
              <w:t>Bed, Bath &amp; Beyond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Downers Grove, IL 60515</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Flourtown</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1957</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1980</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187,000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54%</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Genuardi’s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Flourtown, PA 19031</w:t>
            </w: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Forest Hills</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6"/>
              </w:rPr>
              <w:t>1937-1987</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1997</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3"/>
              </w:rPr>
              <w:t>86,000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Forest Hills, NY</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Duane Reade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Friendship Center</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1998</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2001</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119,000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Washington, D.C 20015</w:t>
            </w: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Linens ‘n Things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Retail and Residential Properties—continued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Square Feet (1)</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5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5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completed</w:t>
            </w:r>
          </w:p>
        </w:tc>
        <w:tc>
          <w:tcPr>
            <w:tcW w:w="5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acquired</w:t>
            </w:r>
          </w:p>
        </w:tc>
        <w:tc>
          <w:tcPr>
            <w:tcW w:w="5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5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leased (2)</w:t>
            </w:r>
          </w:p>
        </w:tc>
        <w:tc>
          <w:tcPr>
            <w:tcW w:w="560" w:type="dxa"/>
            <w:vAlign w:val="bottom"/>
          </w:tcPr>
          <w:p>
            <w:pPr>
              <w:spacing w:after="0"/>
              <w:rPr>
                <w:sz w:val="15"/>
                <w:szCs w:val="15"/>
                <w:color w:val="auto"/>
              </w:rPr>
            </w:pPr>
          </w:p>
        </w:tc>
        <w:tc>
          <w:tcPr>
            <w:tcW w:w="1420" w:type="dxa"/>
            <w:vAlign w:val="bottom"/>
          </w:tcPr>
          <w:p>
            <w:pPr>
              <w:ind w:left="220"/>
              <w:spacing w:after="0"/>
              <w:rPr>
                <w:sz w:val="20"/>
                <w:szCs w:val="20"/>
                <w:color w:val="auto"/>
              </w:rPr>
            </w:pPr>
            <w:r>
              <w:rPr>
                <w:rFonts w:ascii="Arial" w:cs="Arial" w:eastAsia="Arial" w:hAnsi="Arial"/>
                <w:sz w:val="14"/>
                <w:szCs w:val="14"/>
                <w:b w:val="1"/>
                <w:bCs w:val="1"/>
                <w:color w:val="auto"/>
              </w:rPr>
              <w:t>Principal Tenant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Fresh Meadows</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1949</w:t>
            </w:r>
          </w:p>
        </w:tc>
        <w:tc>
          <w:tcPr>
            <w:tcW w:w="10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1997</w:t>
            </w:r>
          </w:p>
        </w:tc>
        <w:tc>
          <w:tcPr>
            <w:tcW w:w="14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403,000</w:t>
            </w:r>
          </w:p>
        </w:tc>
        <w:tc>
          <w:tcPr>
            <w:tcW w:w="120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5"/>
              </w:rPr>
              <w:t>92%</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Cineplex Odeon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Queens, NY 11365</w:t>
            </w: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Filene’s Basement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tcPr>
          <w:p>
            <w:pPr>
              <w:spacing w:after="0" w:line="138" w:lineRule="exact"/>
              <w:rPr>
                <w:sz w:val="20"/>
                <w:szCs w:val="20"/>
                <w:color w:val="auto"/>
              </w:rPr>
            </w:pPr>
            <w:r>
              <w:rPr>
                <w:rFonts w:ascii="Arial" w:cs="Arial" w:eastAsia="Arial" w:hAnsi="Arial"/>
                <w:sz w:val="14"/>
                <w:szCs w:val="14"/>
                <w:color w:val="auto"/>
              </w:rPr>
              <w:t>Gaithersburg Square</w:t>
            </w: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1966</w:t>
            </w:r>
          </w:p>
        </w:tc>
        <w:tc>
          <w:tcPr>
            <w:tcW w:w="106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1993</w:t>
            </w:r>
          </w:p>
        </w:tc>
        <w:tc>
          <w:tcPr>
            <w:tcW w:w="14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215,000</w:t>
            </w:r>
          </w:p>
        </w:tc>
        <w:tc>
          <w:tcPr>
            <w:tcW w:w="120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5"/>
              </w:rPr>
              <w:t>90%</w:t>
            </w:r>
          </w:p>
        </w:tc>
        <w:tc>
          <w:tcPr>
            <w:tcW w:w="5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Gaithersburg, MD 20878</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w w:val="87"/>
              </w:rPr>
              <w:t>Borders Books and Music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Garden Market</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1958</w:t>
            </w:r>
          </w:p>
        </w:tc>
        <w:tc>
          <w:tcPr>
            <w:tcW w:w="10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1994</w:t>
            </w:r>
          </w:p>
        </w:tc>
        <w:tc>
          <w:tcPr>
            <w:tcW w:w="14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140,000</w:t>
            </w:r>
          </w:p>
        </w:tc>
        <w:tc>
          <w:tcPr>
            <w:tcW w:w="120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9"/>
              </w:rPr>
              <w:t>100%</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Dominick’s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Western Springs, IL 60558</w:t>
            </w: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tcPr>
          <w:p>
            <w:pPr>
              <w:spacing w:after="0" w:line="138" w:lineRule="exact"/>
              <w:rPr>
                <w:sz w:val="20"/>
                <w:szCs w:val="20"/>
                <w:color w:val="auto"/>
              </w:rPr>
            </w:pPr>
            <w:r>
              <w:rPr>
                <w:rFonts w:ascii="Arial" w:cs="Arial" w:eastAsia="Arial" w:hAnsi="Arial"/>
                <w:sz w:val="14"/>
                <w:szCs w:val="14"/>
                <w:color w:val="auto"/>
              </w:rPr>
              <w:t>Governor Plaza</w:t>
            </w: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1963</w:t>
            </w:r>
          </w:p>
        </w:tc>
        <w:tc>
          <w:tcPr>
            <w:tcW w:w="106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1985</w:t>
            </w:r>
          </w:p>
        </w:tc>
        <w:tc>
          <w:tcPr>
            <w:tcW w:w="14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269,000</w:t>
            </w:r>
          </w:p>
        </w:tc>
        <w:tc>
          <w:tcPr>
            <w:tcW w:w="120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5"/>
              </w:rPr>
              <w:t>80%</w:t>
            </w:r>
          </w:p>
        </w:tc>
        <w:tc>
          <w:tcPr>
            <w:tcW w:w="5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Glen Burnie, MD 21961 (4)</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Comp USA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Bally’s Total 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Gratiot Plaza</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1964</w:t>
            </w:r>
          </w:p>
        </w:tc>
        <w:tc>
          <w:tcPr>
            <w:tcW w:w="10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1973</w:t>
            </w:r>
          </w:p>
        </w:tc>
        <w:tc>
          <w:tcPr>
            <w:tcW w:w="14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217,000</w:t>
            </w:r>
          </w:p>
        </w:tc>
        <w:tc>
          <w:tcPr>
            <w:tcW w:w="120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9"/>
              </w:rPr>
              <w:t>100%</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Roseville, MI 48066</w:t>
            </w: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Farmer Jack’s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tcPr>
          <w:p>
            <w:pPr>
              <w:spacing w:after="0" w:line="138" w:lineRule="exact"/>
              <w:rPr>
                <w:sz w:val="20"/>
                <w:szCs w:val="20"/>
                <w:color w:val="auto"/>
              </w:rPr>
            </w:pPr>
            <w:r>
              <w:rPr>
                <w:rFonts w:ascii="Arial" w:cs="Arial" w:eastAsia="Arial" w:hAnsi="Arial"/>
                <w:sz w:val="14"/>
                <w:szCs w:val="14"/>
                <w:color w:val="auto"/>
              </w:rPr>
              <w:t>Greenlawn Plaza</w:t>
            </w: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1975</w:t>
            </w:r>
          </w:p>
        </w:tc>
        <w:tc>
          <w:tcPr>
            <w:tcW w:w="106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2000</w:t>
            </w:r>
          </w:p>
        </w:tc>
        <w:tc>
          <w:tcPr>
            <w:tcW w:w="14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102,000</w:t>
            </w:r>
          </w:p>
        </w:tc>
        <w:tc>
          <w:tcPr>
            <w:tcW w:w="120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9"/>
              </w:rPr>
              <w:t>100%</w:t>
            </w:r>
          </w:p>
        </w:tc>
        <w:tc>
          <w:tcPr>
            <w:tcW w:w="5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Waldbaum’s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ind w:left="200"/>
              <w:spacing w:after="0" w:line="159" w:lineRule="exact"/>
              <w:rPr>
                <w:sz w:val="20"/>
                <w:szCs w:val="20"/>
                <w:color w:val="auto"/>
              </w:rPr>
            </w:pPr>
            <w:r>
              <w:rPr>
                <w:rFonts w:ascii="Arial" w:cs="Arial" w:eastAsia="Arial" w:hAnsi="Arial"/>
                <w:sz w:val="14"/>
                <w:szCs w:val="14"/>
                <w:color w:val="auto"/>
              </w:rPr>
              <w:t>Greenlawn, NY 11740</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Greenwich Avenue</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1995</w:t>
            </w:r>
          </w:p>
        </w:tc>
        <w:tc>
          <w:tcPr>
            <w:tcW w:w="10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1994-</w:t>
            </w:r>
          </w:p>
        </w:tc>
        <w:tc>
          <w:tcPr>
            <w:tcW w:w="14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8"/>
              </w:rPr>
              <w:t>42,000</w:t>
            </w:r>
          </w:p>
        </w:tc>
        <w:tc>
          <w:tcPr>
            <w:tcW w:w="120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9"/>
              </w:rPr>
              <w:t>100%</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Sak Fifth Avenue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Greenwich Avenue, CT</w:t>
            </w:r>
          </w:p>
        </w:tc>
        <w:tc>
          <w:tcPr>
            <w:tcW w:w="6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center"/>
              <w:ind w:left="492"/>
              <w:spacing w:after="0" w:line="159" w:lineRule="exact"/>
              <w:rPr>
                <w:sz w:val="20"/>
                <w:szCs w:val="20"/>
                <w:color w:val="auto"/>
              </w:rPr>
            </w:pPr>
            <w:r>
              <w:rPr>
                <w:rFonts w:ascii="Arial" w:cs="Arial" w:eastAsia="Arial" w:hAnsi="Arial"/>
                <w:sz w:val="14"/>
                <w:szCs w:val="14"/>
                <w:color w:val="auto"/>
                <w:w w:val="83"/>
              </w:rPr>
              <w:t>1996</w:t>
            </w: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tcPr>
          <w:p>
            <w:pPr>
              <w:spacing w:after="0" w:line="138" w:lineRule="exact"/>
              <w:rPr>
                <w:sz w:val="20"/>
                <w:szCs w:val="20"/>
                <w:color w:val="auto"/>
              </w:rPr>
            </w:pPr>
            <w:r>
              <w:rPr>
                <w:rFonts w:ascii="Arial" w:cs="Arial" w:eastAsia="Arial" w:hAnsi="Arial"/>
                <w:sz w:val="14"/>
                <w:szCs w:val="14"/>
                <w:color w:val="auto"/>
              </w:rPr>
              <w:t>Hamilton</w:t>
            </w: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1961</w:t>
            </w:r>
          </w:p>
        </w:tc>
        <w:tc>
          <w:tcPr>
            <w:tcW w:w="106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1988</w:t>
            </w:r>
          </w:p>
        </w:tc>
        <w:tc>
          <w:tcPr>
            <w:tcW w:w="14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190,000</w:t>
            </w:r>
          </w:p>
        </w:tc>
        <w:tc>
          <w:tcPr>
            <w:tcW w:w="120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9"/>
              </w:rPr>
              <w:t>100%</w:t>
            </w:r>
          </w:p>
        </w:tc>
        <w:tc>
          <w:tcPr>
            <w:tcW w:w="5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Hamilton, NJ 08690 (3)</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Stevens Furniture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Hauppauge</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1963</w:t>
            </w:r>
          </w:p>
        </w:tc>
        <w:tc>
          <w:tcPr>
            <w:tcW w:w="10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1998</w:t>
            </w:r>
          </w:p>
        </w:tc>
        <w:tc>
          <w:tcPr>
            <w:tcW w:w="14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131,000</w:t>
            </w:r>
          </w:p>
        </w:tc>
        <w:tc>
          <w:tcPr>
            <w:tcW w:w="120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9"/>
              </w:rPr>
              <w:t>100%</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Hauppauge, NY 11788</w:t>
            </w: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tcPr>
          <w:p>
            <w:pPr>
              <w:spacing w:after="0" w:line="138" w:lineRule="exact"/>
              <w:rPr>
                <w:sz w:val="20"/>
                <w:szCs w:val="20"/>
                <w:color w:val="auto"/>
              </w:rPr>
            </w:pPr>
            <w:r>
              <w:rPr>
                <w:rFonts w:ascii="Arial" w:cs="Arial" w:eastAsia="Arial" w:hAnsi="Arial"/>
                <w:sz w:val="14"/>
                <w:szCs w:val="14"/>
                <w:color w:val="auto"/>
              </w:rPr>
              <w:t>Huntington</w:t>
            </w: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1962</w:t>
            </w:r>
          </w:p>
        </w:tc>
        <w:tc>
          <w:tcPr>
            <w:tcW w:w="106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1988</w:t>
            </w:r>
          </w:p>
        </w:tc>
        <w:tc>
          <w:tcPr>
            <w:tcW w:w="14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279,000</w:t>
            </w:r>
          </w:p>
        </w:tc>
        <w:tc>
          <w:tcPr>
            <w:tcW w:w="120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9"/>
              </w:rPr>
              <w:t>100%</w:t>
            </w:r>
          </w:p>
        </w:tc>
        <w:tc>
          <w:tcPr>
            <w:tcW w:w="5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Huntington, NY 11746 (3)</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Idylwood Plaza</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1991</w:t>
            </w:r>
          </w:p>
        </w:tc>
        <w:tc>
          <w:tcPr>
            <w:tcW w:w="10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1994</w:t>
            </w:r>
          </w:p>
        </w:tc>
        <w:tc>
          <w:tcPr>
            <w:tcW w:w="14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8"/>
              </w:rPr>
              <w:t>73,000</w:t>
            </w:r>
          </w:p>
        </w:tc>
        <w:tc>
          <w:tcPr>
            <w:tcW w:w="120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9"/>
              </w:rPr>
              <w:t>100%</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Falls Church, VA 22030</w:t>
            </w: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tcPr>
          <w:p>
            <w:pPr>
              <w:spacing w:after="0" w:line="138" w:lineRule="exact"/>
              <w:rPr>
                <w:sz w:val="20"/>
                <w:szCs w:val="20"/>
                <w:color w:val="auto"/>
              </w:rPr>
            </w:pPr>
            <w:r>
              <w:rPr>
                <w:rFonts w:ascii="Arial" w:cs="Arial" w:eastAsia="Arial" w:hAnsi="Arial"/>
                <w:sz w:val="14"/>
                <w:szCs w:val="14"/>
                <w:color w:val="auto"/>
              </w:rPr>
              <w:t>Lancaster</w:t>
            </w: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1958</w:t>
            </w:r>
          </w:p>
        </w:tc>
        <w:tc>
          <w:tcPr>
            <w:tcW w:w="106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1980</w:t>
            </w:r>
          </w:p>
        </w:tc>
        <w:tc>
          <w:tcPr>
            <w:tcW w:w="14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107,000</w:t>
            </w:r>
          </w:p>
        </w:tc>
        <w:tc>
          <w:tcPr>
            <w:tcW w:w="120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9"/>
              </w:rPr>
              <w:t>100%</w:t>
            </w:r>
          </w:p>
        </w:tc>
        <w:tc>
          <w:tcPr>
            <w:tcW w:w="5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ind w:left="200"/>
              <w:spacing w:after="0" w:line="159" w:lineRule="exact"/>
              <w:rPr>
                <w:sz w:val="20"/>
                <w:szCs w:val="20"/>
                <w:color w:val="auto"/>
              </w:rPr>
            </w:pPr>
            <w:r>
              <w:rPr>
                <w:rFonts w:ascii="Arial" w:cs="Arial" w:eastAsia="Arial" w:hAnsi="Arial"/>
                <w:sz w:val="14"/>
                <w:szCs w:val="14"/>
                <w:color w:val="auto"/>
              </w:rPr>
              <w:t>Lancaster, PA 17601 (3)</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Langhorne Square</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1966</w:t>
            </w:r>
          </w:p>
        </w:tc>
        <w:tc>
          <w:tcPr>
            <w:tcW w:w="10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1985</w:t>
            </w:r>
          </w:p>
        </w:tc>
        <w:tc>
          <w:tcPr>
            <w:tcW w:w="14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216,000</w:t>
            </w:r>
          </w:p>
        </w:tc>
        <w:tc>
          <w:tcPr>
            <w:tcW w:w="120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5"/>
              </w:rPr>
              <w:t>88%</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Levittown, PA 19056</w:t>
            </w: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Redner’s Market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tcPr>
          <w:p>
            <w:pPr>
              <w:spacing w:after="0" w:line="138" w:lineRule="exact"/>
              <w:rPr>
                <w:sz w:val="20"/>
                <w:szCs w:val="20"/>
                <w:color w:val="auto"/>
              </w:rPr>
            </w:pPr>
            <w:r>
              <w:rPr>
                <w:rFonts w:ascii="Arial" w:cs="Arial" w:eastAsia="Arial" w:hAnsi="Arial"/>
                <w:sz w:val="14"/>
                <w:szCs w:val="14"/>
                <w:color w:val="auto"/>
              </w:rPr>
              <w:t>Laurel Centre</w:t>
            </w: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1956</w:t>
            </w:r>
          </w:p>
        </w:tc>
        <w:tc>
          <w:tcPr>
            <w:tcW w:w="106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1986</w:t>
            </w:r>
          </w:p>
        </w:tc>
        <w:tc>
          <w:tcPr>
            <w:tcW w:w="14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387,000</w:t>
            </w:r>
          </w:p>
        </w:tc>
        <w:tc>
          <w:tcPr>
            <w:tcW w:w="120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5"/>
              </w:rPr>
              <w:t>98%</w:t>
            </w:r>
          </w:p>
        </w:tc>
        <w:tc>
          <w:tcPr>
            <w:tcW w:w="5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Laurel, MD 20707 (4)</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Lawrence Park</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1972</w:t>
            </w:r>
          </w:p>
        </w:tc>
        <w:tc>
          <w:tcPr>
            <w:tcW w:w="10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1980</w:t>
            </w:r>
          </w:p>
        </w:tc>
        <w:tc>
          <w:tcPr>
            <w:tcW w:w="14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354,000</w:t>
            </w:r>
          </w:p>
        </w:tc>
        <w:tc>
          <w:tcPr>
            <w:tcW w:w="120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5"/>
              </w:rPr>
              <w:t>98%</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Broomall, PA 19008</w:t>
            </w: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tcPr>
          <w:p>
            <w:pPr>
              <w:spacing w:after="0" w:line="138" w:lineRule="exact"/>
              <w:rPr>
                <w:sz w:val="20"/>
                <w:szCs w:val="20"/>
                <w:color w:val="auto"/>
              </w:rPr>
            </w:pPr>
            <w:r>
              <w:rPr>
                <w:rFonts w:ascii="Arial" w:cs="Arial" w:eastAsia="Arial" w:hAnsi="Arial"/>
                <w:sz w:val="14"/>
                <w:szCs w:val="14"/>
                <w:color w:val="auto"/>
              </w:rPr>
              <w:t>Leesburg Plaza</w:t>
            </w: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1967</w:t>
            </w:r>
          </w:p>
        </w:tc>
        <w:tc>
          <w:tcPr>
            <w:tcW w:w="106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1998</w:t>
            </w:r>
          </w:p>
        </w:tc>
        <w:tc>
          <w:tcPr>
            <w:tcW w:w="14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231,000</w:t>
            </w:r>
          </w:p>
        </w:tc>
        <w:tc>
          <w:tcPr>
            <w:tcW w:w="120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5"/>
              </w:rPr>
              <w:t>94%</w:t>
            </w:r>
          </w:p>
        </w:tc>
        <w:tc>
          <w:tcPr>
            <w:tcW w:w="5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Leesburg, VA 20176 (6)</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Pier 1 Imports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Loehmann’s Plaza</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1971</w:t>
            </w:r>
          </w:p>
        </w:tc>
        <w:tc>
          <w:tcPr>
            <w:tcW w:w="10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1983</w:t>
            </w:r>
          </w:p>
        </w:tc>
        <w:tc>
          <w:tcPr>
            <w:tcW w:w="14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251,000</w:t>
            </w:r>
          </w:p>
        </w:tc>
        <w:tc>
          <w:tcPr>
            <w:tcW w:w="120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9"/>
              </w:rPr>
              <w:t>100%</w:t>
            </w:r>
          </w:p>
        </w:tc>
        <w:tc>
          <w:tcPr>
            <w:tcW w:w="5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Linens ‘n Things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Fairfax, VA 22042</w:t>
            </w: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Bally’s Total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1"/>
              </w:rPr>
              <w:t>Loehmann’s Dress Shop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tcPr>
          <w:p>
            <w:pPr>
              <w:spacing w:after="0" w:line="138" w:lineRule="exact"/>
              <w:rPr>
                <w:sz w:val="20"/>
                <w:szCs w:val="20"/>
                <w:color w:val="auto"/>
              </w:rPr>
            </w:pPr>
            <w:r>
              <w:rPr>
                <w:rFonts w:ascii="Arial" w:cs="Arial" w:eastAsia="Arial" w:hAnsi="Arial"/>
                <w:sz w:val="14"/>
                <w:szCs w:val="14"/>
                <w:color w:val="auto"/>
              </w:rPr>
              <w:t>Mercer Mall</w:t>
            </w: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1975</w:t>
            </w:r>
          </w:p>
        </w:tc>
        <w:tc>
          <w:tcPr>
            <w:tcW w:w="106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2003</w:t>
            </w:r>
          </w:p>
        </w:tc>
        <w:tc>
          <w:tcPr>
            <w:tcW w:w="14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493,000</w:t>
            </w:r>
          </w:p>
        </w:tc>
        <w:tc>
          <w:tcPr>
            <w:tcW w:w="120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5"/>
              </w:rPr>
              <w:t>96%</w:t>
            </w:r>
          </w:p>
        </w:tc>
        <w:tc>
          <w:tcPr>
            <w:tcW w:w="5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Raymour &amp; Flanigan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Lawrenceville, NJ 08648 (3)</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bl>
    <w:p>
      <w:pPr>
        <w:ind w:left="10000"/>
        <w:spacing w:after="0" w:line="221" w:lineRule="auto"/>
        <w:rPr>
          <w:sz w:val="20"/>
          <w:szCs w:val="20"/>
          <w:color w:val="auto"/>
        </w:rPr>
      </w:pPr>
      <w:r>
        <w:rPr>
          <w:rFonts w:ascii="Arial" w:cs="Arial" w:eastAsia="Arial" w:hAnsi="Arial"/>
          <w:sz w:val="14"/>
          <w:szCs w:val="14"/>
          <w:color w:val="auto"/>
        </w:rPr>
        <w:t>TJ Maxx</w:t>
      </w:r>
    </w:p>
    <w:p>
      <w:pPr>
        <w:ind w:left="10000"/>
        <w:spacing w:after="0"/>
        <w:rPr>
          <w:sz w:val="20"/>
          <w:szCs w:val="20"/>
          <w:color w:val="auto"/>
        </w:rPr>
      </w:pPr>
      <w:r>
        <w:rPr>
          <w:rFonts w:ascii="Arial" w:cs="Arial" w:eastAsia="Arial" w:hAnsi="Arial"/>
          <w:sz w:val="14"/>
          <w:szCs w:val="14"/>
          <w:color w:val="auto"/>
        </w:rPr>
        <w:t>Shop Rite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Retail and Residential Properties—continued</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Square Feet (1)</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Year</w:t>
            </w:r>
          </w:p>
        </w:tc>
        <w:tc>
          <w:tcPr>
            <w:tcW w:w="5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5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Percentage</w:t>
            </w: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79"/>
              </w:rPr>
              <w:t>completed</w:t>
            </w: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acquired</w:t>
            </w:r>
          </w:p>
        </w:tc>
        <w:tc>
          <w:tcPr>
            <w:tcW w:w="5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5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leased (2)</w:t>
            </w:r>
          </w:p>
        </w:tc>
        <w:tc>
          <w:tcPr>
            <w:tcW w:w="54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w w:val="95"/>
              </w:rPr>
              <w:t>Principal Tenant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Mid-Pike Plaza</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1963</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1982</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312,000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93%</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Bally’s Total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Rockville, MD 20852 (3)</w:t>
            </w: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Linens ‘n Things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 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Mount Vernon Plaza</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1972</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2003</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236,000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92"/>
              </w:rPr>
              <w:t>95%</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Shoppers Food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Alexandria, VA 22306 (6) (7)</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Warehouse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Northeast</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1959</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1983</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292,000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92%</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Philadelphia, PA 19114</w:t>
            </w: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Tower Records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North Lake Commons</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1989</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1994</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129,000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92"/>
              </w:rPr>
              <w:t>93%</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Dominick’s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Lake Zurich, IL 60047</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Old Keene Mill</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1968</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1976</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3"/>
              </w:rPr>
              <w:t>92,000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Springfield, VA 22152</w:t>
            </w: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Pan Am</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1979</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1993</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218,000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Fairfax, VA 22031</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Pentagon Row</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2001-2002</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1999</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296,000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98%</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Arlington, VA 22202 (7)</w:t>
            </w: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Plus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World 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Bally’s Total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Perring Plaza</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1963</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1985</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401,000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92"/>
              </w:rPr>
              <w:t>97%</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Baltimore, MD 21134 (4)</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Shoppers Food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Warehouse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Jo-Ann 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Pike 7 Plaza</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1968</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1997</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164,000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Vienna, VA 22180 (6)</w:t>
            </w: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Tower Records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Queen Anne Plaza</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1967</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1994</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149,000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Norwell, MA 02061</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Victory Markets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Quince Orchard</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1975</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1993</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252,000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99%</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Circuit City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Gaithersburg, MD 20877 (7)</w:t>
            </w: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Magruders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Rollingwood Apartments</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1960</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1971</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5"/>
              </w:rPr>
              <w:t>282</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92"/>
              </w:rPr>
              <w:t>96%</w:t>
            </w: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Silver Spring, MD 20910</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units</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9 three-story buildings</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Rutgers</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1973</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1988</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267,000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Franklin, N.J. 08873 (3)</w:t>
            </w: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Sam’s Park &amp; Shop</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1930</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1995</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3"/>
              </w:rPr>
              <w:t>51,000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Washington, DC 20008</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Saugus Plaza</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1976</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1996</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171,000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3"/>
              </w:rPr>
              <w:t>100%</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Saugus, MA 01906</w:t>
            </w: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Shaw’s Plaza</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1990</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2004</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3"/>
              </w:rPr>
              <w:t>75,000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92"/>
              </w:rPr>
              <w:t>93%</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w w:val="86"/>
              </w:rPr>
              <w:t>Shaw’s Supermarket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Carver, MA 02330</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Shirlington</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1940</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1995</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204,000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99%</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Carlyle Grand Café</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Arlington, VA 22206</w:t>
            </w: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Cineplex Odeon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tcPr>
          <w:p>
            <w:pPr>
              <w:spacing w:after="0" w:line="138" w:lineRule="exact"/>
              <w:rPr>
                <w:sz w:val="20"/>
                <w:szCs w:val="20"/>
                <w:color w:val="auto"/>
              </w:rPr>
            </w:pPr>
            <w:r>
              <w:rPr>
                <w:rFonts w:ascii="Arial" w:cs="Arial" w:eastAsia="Arial" w:hAnsi="Arial"/>
                <w:sz w:val="14"/>
                <w:szCs w:val="14"/>
                <w:color w:val="auto"/>
              </w:rPr>
              <w:t>South Valley Shopping Center</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83"/>
              </w:rPr>
              <w:t>1966</w:t>
            </w:r>
          </w:p>
        </w:tc>
        <w:tc>
          <w:tcPr>
            <w:tcW w:w="106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9"/>
              </w:rPr>
              <w:t>2003</w:t>
            </w:r>
          </w:p>
        </w:tc>
        <w:tc>
          <w:tcPr>
            <w:tcW w:w="1420" w:type="dxa"/>
            <w:vAlign w:val="bottom"/>
            <w:gridSpan w:val="2"/>
          </w:tcPr>
          <w:p>
            <w:pPr>
              <w:jc w:val="center"/>
              <w:ind w:left="472"/>
              <w:spacing w:after="0" w:line="138" w:lineRule="exact"/>
              <w:rPr>
                <w:sz w:val="20"/>
                <w:szCs w:val="20"/>
                <w:color w:val="auto"/>
              </w:rPr>
            </w:pPr>
            <w:r>
              <w:rPr>
                <w:rFonts w:ascii="Arial" w:cs="Arial" w:eastAsia="Arial" w:hAnsi="Arial"/>
                <w:sz w:val="14"/>
                <w:szCs w:val="14"/>
                <w:color w:val="auto"/>
                <w:w w:val="86"/>
              </w:rPr>
              <w:t>218,000</w:t>
            </w:r>
          </w:p>
        </w:tc>
        <w:tc>
          <w:tcPr>
            <w:tcW w:w="122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92"/>
              </w:rPr>
              <w:t>85%</w:t>
            </w:r>
          </w:p>
        </w:tc>
        <w:tc>
          <w:tcPr>
            <w:tcW w:w="540" w:type="dxa"/>
            <w:vAlign w:val="bottom"/>
          </w:tcPr>
          <w:p>
            <w:pPr>
              <w:spacing w:after="0"/>
              <w:rPr>
                <w:sz w:val="11"/>
                <w:szCs w:val="11"/>
                <w:color w:val="auto"/>
              </w:rPr>
            </w:pPr>
          </w:p>
        </w:tc>
        <w:tc>
          <w:tcPr>
            <w:tcW w:w="1140" w:type="dxa"/>
            <w:vAlign w:val="bottom"/>
          </w:tcPr>
          <w:p>
            <w:pPr>
              <w:spacing w:after="0" w:line="138"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tcPr>
          <w:p>
            <w:pPr>
              <w:ind w:left="200"/>
              <w:spacing w:after="0" w:line="159" w:lineRule="exact"/>
              <w:rPr>
                <w:sz w:val="20"/>
                <w:szCs w:val="20"/>
                <w:color w:val="auto"/>
              </w:rPr>
            </w:pPr>
            <w:r>
              <w:rPr>
                <w:rFonts w:ascii="Arial" w:cs="Arial" w:eastAsia="Arial" w:hAnsi="Arial"/>
                <w:sz w:val="14"/>
                <w:szCs w:val="14"/>
                <w:color w:val="auto"/>
              </w:rPr>
              <w:t>Alexandria, VA 22306 (6)</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Tower Shopping Center</w:t>
            </w: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1960</w:t>
            </w:r>
          </w:p>
        </w:tc>
        <w:tc>
          <w:tcPr>
            <w:tcW w:w="106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9"/>
              </w:rPr>
              <w:t>1998</w:t>
            </w:r>
          </w:p>
        </w:tc>
        <w:tc>
          <w:tcPr>
            <w:tcW w:w="1420" w:type="dxa"/>
            <w:vAlign w:val="bottom"/>
            <w:gridSpan w:val="2"/>
            <w:shd w:val="clear" w:color="auto" w:fill="CCEEFF"/>
          </w:tcPr>
          <w:p>
            <w:pPr>
              <w:jc w:val="center"/>
              <w:ind w:left="472"/>
              <w:spacing w:after="0" w:line="138" w:lineRule="exact"/>
              <w:rPr>
                <w:sz w:val="20"/>
                <w:szCs w:val="20"/>
                <w:color w:val="auto"/>
              </w:rPr>
            </w:pPr>
            <w:r>
              <w:rPr>
                <w:rFonts w:ascii="Arial" w:cs="Arial" w:eastAsia="Arial" w:hAnsi="Arial"/>
                <w:sz w:val="14"/>
                <w:szCs w:val="14"/>
                <w:color w:val="auto"/>
                <w:w w:val="86"/>
              </w:rPr>
              <w:t>109,000</w:t>
            </w:r>
          </w:p>
        </w:tc>
        <w:tc>
          <w:tcPr>
            <w:tcW w:w="122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92"/>
              </w:rPr>
              <w:t>99%</w:t>
            </w: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Virginia Fine Wine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Springfield, VA 22150</w:t>
            </w: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Retail and Residential Properties—continued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Square Feet (1)</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2"/>
              </w:rPr>
              <w:t>completed</w:t>
            </w:r>
          </w:p>
        </w:tc>
        <w:tc>
          <w:tcPr>
            <w:tcW w:w="4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acquired</w:t>
            </w:r>
          </w:p>
        </w:tc>
        <w:tc>
          <w:tcPr>
            <w:tcW w:w="4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4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leased (2)</w:t>
            </w:r>
          </w:p>
        </w:tc>
        <w:tc>
          <w:tcPr>
            <w:tcW w:w="440" w:type="dxa"/>
            <w:vAlign w:val="bottom"/>
          </w:tcPr>
          <w:p>
            <w:pPr>
              <w:spacing w:after="0"/>
              <w:rPr>
                <w:sz w:val="15"/>
                <w:szCs w:val="15"/>
                <w:color w:val="auto"/>
              </w:rPr>
            </w:pPr>
          </w:p>
        </w:tc>
        <w:tc>
          <w:tcPr>
            <w:tcW w:w="1600" w:type="dxa"/>
            <w:vAlign w:val="bottom"/>
          </w:tcPr>
          <w:p>
            <w:pPr>
              <w:ind w:left="320"/>
              <w:spacing w:after="0"/>
              <w:rPr>
                <w:sz w:val="20"/>
                <w:szCs w:val="20"/>
                <w:color w:val="auto"/>
              </w:rPr>
            </w:pPr>
            <w:r>
              <w:rPr>
                <w:rFonts w:ascii="Arial" w:cs="Arial" w:eastAsia="Arial" w:hAnsi="Arial"/>
                <w:sz w:val="14"/>
                <w:szCs w:val="14"/>
                <w:b w:val="1"/>
                <w:bCs w:val="1"/>
                <w:color w:val="auto"/>
              </w:rPr>
              <w:t>Principal Tenant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Troy</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1966</w:t>
            </w:r>
          </w:p>
        </w:tc>
        <w:tc>
          <w:tcPr>
            <w:tcW w:w="110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9"/>
              </w:rPr>
              <w:t>1980</w:t>
            </w:r>
          </w:p>
        </w:tc>
        <w:tc>
          <w:tcPr>
            <w:tcW w:w="144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6"/>
              </w:rPr>
              <w:t>202,000</w:t>
            </w:r>
          </w:p>
        </w:tc>
        <w:tc>
          <w:tcPr>
            <w:tcW w:w="11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99%</w:t>
            </w:r>
          </w:p>
        </w:tc>
        <w:tc>
          <w:tcPr>
            <w:tcW w:w="4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Comp USA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Parsippany-Troy, NJ 07054</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Pathmark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 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4"/>
                <w:szCs w:val="14"/>
                <w:color w:val="auto"/>
              </w:rPr>
              <w:t>Tysons Station</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1954</w:t>
            </w:r>
          </w:p>
        </w:tc>
        <w:tc>
          <w:tcPr>
            <w:tcW w:w="110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9"/>
              </w:rPr>
              <w:t>1978</w:t>
            </w:r>
          </w:p>
        </w:tc>
        <w:tc>
          <w:tcPr>
            <w:tcW w:w="144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8"/>
              </w:rPr>
              <w:t>50,000</w:t>
            </w:r>
          </w:p>
        </w:tc>
        <w:tc>
          <w:tcPr>
            <w:tcW w:w="11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5"/>
              </w:rPr>
              <w:t>98%</w:t>
            </w:r>
          </w:p>
        </w:tc>
        <w:tc>
          <w:tcPr>
            <w:tcW w:w="44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Falls Church, VA 22043</w:t>
            </w: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Wildwood</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1958</w:t>
            </w:r>
          </w:p>
        </w:tc>
        <w:tc>
          <w:tcPr>
            <w:tcW w:w="110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9"/>
              </w:rPr>
              <w:t>1969</w:t>
            </w:r>
          </w:p>
        </w:tc>
        <w:tc>
          <w:tcPr>
            <w:tcW w:w="144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8"/>
              </w:rPr>
              <w:t>86,000</w:t>
            </w:r>
          </w:p>
        </w:tc>
        <w:tc>
          <w:tcPr>
            <w:tcW w:w="11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99%</w:t>
            </w:r>
          </w:p>
        </w:tc>
        <w:tc>
          <w:tcPr>
            <w:tcW w:w="4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Bethesda, MD 20814</w:t>
            </w: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4"/>
                <w:szCs w:val="14"/>
                <w:color w:val="auto"/>
              </w:rPr>
              <w:t>Willow Grove</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1953</w:t>
            </w:r>
          </w:p>
        </w:tc>
        <w:tc>
          <w:tcPr>
            <w:tcW w:w="110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9"/>
              </w:rPr>
              <w:t>1984</w:t>
            </w:r>
          </w:p>
        </w:tc>
        <w:tc>
          <w:tcPr>
            <w:tcW w:w="144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6"/>
              </w:rPr>
              <w:t>215,000</w:t>
            </w:r>
          </w:p>
        </w:tc>
        <w:tc>
          <w:tcPr>
            <w:tcW w:w="11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9"/>
              </w:rPr>
              <w:t>100%</w:t>
            </w:r>
          </w:p>
        </w:tc>
        <w:tc>
          <w:tcPr>
            <w:tcW w:w="44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Willow Grove, PA 19090</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The Shops at Willow Lawn</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1957</w:t>
            </w:r>
          </w:p>
        </w:tc>
        <w:tc>
          <w:tcPr>
            <w:tcW w:w="110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9"/>
              </w:rPr>
              <w:t>1983</w:t>
            </w:r>
          </w:p>
        </w:tc>
        <w:tc>
          <w:tcPr>
            <w:tcW w:w="144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6"/>
              </w:rPr>
              <w:t>488,000</w:t>
            </w:r>
          </w:p>
        </w:tc>
        <w:tc>
          <w:tcPr>
            <w:tcW w:w="11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71%</w:t>
            </w:r>
          </w:p>
        </w:tc>
        <w:tc>
          <w:tcPr>
            <w:tcW w:w="4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Tower Records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Richmond, VA 23230 (4)</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4"/>
                <w:szCs w:val="14"/>
                <w:color w:val="auto"/>
              </w:rPr>
              <w:t>Winter Park</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1920</w:t>
            </w:r>
          </w:p>
        </w:tc>
        <w:tc>
          <w:tcPr>
            <w:tcW w:w="110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9"/>
              </w:rPr>
              <w:t>1996</w:t>
            </w:r>
          </w:p>
        </w:tc>
        <w:tc>
          <w:tcPr>
            <w:tcW w:w="144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8"/>
              </w:rPr>
              <w:t>28,000</w:t>
            </w:r>
          </w:p>
        </w:tc>
        <w:tc>
          <w:tcPr>
            <w:tcW w:w="11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9"/>
              </w:rPr>
              <w:t>100%</w:t>
            </w:r>
          </w:p>
        </w:tc>
        <w:tc>
          <w:tcPr>
            <w:tcW w:w="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Orlando, FL</w:t>
            </w: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Wynnewood</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1948</w:t>
            </w:r>
          </w:p>
        </w:tc>
        <w:tc>
          <w:tcPr>
            <w:tcW w:w="110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9"/>
              </w:rPr>
              <w:t>1996</w:t>
            </w:r>
          </w:p>
        </w:tc>
        <w:tc>
          <w:tcPr>
            <w:tcW w:w="144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6"/>
              </w:rPr>
              <w:t>255,000</w:t>
            </w:r>
          </w:p>
        </w:tc>
        <w:tc>
          <w:tcPr>
            <w:tcW w:w="11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99%</w:t>
            </w:r>
          </w:p>
        </w:tc>
        <w:tc>
          <w:tcPr>
            <w:tcW w:w="4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Wynnewood, PA 19096</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East Region</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b w:val="1"/>
                <w:bCs w:val="1"/>
                <w:color w:val="auto"/>
                <w:w w:val="88"/>
              </w:rPr>
              <w:t>14,482,000</w:t>
            </w:r>
          </w:p>
        </w:tc>
        <w:tc>
          <w:tcPr>
            <w:tcW w:w="1160" w:type="dxa"/>
            <w:vAlign w:val="bottom"/>
            <w:gridSpan w:val="2"/>
            <w:shd w:val="clear" w:color="auto" w:fill="CCEEFF"/>
          </w:tcPr>
          <w:p>
            <w:pPr>
              <w:jc w:val="center"/>
              <w:ind w:left="372"/>
              <w:spacing w:after="0" w:line="149" w:lineRule="exact"/>
              <w:rPr>
                <w:sz w:val="20"/>
                <w:szCs w:val="20"/>
                <w:color w:val="auto"/>
              </w:rPr>
            </w:pPr>
            <w:r>
              <w:rPr>
                <w:rFonts w:ascii="Arial" w:cs="Arial" w:eastAsia="Arial" w:hAnsi="Arial"/>
                <w:sz w:val="14"/>
                <w:szCs w:val="14"/>
                <w:b w:val="1"/>
                <w:bCs w:val="1"/>
                <w:color w:val="auto"/>
                <w:w w:val="99"/>
              </w:rPr>
              <w:t>96%</w:t>
            </w:r>
          </w:p>
        </w:tc>
        <w:tc>
          <w:tcPr>
            <w:tcW w:w="4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WEST REGION</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9"/>
        </w:trPr>
        <w:tc>
          <w:tcPr>
            <w:tcW w:w="502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Colorado Blvd</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1922</w:t>
            </w:r>
          </w:p>
        </w:tc>
        <w:tc>
          <w:tcPr>
            <w:tcW w:w="110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6"/>
              </w:rPr>
              <w:t>1996-1998</w:t>
            </w:r>
          </w:p>
        </w:tc>
        <w:tc>
          <w:tcPr>
            <w:tcW w:w="144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8"/>
              </w:rPr>
              <w:t>69,000</w:t>
            </w:r>
          </w:p>
        </w:tc>
        <w:tc>
          <w:tcPr>
            <w:tcW w:w="11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97%</w:t>
            </w:r>
          </w:p>
        </w:tc>
        <w:tc>
          <w:tcPr>
            <w:tcW w:w="4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Pasadena, CA</w:t>
            </w: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4"/>
                <w:szCs w:val="14"/>
                <w:color w:val="auto"/>
              </w:rPr>
              <w:t>Escondido Promenade</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1987</w:t>
            </w:r>
          </w:p>
        </w:tc>
        <w:tc>
          <w:tcPr>
            <w:tcW w:w="110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9"/>
              </w:rPr>
              <w:t>1996</w:t>
            </w:r>
          </w:p>
        </w:tc>
        <w:tc>
          <w:tcPr>
            <w:tcW w:w="144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6"/>
              </w:rPr>
              <w:t>222,000</w:t>
            </w:r>
          </w:p>
        </w:tc>
        <w:tc>
          <w:tcPr>
            <w:tcW w:w="11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5"/>
              </w:rPr>
              <w:t>97%</w:t>
            </w:r>
          </w:p>
        </w:tc>
        <w:tc>
          <w:tcPr>
            <w:tcW w:w="44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Escondido, CA 92029 (9)</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Cost Plus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Fifth Avenue</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1888-1995</w:t>
            </w:r>
          </w:p>
        </w:tc>
        <w:tc>
          <w:tcPr>
            <w:tcW w:w="110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6"/>
              </w:rPr>
              <w:t>1996-1997</w:t>
            </w:r>
          </w:p>
        </w:tc>
        <w:tc>
          <w:tcPr>
            <w:tcW w:w="144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8"/>
              </w:rPr>
              <w:t>51,000</w:t>
            </w:r>
          </w:p>
        </w:tc>
        <w:tc>
          <w:tcPr>
            <w:tcW w:w="11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86%</w:t>
            </w:r>
          </w:p>
        </w:tc>
        <w:tc>
          <w:tcPr>
            <w:tcW w:w="4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San Diego, CA (12)</w:t>
            </w: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4"/>
                <w:szCs w:val="14"/>
                <w:color w:val="auto"/>
              </w:rPr>
              <w:t>Hermosa Avenue</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1922</w:t>
            </w:r>
          </w:p>
        </w:tc>
        <w:tc>
          <w:tcPr>
            <w:tcW w:w="110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9"/>
              </w:rPr>
              <w:t>1997</w:t>
            </w:r>
          </w:p>
        </w:tc>
        <w:tc>
          <w:tcPr>
            <w:tcW w:w="144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8"/>
              </w:rPr>
              <w:t>23,000</w:t>
            </w:r>
          </w:p>
        </w:tc>
        <w:tc>
          <w:tcPr>
            <w:tcW w:w="11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9"/>
              </w:rPr>
              <w:t>100%</w:t>
            </w:r>
          </w:p>
        </w:tc>
        <w:tc>
          <w:tcPr>
            <w:tcW w:w="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Hermosa Beach, CA (11)</w:t>
            </w: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Hollywood Blvd</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1921-1991</w:t>
            </w:r>
          </w:p>
        </w:tc>
        <w:tc>
          <w:tcPr>
            <w:tcW w:w="110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9"/>
              </w:rPr>
              <w:t>1999</w:t>
            </w:r>
          </w:p>
        </w:tc>
        <w:tc>
          <w:tcPr>
            <w:tcW w:w="144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6"/>
              </w:rPr>
              <w:t>150,000</w:t>
            </w:r>
          </w:p>
        </w:tc>
        <w:tc>
          <w:tcPr>
            <w:tcW w:w="11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78%</w:t>
            </w:r>
          </w:p>
        </w:tc>
        <w:tc>
          <w:tcPr>
            <w:tcW w:w="4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Hollywood Entertainment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Hollywood, CA (11)</w:t>
            </w: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Museum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4"/>
                <w:szCs w:val="14"/>
                <w:color w:val="auto"/>
              </w:rPr>
              <w:t>Houston Street</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6"/>
              </w:rPr>
              <w:t>1890-1935</w:t>
            </w:r>
          </w:p>
        </w:tc>
        <w:tc>
          <w:tcPr>
            <w:tcW w:w="110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6"/>
              </w:rPr>
              <w:t>1998-1999</w:t>
            </w:r>
          </w:p>
        </w:tc>
        <w:tc>
          <w:tcPr>
            <w:tcW w:w="144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6"/>
              </w:rPr>
              <w:t>171,000</w:t>
            </w:r>
          </w:p>
        </w:tc>
        <w:tc>
          <w:tcPr>
            <w:tcW w:w="11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5"/>
              </w:rPr>
              <w:t>80%</w:t>
            </w:r>
          </w:p>
        </w:tc>
        <w:tc>
          <w:tcPr>
            <w:tcW w:w="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San Antonio, TX</w:t>
            </w: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King’s Court</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1960</w:t>
            </w:r>
          </w:p>
        </w:tc>
        <w:tc>
          <w:tcPr>
            <w:tcW w:w="110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9"/>
              </w:rPr>
              <w:t>1998</w:t>
            </w:r>
          </w:p>
        </w:tc>
        <w:tc>
          <w:tcPr>
            <w:tcW w:w="144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8"/>
              </w:rPr>
              <w:t>79,000</w:t>
            </w:r>
          </w:p>
        </w:tc>
        <w:tc>
          <w:tcPr>
            <w:tcW w:w="11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98%</w:t>
            </w:r>
          </w:p>
        </w:tc>
        <w:tc>
          <w:tcPr>
            <w:tcW w:w="4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Lunardi’s Supermarket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Los Gatos, CA 95032 (6) (7)</w:t>
            </w: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Longs Drug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4"/>
                <w:szCs w:val="14"/>
                <w:color w:val="auto"/>
              </w:rPr>
              <w:t>Mill Avenue</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6"/>
              </w:rPr>
              <w:t>1996-1998</w:t>
            </w:r>
          </w:p>
        </w:tc>
        <w:tc>
          <w:tcPr>
            <w:tcW w:w="110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9"/>
              </w:rPr>
              <w:t>1998</w:t>
            </w:r>
          </w:p>
        </w:tc>
        <w:tc>
          <w:tcPr>
            <w:tcW w:w="144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8"/>
              </w:rPr>
              <w:t>39,000</w:t>
            </w:r>
          </w:p>
        </w:tc>
        <w:tc>
          <w:tcPr>
            <w:tcW w:w="11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9"/>
              </w:rPr>
              <w:t>100%</w:t>
            </w:r>
          </w:p>
        </w:tc>
        <w:tc>
          <w:tcPr>
            <w:tcW w:w="44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Gordon Biersch Brewing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Phoenix-Mesa, AZ (14)</w:t>
            </w: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Co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Old Town Center</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1962</w:t>
            </w:r>
          </w:p>
        </w:tc>
        <w:tc>
          <w:tcPr>
            <w:tcW w:w="110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9"/>
              </w:rPr>
              <w:t>1997</w:t>
            </w:r>
          </w:p>
        </w:tc>
        <w:tc>
          <w:tcPr>
            <w:tcW w:w="1440" w:type="dxa"/>
            <w:vAlign w:val="bottom"/>
            <w:gridSpan w:val="2"/>
            <w:shd w:val="clear" w:color="auto" w:fill="CCEEFF"/>
          </w:tcPr>
          <w:p>
            <w:pPr>
              <w:jc w:val="center"/>
              <w:ind w:left="392"/>
              <w:spacing w:after="0" w:line="138" w:lineRule="exact"/>
              <w:rPr>
                <w:sz w:val="20"/>
                <w:szCs w:val="20"/>
                <w:color w:val="auto"/>
              </w:rPr>
            </w:pPr>
            <w:r>
              <w:rPr>
                <w:rFonts w:ascii="Arial" w:cs="Arial" w:eastAsia="Arial" w:hAnsi="Arial"/>
                <w:sz w:val="14"/>
                <w:szCs w:val="14"/>
                <w:color w:val="auto"/>
                <w:w w:val="88"/>
              </w:rPr>
              <w:t>95,000</w:t>
            </w:r>
          </w:p>
        </w:tc>
        <w:tc>
          <w:tcPr>
            <w:tcW w:w="116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98%</w:t>
            </w:r>
          </w:p>
        </w:tc>
        <w:tc>
          <w:tcPr>
            <w:tcW w:w="4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Borders Books and Music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Los Gatos, CA 95030</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Gap Kids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4"/>
                <w:szCs w:val="14"/>
                <w:color w:val="auto"/>
              </w:rPr>
              <w:t>150 Post Street</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1965</w:t>
            </w:r>
          </w:p>
        </w:tc>
        <w:tc>
          <w:tcPr>
            <w:tcW w:w="1100" w:type="dxa"/>
            <w:vAlign w:val="bottom"/>
            <w:gridSpan w:val="2"/>
          </w:tcPr>
          <w:p>
            <w:pPr>
              <w:jc w:val="center"/>
              <w:ind w:left="392"/>
              <w:spacing w:after="0" w:line="138" w:lineRule="exact"/>
              <w:rPr>
                <w:sz w:val="20"/>
                <w:szCs w:val="20"/>
                <w:color w:val="auto"/>
              </w:rPr>
            </w:pPr>
            <w:r>
              <w:rPr>
                <w:rFonts w:ascii="Arial" w:cs="Arial" w:eastAsia="Arial" w:hAnsi="Arial"/>
                <w:sz w:val="14"/>
                <w:szCs w:val="14"/>
                <w:color w:val="auto"/>
                <w:w w:val="89"/>
              </w:rPr>
              <w:t>1997</w:t>
            </w:r>
          </w:p>
        </w:tc>
        <w:tc>
          <w:tcPr>
            <w:tcW w:w="144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6"/>
              </w:rPr>
              <w:t>102,000</w:t>
            </w:r>
          </w:p>
        </w:tc>
        <w:tc>
          <w:tcPr>
            <w:tcW w:w="116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5"/>
              </w:rPr>
              <w:t>65%</w:t>
            </w:r>
          </w:p>
        </w:tc>
        <w:tc>
          <w:tcPr>
            <w:tcW w:w="44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Brooks Brothers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San Francisco, CA 94108</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Santana Row – Retail</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3"/>
              </w:rPr>
              <w:t>2002</w:t>
            </w:r>
          </w:p>
        </w:tc>
        <w:tc>
          <w:tcPr>
            <w:tcW w:w="1100" w:type="dxa"/>
            <w:vAlign w:val="bottom"/>
            <w:gridSpan w:val="2"/>
          </w:tcPr>
          <w:p>
            <w:pPr>
              <w:jc w:val="center"/>
              <w:ind w:left="392"/>
              <w:spacing w:after="0" w:line="149" w:lineRule="exact"/>
              <w:rPr>
                <w:sz w:val="20"/>
                <w:szCs w:val="20"/>
                <w:color w:val="auto"/>
              </w:rPr>
            </w:pPr>
            <w:r>
              <w:rPr>
                <w:rFonts w:ascii="Arial" w:cs="Arial" w:eastAsia="Arial" w:hAnsi="Arial"/>
                <w:sz w:val="14"/>
                <w:szCs w:val="14"/>
                <w:color w:val="auto"/>
                <w:w w:val="89"/>
              </w:rPr>
              <w:t>1997</w:t>
            </w:r>
          </w:p>
        </w:tc>
        <w:tc>
          <w:tcPr>
            <w:tcW w:w="144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6"/>
              </w:rPr>
              <w:t>558,000</w:t>
            </w:r>
          </w:p>
        </w:tc>
        <w:tc>
          <w:tcPr>
            <w:tcW w:w="116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5"/>
              </w:rPr>
              <w:t>94%</w:t>
            </w:r>
          </w:p>
        </w:tc>
        <w:tc>
          <w:tcPr>
            <w:tcW w:w="4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Crate &amp; Barrel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San Jose, CA 95128 (13)</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47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ind w:left="9820"/>
        <w:spacing w:after="0" w:line="221" w:lineRule="auto"/>
        <w:rPr>
          <w:sz w:val="20"/>
          <w:szCs w:val="20"/>
          <w:color w:val="auto"/>
        </w:rPr>
      </w:pPr>
      <w:r>
        <w:rPr>
          <w:rFonts w:ascii="Arial" w:cs="Arial" w:eastAsia="Arial" w:hAnsi="Arial"/>
          <w:sz w:val="14"/>
          <w:szCs w:val="14"/>
          <w:color w:val="auto"/>
        </w:rPr>
        <w:t>Best Buy</w:t>
      </w:r>
    </w:p>
    <w:p>
      <w:pPr>
        <w:ind w:left="9820"/>
        <w:spacing w:after="0"/>
        <w:rPr>
          <w:sz w:val="20"/>
          <w:szCs w:val="20"/>
          <w:color w:val="auto"/>
        </w:rPr>
      </w:pPr>
      <w:r>
        <w:rPr>
          <w:rFonts w:ascii="Arial" w:cs="Arial" w:eastAsia="Arial" w:hAnsi="Arial"/>
          <w:sz w:val="14"/>
          <w:szCs w:val="14"/>
          <w:color w:val="auto"/>
        </w:rPr>
        <w:t>CineArts Theatre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Retail and Residential Properties—continued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Square Feet (1)</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4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/Apartment</w:t>
            </w:r>
          </w:p>
        </w:tc>
        <w:tc>
          <w:tcPr>
            <w:tcW w:w="4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completed</w:t>
            </w:r>
          </w:p>
        </w:tc>
        <w:tc>
          <w:tcPr>
            <w:tcW w:w="4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acquired</w:t>
            </w:r>
          </w:p>
        </w:tc>
        <w:tc>
          <w:tcPr>
            <w:tcW w:w="4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4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leased (2)</w:t>
            </w:r>
          </w:p>
        </w:tc>
        <w:tc>
          <w:tcPr>
            <w:tcW w:w="2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6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Santana Row – Residential</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2003</w:t>
            </w:r>
          </w:p>
        </w:tc>
        <w:tc>
          <w:tcPr>
            <w:tcW w:w="104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9"/>
              </w:rPr>
              <w:t>1997</w:t>
            </w: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255 units</w:t>
            </w:r>
          </w:p>
        </w:tc>
        <w:tc>
          <w:tcPr>
            <w:tcW w:w="108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95%</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San Jose, CA 95128</w:t>
            </w: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20" w:type="dxa"/>
            <w:vAlign w:val="bottom"/>
            <w:gridSpan w:val="2"/>
          </w:tcPr>
          <w:p>
            <w:pPr>
              <w:spacing w:after="0" w:line="138" w:lineRule="exact"/>
              <w:rPr>
                <w:sz w:val="20"/>
                <w:szCs w:val="20"/>
                <w:color w:val="auto"/>
              </w:rPr>
            </w:pPr>
            <w:r>
              <w:rPr>
                <w:rFonts w:ascii="Arial" w:cs="Arial" w:eastAsia="Arial" w:hAnsi="Arial"/>
                <w:sz w:val="14"/>
                <w:szCs w:val="14"/>
                <w:color w:val="auto"/>
              </w:rPr>
              <w:t>Third Street Promenade</w:t>
            </w: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1888-1995</w:t>
            </w:r>
          </w:p>
        </w:tc>
        <w:tc>
          <w:tcPr>
            <w:tcW w:w="104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9"/>
              </w:rPr>
              <w:t>1996-2000</w:t>
            </w:r>
          </w:p>
        </w:tc>
        <w:tc>
          <w:tcPr>
            <w:tcW w:w="134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2"/>
              </w:rPr>
              <w:t>209,000</w:t>
            </w:r>
          </w:p>
        </w:tc>
        <w:tc>
          <w:tcPr>
            <w:tcW w:w="1080" w:type="dxa"/>
            <w:vAlign w:val="bottom"/>
            <w:gridSpan w:val="2"/>
          </w:tcPr>
          <w:p>
            <w:pPr>
              <w:jc w:val="center"/>
              <w:ind w:left="372"/>
              <w:spacing w:after="0" w:line="138" w:lineRule="exact"/>
              <w:rPr>
                <w:sz w:val="20"/>
                <w:szCs w:val="20"/>
                <w:color w:val="auto"/>
              </w:rPr>
            </w:pPr>
            <w:r>
              <w:rPr>
                <w:rFonts w:ascii="Arial" w:cs="Arial" w:eastAsia="Arial" w:hAnsi="Arial"/>
                <w:sz w:val="14"/>
                <w:szCs w:val="14"/>
                <w:color w:val="auto"/>
                <w:w w:val="85"/>
              </w:rPr>
              <w:t>99%</w:t>
            </w:r>
          </w:p>
        </w:tc>
        <w:tc>
          <w:tcPr>
            <w:tcW w:w="360" w:type="dxa"/>
            <w:vAlign w:val="bottom"/>
          </w:tcPr>
          <w:p>
            <w:pPr>
              <w:spacing w:after="0"/>
              <w:rPr>
                <w:sz w:val="11"/>
                <w:szCs w:val="11"/>
                <w:color w:val="auto"/>
              </w:rPr>
            </w:pPr>
          </w:p>
        </w:tc>
        <w:tc>
          <w:tcPr>
            <w:tcW w:w="960" w:type="dxa"/>
            <w:vAlign w:val="bottom"/>
            <w:gridSpan w:val="2"/>
          </w:tcPr>
          <w:p>
            <w:pPr>
              <w:ind w:left="240"/>
              <w:spacing w:after="0" w:line="138" w:lineRule="exact"/>
              <w:rPr>
                <w:sz w:val="20"/>
                <w:szCs w:val="20"/>
                <w:color w:val="auto"/>
              </w:rPr>
            </w:pPr>
            <w:r>
              <w:rPr>
                <w:rFonts w:ascii="Arial" w:cs="Arial" w:eastAsia="Arial" w:hAnsi="Arial"/>
                <w:sz w:val="14"/>
                <w:szCs w:val="14"/>
                <w:color w:val="auto"/>
                <w:w w:val="88"/>
              </w:rPr>
              <w:t>Abercrombie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Santa Monica, CA (10)</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&amp; Fitch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Westgate Shopping Center</w:t>
            </w: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1960-1966</w:t>
            </w:r>
          </w:p>
        </w:tc>
        <w:tc>
          <w:tcPr>
            <w:tcW w:w="104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9"/>
              </w:rPr>
              <w:t>2004</w:t>
            </w:r>
          </w:p>
        </w:tc>
        <w:tc>
          <w:tcPr>
            <w:tcW w:w="134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2"/>
              </w:rPr>
              <w:t>640,000</w:t>
            </w:r>
          </w:p>
        </w:tc>
        <w:tc>
          <w:tcPr>
            <w:tcW w:w="1080" w:type="dxa"/>
            <w:vAlign w:val="bottom"/>
            <w:gridSpan w:val="2"/>
            <w:shd w:val="clear" w:color="auto" w:fill="CCEEFF"/>
          </w:tcPr>
          <w:p>
            <w:pPr>
              <w:jc w:val="center"/>
              <w:ind w:left="372"/>
              <w:spacing w:after="0" w:line="138" w:lineRule="exact"/>
              <w:rPr>
                <w:sz w:val="20"/>
                <w:szCs w:val="20"/>
                <w:color w:val="auto"/>
              </w:rPr>
            </w:pPr>
            <w:r>
              <w:rPr>
                <w:rFonts w:ascii="Arial" w:cs="Arial" w:eastAsia="Arial" w:hAnsi="Arial"/>
                <w:sz w:val="14"/>
                <w:szCs w:val="14"/>
                <w:color w:val="auto"/>
                <w:w w:val="85"/>
              </w:rPr>
              <w:t>97%</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San Jose, CA</w:t>
            </w: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87"/>
              </w:rPr>
              <w:t>Coat Factory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Barnes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Noble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Ross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West Region</w:t>
            </w: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2,408,000</w:t>
            </w:r>
          </w:p>
        </w:tc>
        <w:tc>
          <w:tcPr>
            <w:tcW w:w="14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93%</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All Regions</w:t>
            </w: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16,890,000</w:t>
            </w:r>
          </w:p>
        </w:tc>
        <w:tc>
          <w:tcPr>
            <w:tcW w:w="14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95%</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-172720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-172720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physical square footage of the property, which may differ from the gross leasable square footage used to express occupancy.</w:t>
      </w:r>
    </w:p>
    <w:p>
      <w:pPr>
        <w:ind w:left="340" w:right="38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Percentage leased is expressed as a percentage of rentable square feet occupied or subject to a lease under which rent is currently payable and includes square feet covered by leases for stores not yet opened. Percentage leased for each region and overall reflects retail occupancy only.</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have a leasehold interest in this property.</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own 99.99% general and limited partnership interests in these properties.</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own a 64.1% general partnership interest in this property.</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own this property in a “downREIT” partnership.</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or a portion of this property is subject to a long-term ground lease.</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property contains ten buildings; seven are subject to a leasehold interest, one is subject to a ground lease and two are owned 100% by us.</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own the controlling interest in this center.</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own 100% of eight buildings and a 90% general partnership interest in one building.</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own a 90% general partnership interest in these buildings.</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own 100% of three buildings and a 90% general partnership interest in one building</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Information regarding square feet and number of tenants apply to Phases I, II and III retail. No future retail phases are included.</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property was sold in February 2005.</w:t>
      </w:r>
    </w:p>
    <w:p>
      <w:pPr>
        <w:spacing w:after="0" w:line="1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Neither we nor any of our properties are currently subject to any legal proceeding which we believe creates material exposure to us nor, to our knowledge, is any material litigation currently threatened against us or any of our properties.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Shareholders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shareholders during the fourth quarter of the fiscal year ended December 31, 2004.</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Our Common Equity and Related Shareholder Matters and Issuer Purchases of Equity Securities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680" w:type="dxa"/>
            <w:vAlign w:val="bottom"/>
            <w:gridSpan w:val="5"/>
          </w:tcPr>
          <w:p>
            <w:pPr>
              <w:ind w:left="280"/>
              <w:spacing w:after="0"/>
              <w:rPr>
                <w:sz w:val="20"/>
                <w:szCs w:val="20"/>
                <w:color w:val="auto"/>
              </w:rPr>
            </w:pPr>
            <w:r>
              <w:rPr>
                <w:rFonts w:ascii="Arial" w:cs="Arial" w:eastAsia="Arial" w:hAnsi="Arial"/>
                <w:sz w:val="14"/>
                <w:szCs w:val="14"/>
                <w:b w:val="1"/>
                <w:bCs w:val="1"/>
                <w:color w:val="auto"/>
              </w:rPr>
              <w:t>Price Per Share</w:t>
            </w:r>
          </w:p>
        </w:tc>
        <w:tc>
          <w:tcPr>
            <w:tcW w:w="220" w:type="dxa"/>
            <w:vAlign w:val="bottom"/>
          </w:tcPr>
          <w:p>
            <w:pPr>
              <w:spacing w:after="0"/>
              <w:rPr>
                <w:sz w:val="15"/>
                <w:szCs w:val="15"/>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9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5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High</w:t>
            </w:r>
          </w:p>
        </w:tc>
        <w:tc>
          <w:tcPr>
            <w:tcW w:w="2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Low</w:t>
            </w:r>
          </w:p>
        </w:tc>
        <w:tc>
          <w:tcPr>
            <w:tcW w:w="2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jc w:val="right"/>
              <w:ind w:right="8492"/>
              <w:spacing w:after="0"/>
              <w:rPr>
                <w:sz w:val="20"/>
                <w:szCs w:val="20"/>
                <w:color w:val="auto"/>
              </w:rPr>
            </w:pPr>
            <w:r>
              <w:rPr>
                <w:rFonts w:ascii="Arial" w:cs="Arial" w:eastAsia="Arial" w:hAnsi="Arial"/>
                <w:sz w:val="18"/>
                <w:szCs w:val="18"/>
                <w:b w:val="1"/>
                <w:bCs w:val="1"/>
                <w:color w:val="auto"/>
                <w:w w:val="79"/>
              </w:rPr>
              <w:t>2004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$52.55</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$44.30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$46.34</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$40.58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$46.73</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$34.73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$46.20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$38.40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322"/>
        </w:trPr>
        <w:tc>
          <w:tcPr>
            <w:tcW w:w="8940" w:type="dxa"/>
            <w:vAlign w:val="bottom"/>
            <w:gridSpan w:val="2"/>
          </w:tcPr>
          <w:p>
            <w:pPr>
              <w:jc w:val="right"/>
              <w:ind w:right="8492"/>
              <w:spacing w:after="0"/>
              <w:rPr>
                <w:sz w:val="20"/>
                <w:szCs w:val="20"/>
                <w:color w:val="auto"/>
              </w:rPr>
            </w:pPr>
            <w:r>
              <w:rPr>
                <w:rFonts w:ascii="Arial" w:cs="Arial" w:eastAsia="Arial" w:hAnsi="Arial"/>
                <w:sz w:val="18"/>
                <w:szCs w:val="18"/>
                <w:b w:val="1"/>
                <w:bCs w:val="1"/>
                <w:color w:val="auto"/>
                <w:w w:val="84"/>
              </w:rPr>
              <w:t>2003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$39.80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$36.80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$36.86</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$32.82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$33.85</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$30.78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0.485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$ 31.11</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$26.75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0.485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 2005, there were 4,937 holders of record of our common shares.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ongoing operations generally will not be subject to federal income taxes as long as we maintain our REIT status and distribute to shareholders at least</w:t>
      </w:r>
    </w:p>
    <w:p>
      <w:pPr>
        <w:spacing w:after="0" w:line="3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100% of our REIT taxable income. Under the Code, REITs are subject to numerous organizational and operational requirements, including the requirement to distribute at least 90% of REIT taxable income. State income taxes are not material to our operations or cash flows.</w:t>
      </w:r>
    </w:p>
    <w:p>
      <w:pPr>
        <w:spacing w:after="0" w:line="12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annual dividend rate for 37 consecutive years.</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total annual dividends paid per share for 2004 and 2003 were $1.975 per share and $1.945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2005 or subsequent years will constitute a return of capital for federal income tax purposes. During a year in which a REIT earns a net long-term capital gain, the REIT can elect under Code Sec. 857(b)(3) to designate a portion of dividends paid to shareholders as capital gain dividends. If this election is made, then the capital gain dividends are taxable to the shareholder as long-term capital gains. For 2004, a portion of our distributions was designated as a capital gain dividend.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During 2004 and 2003, we issued 123,130 and 76,952 common shares, respectively, upon the redemption of operating partnership units held by persons who received units in earlier periods in exchange for contribution of real estate to limited partnerships that we control. The common shares were issued without registration under the Securities Act of 1933 in reliance on Section 4(2) of that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In 2005, we issued 190,000 common shares without registration under the Securities Act of 1933 in reliance on Section 4(2) of that Act upon the redemption of operating partnership units. We intend to ultimately register these shares under the Securities Act of 1933.</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reflects the income tax status of distributions paid during the years ended December 31, 2004 and 2003 to common shareholders: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4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Ordinary dividend income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Capital gain</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0.099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Distributions on our 8.5% Series B Cumulative Redeemable Preferred Shares are payable at the rate of $2.125 per share per annum, prior to distributions on our common shares. Our 7.95% Series A Cumulative Redeemable Preferred Shares paid distributions at a rate of $1.9875 per share per annum and were redeemed in full in June 2003. We do not believe that the preferential rights available to the holders of our preferred shares or the financial covenants contained in our debt agreements will have an adverse effect on our ability to pay dividends in the normal course of business to our common shareholders or to distribute amounts necessary to maintain our qualification as a REIT.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2000 through 2003 may have been reclassified to conform to the presentation for the year ended 2004.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8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89"/>
              </w:rPr>
              <w:t>(In thousands, except per share data and ratios)</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Rental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371,856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338,057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295,757</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269,762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246,832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236,152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68,974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71,236</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41,124</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51,724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74,444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700" w:type="dxa"/>
            <w:vAlign w:val="bottom"/>
          </w:tcPr>
          <w:p>
            <w:pPr>
              <w:jc w:val="right"/>
              <w:spacing w:after="0"/>
              <w:rPr>
                <w:sz w:val="20"/>
                <w:szCs w:val="20"/>
                <w:color w:val="auto"/>
              </w:rPr>
            </w:pPr>
            <w:r>
              <w:rPr>
                <w:rFonts w:ascii="Arial" w:cs="Arial" w:eastAsia="Arial" w:hAnsi="Arial"/>
                <w:sz w:val="18"/>
                <w:szCs w:val="18"/>
                <w:color w:val="auto"/>
              </w:rPr>
              <w:t>14,052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20,053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19,101</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9,185</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abandoned developments held for sale</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84,156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94,497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55,287</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68,756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75,990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 (1)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161,113</w:t>
            </w: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121,459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118,238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109,448</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 (1)</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(154,273)</w:t>
            </w: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(90,340)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(174,913)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(232,138)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 (1)</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(11,333)</w:t>
            </w: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(19,274)</w:t>
            </w:r>
          </w:p>
        </w:tc>
        <w:tc>
          <w:tcPr>
            <w:tcW w:w="720" w:type="dxa"/>
            <w:vAlign w:val="bottom"/>
          </w:tcPr>
          <w:p>
            <w:pPr>
              <w:jc w:val="right"/>
              <w:spacing w:after="0"/>
              <w:rPr>
                <w:sz w:val="20"/>
                <w:szCs w:val="20"/>
                <w:color w:val="auto"/>
              </w:rPr>
            </w:pPr>
            <w:r>
              <w:rPr>
                <w:rFonts w:ascii="Arial" w:cs="Arial" w:eastAsia="Arial" w:hAnsi="Arial"/>
                <w:sz w:val="18"/>
                <w:szCs w:val="18"/>
                <w:color w:val="auto"/>
              </w:rPr>
              <w:t>62,235</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128,896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on common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93,889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47,379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41,624</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39,164</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700" w:type="dxa"/>
            <w:vAlign w:val="bottom"/>
          </w:tcPr>
          <w:p>
            <w:pPr>
              <w:jc w:val="right"/>
              <w:spacing w:after="0"/>
              <w:rPr>
                <w:sz w:val="20"/>
                <w:szCs w:val="20"/>
                <w:color w:val="auto"/>
              </w:rPr>
            </w:pPr>
            <w:r>
              <w:rPr>
                <w:rFonts w:ascii="Arial" w:cs="Arial" w:eastAsia="Arial" w:hAnsi="Arial"/>
                <w:sz w:val="18"/>
                <w:szCs w:val="18"/>
                <w:color w:val="auto"/>
              </w:rPr>
              <w:t>51,547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48,619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42,882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40,266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Other Data:</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to common shareholders (2)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131,257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80,856</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Ratio of earnings to fixed charges (4)</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1.7x</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1.7x</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1.1x</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1.5x</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243,071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183,494</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195,321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700" w:type="dxa"/>
            <w:vAlign w:val="bottom"/>
          </w:tcPr>
          <w:p>
            <w:pPr>
              <w:jc w:val="right"/>
              <w:spacing w:after="0"/>
              <w:rPr>
                <w:sz w:val="20"/>
                <w:szCs w:val="20"/>
                <w:color w:val="auto"/>
              </w:rPr>
            </w:pPr>
            <w:r>
              <w:rPr>
                <w:rFonts w:ascii="Arial" w:cs="Arial" w:eastAsia="Arial" w:hAnsi="Arial"/>
                <w:sz w:val="18"/>
                <w:szCs w:val="18"/>
                <w:color w:val="auto"/>
              </w:rPr>
              <w:t>244,094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223,018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174,040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186,136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combined fixed charges and preferred share dividends (4)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1.5x</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1.4x</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0.9x</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1.3x</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w w:val="94"/>
              </w:rPr>
              <w:t>Ratio of Adjusted EBITDA to combined fixed charges and preferred share dividends (4)</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gridSpan w:val="2"/>
          </w:tcPr>
          <w:p>
            <w:pPr>
              <w:jc w:val="right"/>
              <w:ind w:right="609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2.4x</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2.0x</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1.6x</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1.9x</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2.0x</w:t>
            </w:r>
          </w:p>
        </w:tc>
        <w:tc>
          <w:tcPr>
            <w:tcW w:w="0" w:type="dxa"/>
            <w:vAlign w:val="bottom"/>
          </w:tcPr>
          <w:p>
            <w:pPr>
              <w:spacing w:after="0"/>
              <w:rPr>
                <w:sz w:val="1"/>
                <w:szCs w:val="1"/>
                <w:color w:val="auto"/>
              </w:rPr>
            </w:pPr>
          </w:p>
        </w:tc>
      </w:tr>
      <w:tr>
        <w:trPr>
          <w:trHeight w:val="365"/>
        </w:trPr>
        <w:tc>
          <w:tcPr>
            <w:tcW w:w="6600" w:type="dxa"/>
            <w:vAlign w:val="bottom"/>
            <w:gridSpan w:val="2"/>
          </w:tcPr>
          <w:p>
            <w:pPr>
              <w:jc w:val="right"/>
              <w:ind w:right="71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-2487295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-2487295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-2487295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-2487295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-2487295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-2487295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-2487295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-2487295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-2487295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-2487295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-1629410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-1629410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-1629410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-1629410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-1629410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-1629410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-1629410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-1629410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-1629410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-1629410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w w:val="92"/>
              </w:rPr>
              <w:t>As of December 31,</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11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2001</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Real estate at cost</w:t>
            </w:r>
          </w:p>
        </w:tc>
        <w:tc>
          <w:tcPr>
            <w:tcW w:w="920" w:type="dxa"/>
            <w:vAlign w:val="bottom"/>
          </w:tcPr>
          <w:p>
            <w:pPr>
              <w:jc w:val="right"/>
              <w:spacing w:after="0"/>
              <w:rPr>
                <w:sz w:val="20"/>
                <w:szCs w:val="20"/>
                <w:color w:val="auto"/>
              </w:rPr>
            </w:pPr>
            <w:r>
              <w:rPr>
                <w:rFonts w:ascii="Arial" w:cs="Arial" w:eastAsia="Arial" w:hAnsi="Arial"/>
                <w:sz w:val="18"/>
                <w:szCs w:val="18"/>
                <w:color w:val="auto"/>
              </w:rPr>
              <w:t>2,666,276</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2,470,149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2,306,826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2,104,304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1,854,913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2,266,896</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2,141,185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1,996,662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Mortgage, construction loans and capital lease obligations</w:t>
            </w:r>
          </w:p>
        </w:tc>
        <w:tc>
          <w:tcPr>
            <w:tcW w:w="920" w:type="dxa"/>
            <w:vAlign w:val="bottom"/>
          </w:tcPr>
          <w:p>
            <w:pPr>
              <w:jc w:val="right"/>
              <w:spacing w:after="0"/>
              <w:rPr>
                <w:sz w:val="20"/>
                <w:szCs w:val="20"/>
                <w:color w:val="auto"/>
              </w:rPr>
            </w:pPr>
            <w:r>
              <w:rPr>
                <w:rFonts w:ascii="Arial" w:cs="Arial" w:eastAsia="Arial" w:hAnsi="Arial"/>
                <w:sz w:val="18"/>
                <w:szCs w:val="18"/>
                <w:color w:val="auto"/>
              </w:rPr>
              <w:t>410,885</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414,357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383,812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450,336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340,152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325,051</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361,323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207,711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920" w:type="dxa"/>
            <w:vAlign w:val="bottom"/>
          </w:tcPr>
          <w:p>
            <w:pPr>
              <w:jc w:val="right"/>
              <w:spacing w:after="0"/>
              <w:rPr>
                <w:sz w:val="20"/>
                <w:szCs w:val="20"/>
                <w:color w:val="auto"/>
              </w:rPr>
            </w:pPr>
            <w:r>
              <w:rPr>
                <w:rFonts w:ascii="Arial" w:cs="Arial" w:eastAsia="Arial" w:hAnsi="Arial"/>
                <w:sz w:val="18"/>
                <w:szCs w:val="18"/>
                <w:color w:val="auto"/>
              </w:rPr>
              <w:t>568,121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532,750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532,284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408,290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Convertible subordinated debentures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Redeemable preferred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135,000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235,000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790,534</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691,374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644,287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589,291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465,460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Number of common shares outstanding</w:t>
            </w:r>
          </w:p>
        </w:tc>
        <w:tc>
          <w:tcPr>
            <w:tcW w:w="920" w:type="dxa"/>
            <w:vAlign w:val="bottom"/>
          </w:tcPr>
          <w:p>
            <w:pPr>
              <w:jc w:val="right"/>
              <w:spacing w:after="0"/>
              <w:rPr>
                <w:sz w:val="20"/>
                <w:szCs w:val="20"/>
                <w:color w:val="auto"/>
              </w:rPr>
            </w:pPr>
            <w:r>
              <w:rPr>
                <w:rFonts w:ascii="Arial" w:cs="Arial" w:eastAsia="Arial" w:hAnsi="Arial"/>
                <w:sz w:val="18"/>
                <w:szCs w:val="18"/>
                <w:color w:val="auto"/>
              </w:rPr>
              <w:t>52,137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49,201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43,535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39,469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Determined in accordance with Financial Accounting Standards Board (“FASB”) Statement No. 95, Statement of Cash Flows.</w:t>
      </w:r>
    </w:p>
    <w:p>
      <w:pPr>
        <w:spacing w:after="0" w:line="15"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 and net cash provided by operating activities.</w:t>
      </w:r>
    </w:p>
    <w:p>
      <w:pPr>
        <w:spacing w:after="0" w:line="2" w:lineRule="exact"/>
        <w:rPr>
          <w:rFonts w:ascii="Arial" w:cs="Arial" w:eastAsia="Arial" w:hAnsi="Arial"/>
          <w:sz w:val="18"/>
          <w:szCs w:val="18"/>
          <w:color w:val="auto"/>
        </w:rPr>
      </w:pPr>
    </w:p>
    <w:p>
      <w:pPr>
        <w:ind w:left="460" w:right="20"/>
        <w:spacing w:after="0" w:line="281" w:lineRule="auto"/>
        <w:rPr>
          <w:rFonts w:ascii="Arial" w:cs="Arial" w:eastAsia="Arial" w:hAnsi="Arial"/>
          <w:sz w:val="18"/>
          <w:szCs w:val="18"/>
          <w:color w:val="auto"/>
        </w:rPr>
      </w:pPr>
      <w:r>
        <w:rPr>
          <w:rFonts w:ascii="Arial" w:cs="Arial" w:eastAsia="Arial" w:hAnsi="Arial"/>
          <w:sz w:val="16"/>
          <w:szCs w:val="16"/>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94,497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$ 55,287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68,756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(14,052)</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(20,053)</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(19,101)</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68,202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54,350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5,801</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4,161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159,091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148,447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118,082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(11,475)</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(15,084)</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(19,425)</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(9,034)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Preferred stock redemption costs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(3,423)</w:t>
            </w:r>
          </w:p>
        </w:tc>
        <w:tc>
          <w:tcPr>
            <w:tcW w:w="26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8"/>
              </w:rPr>
              <w:t>Funds from operations available for common shareholders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148,671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131,257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$ 80,856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110,432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020" w:type="dxa"/>
            <w:vAlign w:val="bottom"/>
            <w:vMerge w:val="restart"/>
          </w:tcPr>
          <w:p>
            <w:pPr>
              <w:jc w:val="right"/>
              <w:ind w:right="2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-325755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-325755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8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$3.1 million and $8.0 million of insurance proceeds in 2004 and 2003, respectively, attributable to rental income lost at Santana Row as a result of the August 2002 fire. Excluding these items, funds from operations in 2004 and 2003 would have been $156.0 million and $140.5 million, respectively.</w:t>
      </w:r>
    </w:p>
    <w:p>
      <w:pPr>
        <w:ind w:left="460" w:right="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consist of net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our outstanding Series A preferred shares and Series B preferred shares. Our Series A preferred shares were redeemed in full in June 2003.</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SEC has stated that EBITDA is a non-GAAP measure calculated as in the below table. Adjusted EBITDA is a non-GAAP measure that means net income or loss plus interest expense, income taxes, depreciation and amortization, impairment provisions, and nonrecurring expenses.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reconciliation of Adjusted EBITDA to net income for the periods presented is as follows: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55,287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90,438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64,529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65,058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(1,274)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258,146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243,071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183,494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195,321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Gain loss on sale of real estate</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(14,052)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(20,053)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(19,101)</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on abandoned developments held for sale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9,647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244,094</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223,018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174,040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186,136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4584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should be read in conjunction with the consolidated financial statements and notes thereto appearing in Item 8 of this report.</w:t>
      </w:r>
    </w:p>
    <w:p>
      <w:pPr>
        <w:spacing w:after="0" w:line="18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Section 21E of the Securities Exchange Act of 1934 and the Private Securities Litigation Reform Act of 1995. Also, documents that we “incorporate by reference” into this Annual Report on Form 10-K, including documents that we subsequently file with the Securities and Exchange Commission, which we refer to as the SEC, will contain forward-looking statements. When we refer to forward-looking statements or information, sometimes we use words such as “may,” “will,” “could,” “should,” “plans,” “intends,” “expects,” “believes,” “estimates,” “anticipates” and “continues.” In particular, the risk factors included or incorporated by reference in this Annual Report on Form 10-K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risk factors described in our current report in Form 8-K filed on March 2, 2005, and include the following:</w:t>
      </w:r>
    </w:p>
    <w:p>
      <w:pPr>
        <w:spacing w:after="0" w:line="2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fail to perform as expected,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that new acquisitions may fail to perform as expected,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environmental issues may develop risks at our properties and result in unanticipated costs, and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because real estate is illiquid, that we may not be able to sell properties when appropriate;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risks and the risk factors incorporated herein by reference from our Form 8-K filed with the Securities and Exchange Commission on March 2, 2005 before making any investments in 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are an equity real estate investment trust specializing in the ownership, management, development and redevelopment of high-quality retail and mixed-use properties. As of December 31, 2004, we owned or had a majority interest in 106 community and neighborhood shopping centers and retail mixed-use properties comprising approximately 16.9 million square feet, located primarily in densely populated and affluent communities throughout the Northeast and Mid-Atlantic United States, as well as California and one apartment complex in Maryland. In total, the 106 commercial properties were 95.1% leased at December 31, 2004. A joint venture in which we own a 30% interest owned four neighborhood shopping centers totaling approximately 0.5 million square feet as of December 31, 2004. We have paid quarterly dividends to our shareholders continuously since our founding in 1962, and have increased our dividend rate for 37 consecutive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which we refer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Management considers an accounting estimate to be critical if changes in the estimate or accrual results could have a material impact on our consolidated results of operations or financial condition.</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most significant accounting policies, which involve the use of estimates and assumptions as to future uncertainties and, therefore, may result in actual amounts that differ from estimates, are as follows.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Leases with tenants are classified as operating leases. Base rents are recognized on a straight-line basis over the terms of the related leases, net of valuation adjustments, based on management’s assessment of credit, collection and other business risk. We make estimates of the collectibility of our accounts receivable related to base rents, including receivables from recording rent on a straight-line basis, expense reimbursements and other revenue or income taking into account payment history, industry trends and the period of recovery. In doing so, we generally do not recognize income from straight-line rents due to be collected beyond ten years because of uncertainty of collection. In most cases, the ultimate collectibility of these claims extends beyond one year. These estimates have a direct impact on our net income. Historically, we have recognized bad debt expense between 1.0% and 1.5% of rental income and was 1.5% in 2004. An increase in our bad debt expense would decrease our net income. For example, if we had experienced an increase in bad debt of 0.5% of rental income in 2004, our net income would have been reduced by approximately $1.9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nature of our business as an owner, re-developer and operator of retail shopping centers means that we invest significant amounts of capital. Depreciation and maintenance costs relating to our shopping centers and mixed-use properties constitutes a substantial cost for the Trust as well as the industry as a whole. The Trust capitalizes real estate investments and depreciates it in accordance with GAAP and consistent with industry standards based on our best estimates of the assets’ physical and economic useful lives. The cost of our real estate investments, less salvage value, if any, is charged to depreciation expense over the estimated life of the asset using straight-line rates for financial statement purposes. We periodically review the estimated lives of our assets and implement changes, as necessary, to these estimates and, therefore, to our depreciation rates. These reviews take into account the historical retirement and replacement of our assets, the repairs required to maintain the condition of our assets, the cost of redevelopments that may extend the useful lives of our assets and general economic and real estate factors. A newly developed neighborhood shopping center building would typically have an economic useful life of 50 to 60 years, but since many of our assets are not newly developed buildings, estimating the useful lives of assets that are long-lived as well as their salvage value requires significant management judgment. The longer the economic useful life, the lower the depreciation charged to that asset in a fiscal period will be, which in turn will increase our net income. Similarly, using a shorter economic useful life would increase the depreciation for a fiscal period and decrease our net income.</w:t>
      </w:r>
    </w:p>
    <w:p>
      <w:pPr>
        <w:spacing w:after="0" w:line="11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Land, buildings and real estate under development are recorded at cost. Depreciation is computed using the straight-line method with useful lives ranging generally from 35 years to a maximum of 50 years on buildings and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three to 15 years. Certain external and internal costs directly related to the development, redevelopment and leasing of real estate, including applicable salaries and the related direct costs, are capitalized. The capitalized costs associated with developments and redevelopments are depreciated over the life of the improvement. Capitalized costs associated with leases are depreciated or amortized over the base term of the lease. Unamortized leasing costs are charged to</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operations if the applicable tenant vacates before the expiration of its lease. Undepreciated tenant work is charged to operations if the applicable tenant vacates and the tenant work is replaced.</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in accordance with the provisions of Statement of Financial Accounting Standard (SFAS) No. 13, “Accounting for Leases.” We are required to use judgment and make estimates in determining the lease term, the estimated economic life of the property and the interest rate to be used in applying the provisions of SFAS No. 13. These estimates determine whether or not the lease meets the qualification of a capital lease and is recorded as an asset.</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required to make subjective assessments as to the useful lives of our real estate for purposes of determining the amount of depreciation to reflect on an annual basis. These assessments have a direct impact on net income. Certain events could occur that would materially affect our estimates and assumptions related to depreciation. Unforeseen competition or changes in customer shopping habits could substantially alter our assumptions regarding our ability to realize the return on investment in the property and therefore reduce the economic life of the asset and affect the amount of depreciation expense to charge against both the current and future revenues. We will continue to periodically review the lives of assets and any decrease in asset lives could have the effect of increasing depreciation expense while any analysis indicating that lives are longer than we have assumed could have the effect of decreasing depreciation expense. In order to determine the impact on depreciation expense of a different average life of our real estate assets taken as a whole, we used 25 years, which is the approximate average life of all assets being depreciated at the end of 2004. If the estimated useful lives of all assets being depreciated were increased by one year, the consolidated depreciation expense would have decreased by approximately $3.2 million.</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There are estimates and assumptions made by management in preparing the consolidated financial statements for which the actual results will emerge over long periods of time. This includes the recoverability of long-lived assets, including our properties that have been acquired or developed. Management must evaluate properties for possible impairment of value and, for those properties where impairment may be indicated, make estimates of future cash flows including revenues, operating expenses, required maintenance and development expenditures, market conditions, demand for space by tenants and rental rates over very long periods. Because our properties typically have a very long life, the assumptions used to estimate the future recoverability of book value requires significant management judgment.</w:t>
      </w:r>
    </w:p>
    <w:p>
      <w:pPr>
        <w:spacing w:after="0" w:line="13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(effective for us on January 1, 2002). SFAS No. 144 requires that one accounting model be used for long-lived assets to be disposed of by sale, whether previously held and used or newly-acquired, and broadens the presentation of discontinued operations to include components of an entity comprising operations and cash flows that can be distinguished operationally and for financial reporting purposes from the rest of the entity. As a result, the sale of a property, or the classification of a property as held for sale, requires us to report the results of operations and cash flows of that property as “discontinued operations.”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are required to make estimates of undiscounted cash flows in determining whether there is an impairment of an asset. Actual results could be significantly different from the estimates. These estimates have a direct impact on net income, because recording an impairment charge results in a negative adjustment to net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sometimes involved in lawsuits and environmental matters arising in the ordinary course of business. Management makes assumptions and estimates concerning the amount and likelihood of loss relating to these matters. The estimates and assumptions relating to potential loss result in a decrease in net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self-insured for general liability costs up to predetermined retained amounts, and we believe that we maintain adequate accruals to cover our retained liability. We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actuary valuations, when making these determinations. If our liability costs exceed these accruals, it will reduce our net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15, 2005 we sold two properties located in Tempe, Arizona for $13.7 million, resulting in a gain of $4.0 million.</w:t>
      </w:r>
    </w:p>
    <w:p>
      <w:pPr>
        <w:spacing w:after="0" w:line="158"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On March 2, 2005, we acquired Assembly Square, an approximately 330,000 square foot enclosed mall that is currently being redeveloped into a power center, and an adjacent 220,000 square foot retail/industrial complex for $64 million. The properties are located in the City of Somerville, Massachusetts. The acquisition was financed through available cash and borrowings under our revolving credit facility.</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Trust expects to invest an additional $38 million to complete the redevelopment of the mall into a power center, with stabilization anticipated within 12 months. The acquisition of Assembly Square also includes zoning entitlements to add four mixed-use buildings on 3.5 acres, which will include approximately 41,000 square feet of retail space, 51,000 square feet of office and 239 residential units.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10-acre parcel, which comprises approximately 220,000 square feet of improvements, is currently 100% leased to a mix of quasi-retail and industrial uses. This parcel also includes an option to purchase adjacent land parcels from the Somerville Redevelopment Authority, all of which are zoned for dense, mixed-use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Property Acquisitions and Dispositions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On March 31, 2004, we acquired Westgate Mall, a 637,000 square foot shopping center located in San Jose, California. The purchase price of the property of $97.0 million was paid from borrowings under our revolving credit facility, which were subsequently repaid from the net proceeds of our April 2004 common equity offering.</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June 3, 2004, we sold a parcel of land at the Village at Shirlington in Arlington, Virginia for $4.9 million. This transaction related to a previous land sale to Arlington County, Virginia, for $0.3 million, which closed in March 2004 and resulted in an insignificant loss. The combined transactions resulted in a net gain of $2.8 million.</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June 14, 2004, Magruder’s Center in Rockville, Maryland, which was owned by one of our partnerships, was condemned by the City of Rockville in order to facilitate the redevelopment of the Rockville Town Center. We received $14.3 million in condemnation proceeds from the City of Rockville, resulting in a gain of $5.4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July 2004, at a contribution value of approximately $20.6 million, we contributed Plaza del Mercado to a newly formed joint venture in exchange for a 30% ownership interest in the joint venture and $18.6 million of proceeds. The joint venture simultaneously financed the property with a $13.3 million 10-year secured loan. We recognized a gain of $0.1 million on this transaction.</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September 16, 2004 we sold 3.1 acres of land at the Village at Shirlington in Arlington, Virginia in two separate transactions for a total of $2.8 million, resulting in a gain of $0.9 million. The funds were used to pay down borrowings under our line of credit.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September 30, 2004 we paid $2.3 million to purchase 10% of the partnership interests in Street Retail West 6, LP, giving us 100% ownership of the property at 140-168 W. Colorado located in Pasadena, California.</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October 1, 2004 we paid $0.8 million to purchase 15% of the partnership interests in Street Retail Tempe I, LLC, giving us 100% ownership of 501 South Mill located in Tempe, Arizona.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12, 2004 we purchased Shaw’s Plaza, located in Carver, Massachusetts, for $4.0 million.</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November 10, 2004 we issued 40,201 of our common shares to purchase 10% of the partnership interests in Street Retail West 10, LP, giving us 100% ownership of 214 Wilshire Boulevard, located in Santa Monica, California.</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15, 2004 we sold one building in West Hartford, Connecticut and two buildings in Avon, Connecticut for a total of $11.2 million, resulting in a gain of approximately $3.6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29, 2004 we sold one property in Evanston, Illinois for $4.0 million, resulting in a gain of $1.3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Financing Developments</w:t>
      </w:r>
    </w:p>
    <w:p>
      <w:pPr>
        <w:spacing w:after="0" w:line="8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On January 26, 2004, we issued $75 million of fixed rate notes, which mature in February 2011 and bear interest at 4.50%. The proceeds of this note offering were used to pay down our revolving credit facility by $50 million and the remainder was used for general corporate purposes.</w:t>
      </w:r>
    </w:p>
    <w:p>
      <w:pPr>
        <w:spacing w:after="0" w:line="7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Also in January 2004, to hedge our exposure to interest rate fluctuations on our $150 million term loan obtained in October 2003, we entered into an interest rate swap, which fixed the LIBOR portion of the interest rate on the term loan at 2.401% through October 2006. The term loan bears interest at LIBOR plus 95 basis points (0.95%). The interest rate on the term note was 2.1% as of December 31, 2003. The current interest rate, taking into account the swap, is 3.351% (2.401% plus 0.95%) on notional amounts totaling $150 million and is 2.95% without the swap.</w:t>
      </w:r>
    </w:p>
    <w:p>
      <w:pPr>
        <w:spacing w:after="0" w:line="9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paid off our 6.74% Medium Term Notes on their due date of March 10, 2004 for their full principal balance of $39.5 million plus accrued interest of $1.2 million.</w:t>
      </w:r>
    </w:p>
    <w:p>
      <w:pPr>
        <w:spacing w:after="0" w:line="118"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On April 7, 2004, we issued 2.2 million common shares at a net price of $45.33 per share (after taking into account underwriters’ discount and commissions) netting approximately $99 million in cash proceeds before other expenses of the offering. The proceeds were used to repay the borrowings outstanding under our revolving credit facility that were drawn to acquire Westgate Mall and for general corporate purposes.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in 2005 we will experience growth in earnings from operations when compared to 2004. We expect this growth in earnings to be generated by a combination of the following:</w:t>
      </w:r>
    </w:p>
    <w:p>
      <w:pPr>
        <w:spacing w:after="0" w:line="3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earnings in our same center portfolio,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earnings from our real estate partnership established in July 2004.</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earnings as a result of improved occupancy and rental rates on retail and/or residential space at Santana Row, and</w:t>
      </w:r>
    </w:p>
    <w:p>
      <w:pPr>
        <w:spacing w:after="0" w:line="1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earnings in 2003 and 2004 were positively impacted by the reimbursement to us of lost rents of $11.0 million from an insurance settlement received in December 2003 related to a fire at Santana Row in 2002. Of the $11 million reimbursement, approximately $8 million was recognized in the fourth quarter of 2003 and approximately $3 million was recognized during 2004.</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Earnings in our same center portfolio are anticipated to grow as a recovering economy in each of our regions is expected to result in improved occupancy rates and increasing rents on lease rollovers. Please see “Item 7. Management’s Discussion and Analysis of Financial Condition and Results of Operations— Results of Operations—Same Center” below for the definition of the properties that constitute our “same center” portfolio. The economic environment in the Northern California retail market, while improving, continues to be weak, resulting in lower occupancy rates and limiting our ability to increase rents in properties in that area. We believe the economies of our other markets are generally improving. Our same center growth has also been slowed during the past two fiscal years by the increase in our redevelopment activity at certain centers, which will, by design, keep leasable space out of service until the redevelopments are complete. The competitive retail environment has resulted in the loss of some of our anchor retailers, but we have been successful in replacing a number of those anchors and other weaker tenants with tenants that we believe are more credit worthy. In other cases, we have taken advantage of the opportunity to redevelop the space that became vacant when the anchor tenant vacated. While this redevelopment and retenanting activity has resulted in increased capital investment in those centers, it should also increase the rental income from new leases as these tenants commence operations, add to the economic life of the centers, and increase the appeal of the centers to retail customers. These factors should extend the number of years during which we can reasonably expect growth in earnings from those properties beyond the period we would have expected if we had not made the additional capital investment.</w:t>
      </w:r>
    </w:p>
    <w:p>
      <w:pPr>
        <w:spacing w:after="0" w:line="11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current development at Santana Row consists of four phases. Seven of the eight buildings of Phase I, which include retail, residential and a 213-room hotel, opened in 2002. The retail portion of the remaining building, “Building 7,” opened in early 2003. The delay in opening Building 7 was the result of a fire in August 2002 that destroyed all but 11 of the planned 246 residential units located on that building. The rebuilding of the residential rental units on Building 7 (Phase IV) commenced in 2004. We anticipate delivery of the units will start in 2005 and, when completed in 2006, Building 7 will add 96 townhomes and 160 flats. Phase II of the project, which includes approximately 84,000 square feet of retail space, was completed in late 2003 and Phase III, which consists of an arts cinema and 4,000 square feet of retail space, opened in August 2004. The total cost of Phase I is estimated to be $449 million (excluding the Building 7 reconstruction). The costs to date for Phase I are net of $129 million of insurance proceeds, $11 million of which was recognized as income in 2004 and 2003. The cost of Phase II is approximately $27 million. The total cost of Phase III is estimated to be approximately $5 million, and we estimate the cost Phase IV, will be approximately $58 million. We are exploring in 2005 the possibility of selling as many as 219 residential units at Santana as condominiums. In the event we determine it is financially feasible to sell residential units and we are able to obtain all necessary approvals, sales of units could begin in mid-2005.</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success of Santana Row will depend on many factors, which cannot be assured. These factors include, among others:</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demand for retail and residential space,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ongoing cost of operations and maintenance,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ongoing and future developments,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general economy, particularly around Silicon Valley.</w:t>
      </w:r>
    </w:p>
    <w:p>
      <w:pPr>
        <w:spacing w:after="0" w:line="1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anticipate further growth in earnings from continuing investments in our primary markets in the East and West regions, partly offset by selective dispositions. We expect to continue growth through acquisition of neighborhood and community shopping centers in 2005 and beyond. This growth is contingent, however, on our ability to find properties that meet our qualitative hurdles at prices that meet our financial hurdles. Changes in interest rates also may affect our success in achieving growth through acquisitions by affecting both the price which must be paid to acquire a property, as well as our ability to finance the property acquisitions.</w:t>
      </w:r>
    </w:p>
    <w:p>
      <w:pPr>
        <w:spacing w:after="0" w:line="12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one method of enhancing our growth and strengthening our market share in the regions in which we operate, in July 2004, we entered into a joint venture arrangement by forming a limited partnership in which we own 30% of the equity. The venture intends to acquire up to $350 million of stabilized, supermarket-anchored shopping centers in our East coast and West coast markets which will be financed through secured borrowings and equity contributions. We will be the manager of the venture and its properties, earning fees for acquisitions, management, leasing and financing. Through our partnership interest, we also will have the opportunity to earn performance-based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Same Center</w:t>
      </w:r>
    </w:p>
    <w:p>
      <w:pPr>
        <w:spacing w:after="0" w:line="7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Throughout this section, we have provided certain information on a “same center” basis. Information provided on a same center basis is provided for only those properties that we owned and operated for the entirety of both periods being compared and includes properties, for which redevelopment or expansion had been completed prior to the beginning of either of the periods being compared. Properties purchased or sold and properties under development at any time during the periods being compared are excluded.</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same center-basis results of operations for the year ended December 31, 2004 compared to the year ended December 31, 2003 exclude the four properties acquired in 2004 and the five properties acquired in 2003, respectively including Westgate Mall, Shaw’s Plaza, Mount Vernon Plaza, South Valley Shopping Center, Plaza del Mercado and Mercer Mall as well as the eight and ten dispositions in 2004 and 2003, respectively including Magruder’s Center, Plaza del Mercado and other properties. We also exclude properties under development in 2004 or 2003, primarily Santana Row.</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 same center basis, results of operations for the year ended December 31, 2003 compared to the year ended December 31, 2002 excludes the 10 properties sold in 2003 and the six properties sold in 2002. It also excludes properties under development in 2003 and 2002, including Pentagon Row and Santana Row.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 COMPARED TO YEAR ENDED DECEMBER 31,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Increase/</w:t>
            </w:r>
          </w:p>
        </w:tc>
        <w:tc>
          <w:tcPr>
            <w:tcW w:w="44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(Decrease)</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371,856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338,057</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$ 33,799</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10,407</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7,096</w:t>
            </w:r>
          </w:p>
        </w:tc>
        <w:tc>
          <w:tcPr>
            <w:tcW w:w="4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394,274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352,567</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41,707</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82,289</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Real estate taxes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38,296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34,126</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4,170</w:t>
            </w:r>
          </w:p>
        </w:tc>
        <w:tc>
          <w:tcPr>
            <w:tcW w:w="4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129,910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5"/>
              </w:rPr>
              <w:t>116,415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13,495</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264,364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236,152</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28,212</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 interest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1,274</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w:t>
            </w:r>
          </w:p>
        </w:tc>
        <w:tc>
          <w:tcPr>
            <w:tcW w:w="4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(85,058)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(75,232)</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(9,826)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(11,820)</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(6,344)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(89,709)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(74,468)</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(15,241)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(191,220)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(160,246)</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(30,974)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73,144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75,906</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(4,670)</w:t>
            </w: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14,052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20,053</w:t>
            </w:r>
          </w:p>
        </w:tc>
        <w:tc>
          <w:tcPr>
            <w:tcW w:w="4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(6,001)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84,156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94,497</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(10,341)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49276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REVENUES</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Total revenues in 2004 were $394.3 million which represents an increase of $41.7 million, or 11.8%, over total revenues of $352.6 million in 2003. The primary drivers of this increase are acquisitions, Santana Row, which was phased into service, and an increase in same center revenues as a result of increased occupancy and increased rental revenue on tenant rollovers as detailed below. In addition, we experienced increased cost recoveries from our tenants attributable to higher operating costs at the properties.</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percentage leased at our shopping centers increased to 95.1% at December 31, 2004 compared to 93.1% at year-end 2003 due primarily to new leases signed at existing properties.</w:t>
      </w:r>
    </w:p>
    <w:p>
      <w:pPr>
        <w:spacing w:after="0" w:line="118"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i w:val="1"/>
          <w:iCs w:val="1"/>
          <w:color w:val="auto"/>
        </w:rPr>
        <w:t>Rental income</w:t>
      </w:r>
      <w:r>
        <w:rPr>
          <w:rFonts w:ascii="Arial" w:cs="Arial" w:eastAsia="Arial" w:hAnsi="Arial"/>
          <w:sz w:val="16"/>
          <w:szCs w:val="16"/>
          <w:color w:val="auto"/>
        </w:rPr>
        <w:t>. Rental income consists primarily of minimum rent, percentage rent and cost recoveries from tenants of common area maintenance costs and</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taxes. Rental income increased $33.8 million, or 10.0%, in 2004 versus $338.1 million in 2003 due largely to the following:</w:t>
      </w:r>
    </w:p>
    <w:p>
      <w:pPr>
        <w:spacing w:after="0" w:line="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approximately $31.2 million due to the six properties acquired in 2004 and 2003 and from Santana Row,</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 same center basis, an increase of $7.6 million, or approximately 2.5%, due mainly to increased minimum rents associated with tenant rollovers and redevelopments, partially offset by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$5.0 million less income recognized on the Santana Row fire insurance settlement.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Other Property Income. </w:t>
      </w:r>
      <w:r>
        <w:rPr>
          <w:rFonts w:ascii="Arial" w:cs="Arial" w:eastAsia="Arial" w:hAnsi="Arial"/>
          <w:sz w:val="16"/>
          <w:szCs w:val="16"/>
          <w:color w:val="auto"/>
        </w:rPr>
        <w:t>Other property income increased $7.1 million, or 68.2%, to $17.5 million for the year ended December 31, 2004,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$10.4 million for the year ended December 31, 2003. Included in other property income are items which, although recurring, tend to fluctuate more than rental income from period to period, such as lease termination fees and temporary tenant income. The increase in other property income in 2004 is primarily the result of higher lease termination fees, parking revenue and income from our restaurant joint ventures.</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Mortgage Interest Income. </w:t>
      </w:r>
      <w:r>
        <w:rPr>
          <w:rFonts w:ascii="Arial" w:cs="Arial" w:eastAsia="Arial" w:hAnsi="Arial"/>
          <w:sz w:val="18"/>
          <w:szCs w:val="18"/>
          <w:color w:val="auto"/>
        </w:rPr>
        <w:t>Interest on mortgage notes receivable increased $0.8 million, or 19.8%, to $4.9 million 2004 versus $4.1 million in 2003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principal balances on notes outstanding.</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PROPERTY EXPENSES</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Total property operating expenses were $129.9 million in 2004, which represents an increase of $13.5 million, or 11.6%, when compared to $116.4 million in 2003. The increase in total expenses is due primarily to increased real estate tax assessments, utility and maintenance costs and other operating costs incurred during 2004 as detailed below.</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Rental Expense. </w:t>
      </w:r>
      <w:r>
        <w:rPr>
          <w:rFonts w:ascii="Arial" w:cs="Arial" w:eastAsia="Arial" w:hAnsi="Arial"/>
          <w:sz w:val="18"/>
          <w:szCs w:val="18"/>
          <w:color w:val="auto"/>
        </w:rPr>
        <w:t>Rental expense increased $9.3 million, or 11.3%, to $91.6 million in 2004 from $82.3 million in 2003. Of this increase,</w:t>
      </w:r>
    </w:p>
    <w:p>
      <w:pPr>
        <w:spacing w:after="0" w:line="7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rental expenses at centers acquired during 2003 and 2004 of $4.1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$2.9 million due mostly to reserves related to mortgage notes receivable,</w:t>
      </w:r>
    </w:p>
    <w:p>
      <w:pPr>
        <w:spacing w:after="0" w:line="103"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 same center basis, rental expenses increased $1.5 million, or 2.3%, to $65.6 million due to increases in utility and other and administrative operating costs,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$0.8 million at development properties due to lower capitalized costs and increased utility expense, partly offset by reduced marketing costs.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a result of these changes in rental expenses, rental income and other property income, rental expense as a percentage of rental income plus other property income decreased from 23.6% in 2003 to 23.5% in 2004.</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Real Estate Taxes. </w:t>
      </w:r>
      <w:r>
        <w:rPr>
          <w:rFonts w:ascii="Arial" w:cs="Arial" w:eastAsia="Arial" w:hAnsi="Arial"/>
          <w:sz w:val="18"/>
          <w:szCs w:val="18"/>
          <w:color w:val="auto"/>
        </w:rPr>
        <w:t>Real estate tax expense rose $4.2 million, or 12.2% to $38.3 million in 2004 compared to $34.1 million in 2003. The increase in 2004 is</w:t>
      </w:r>
      <w:r>
        <w:rPr>
          <w:rFonts w:ascii="Arial" w:cs="Arial" w:eastAsia="Arial" w:hAnsi="Arial"/>
          <w:sz w:val="18"/>
          <w:szCs w:val="18"/>
          <w:i w:val="1"/>
          <w:iCs w:val="1"/>
          <w:color w:val="auto"/>
        </w:rPr>
        <w:t xml:space="preserve"> </w:t>
      </w:r>
      <w:r>
        <w:rPr>
          <w:rFonts w:ascii="Arial" w:cs="Arial" w:eastAsia="Arial" w:hAnsi="Arial"/>
          <w:sz w:val="18"/>
          <w:szCs w:val="18"/>
          <w:color w:val="auto"/>
        </w:rPr>
        <w:t>due largely to increased taxes of $2.8 million related to acquired and developed properties, including Santana Row, and higher tax assessments for our properties in the East.</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Property Operating Income. </w:t>
      </w:r>
      <w:r>
        <w:rPr>
          <w:rFonts w:ascii="Arial" w:cs="Arial" w:eastAsia="Arial" w:hAnsi="Arial"/>
          <w:sz w:val="18"/>
          <w:szCs w:val="18"/>
          <w:color w:val="auto"/>
        </w:rPr>
        <w:t>Property operating income was $264.4 million for the year ended December 31, 2004, an increase of $28.2 million, or 11.9%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$236.2 million in 2003. Income recognized from fire insurance proceeds attributable to rental income lost at Santana Row due to the August, 2002 fire amounted to approximately $3.0 million and $8.0 million in 2004 and 2003, respectively. Excluding these proceeds, property operating income rose $33.1 million. This increase is due primarily to:</w:t>
      </w:r>
    </w:p>
    <w:p>
      <w:pPr>
        <w:spacing w:after="0" w:line="4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growth at Santana Row for the phases which was phased into service,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resulting from our acquisitions of additional properties,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same center earnings increases.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Same center property operating income rose 4.3%, or approximately $9.4 million, in 2004. This increase is primarily due to:</w:t>
      </w:r>
    </w:p>
    <w:p>
      <w:pPr>
        <w:spacing w:after="0" w:line="7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rental income associated with tenant rollovers, other income,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real estate tax recoveries, partly offset by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property operating expenses which increased more than the related recoveries.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rose $9.8 million, or 13.1%, to $85.1 million in 2004 compared to $75.3 million in 2003. This increase is almost entirely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lower capitalization of interest and therefore higher interest expense as most of our property under development, particularly at Santana Row, has been placed into service. Gross interest costs in 2004 were $90.2 million versus $88.7 million in 2003. Capitalized interest amounted to $5.1 million and $13.5 million in 2004 and 2003, respectively.</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Administrative expenses increased by $6.3 million, or 53.7%, to $18.2 million in 2004 compared to $11.8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2003. This increase resulted primarily from costs of personnel and compliance with Sarbanes-Oxley.</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Expenses attributable to depreciation and amortization rose $15.2 million or 20.5% to $89.7 million in 2004 from $74.5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2003. The increase is due to depreciation on developments, same center increases and on new properties acquired.</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i w:val="1"/>
          <w:iCs w:val="1"/>
          <w:color w:val="auto"/>
        </w:rPr>
        <w:t>Minority Interests</w:t>
      </w:r>
      <w:r>
        <w:rPr>
          <w:rFonts w:ascii="Arial" w:cs="Arial" w:eastAsia="Arial" w:hAnsi="Arial"/>
          <w:sz w:val="16"/>
          <w:szCs w:val="16"/>
          <w:color w:val="auto"/>
        </w:rPr>
        <w:t>. Income to minority owners decreased $0.5 million, or 10.7% to $4.2 million in 2004 from $4.7 million in 2003. This is the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earnings at properties owned in partnership offset by a decrease in the ownership percentage of several partnerships held by minority owners.</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Operating Income from Discontinued Operations. </w:t>
      </w:r>
      <w:r>
        <w:rPr>
          <w:rFonts w:ascii="Arial" w:cs="Arial" w:eastAsia="Arial" w:hAnsi="Arial"/>
          <w:sz w:val="18"/>
          <w:szCs w:val="18"/>
          <w:color w:val="auto"/>
        </w:rPr>
        <w:t>Operating income from discontinued operations represents the operating income of properties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disposed of which, under SFAS No. 144, are required to be reported separately from results of ongoing operations. The reported operating income of $1.1 million and $3.2 million in 2004 and 2003, respectively, represent the operating income for the period during which we owned the eight properties sold in 2004 and the ten properties sold in 2003.</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Gain on Sale of Real Estate. </w:t>
      </w:r>
      <w:r>
        <w:rPr>
          <w:rFonts w:ascii="Arial" w:cs="Arial" w:eastAsia="Arial" w:hAnsi="Arial"/>
          <w:sz w:val="18"/>
          <w:szCs w:val="18"/>
          <w:color w:val="auto"/>
        </w:rPr>
        <w:t>The gain on sale of real estate in 2004 decreased $6.0 million, or 29.9%, to $14.0 million from $20.0 million in 2003. None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eight and ten properties sold in 2004 and 2003, respectively resulted in a loss.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 COMPARED TO YEAR ENDED DECEMBER 31, 2002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Increase/</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3"/>
              </w:rPr>
              <w:t>(Decrease)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338,057</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295,757</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$ 42,300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10,407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10,565</w:t>
            </w:r>
          </w:p>
        </w:tc>
        <w:tc>
          <w:tcPr>
            <w:tcW w:w="5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352,567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310,092</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42,475</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71,767</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Real estate taxes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34,126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30,234</w:t>
            </w: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3,892</w:t>
            </w:r>
          </w:p>
        </w:tc>
        <w:tc>
          <w:tcPr>
            <w:tcW w:w="5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116,415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102,001</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14,414</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236,152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208,091</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28,061</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interest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1,380</w:t>
            </w:r>
          </w:p>
        </w:tc>
        <w:tc>
          <w:tcPr>
            <w:tcW w:w="5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(65,004)</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(10,228)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(13,790)</w:t>
            </w:r>
          </w:p>
        </w:tc>
        <w:tc>
          <w:tcPr>
            <w:tcW w:w="640" w:type="dxa"/>
            <w:vAlign w:val="bottom"/>
          </w:tcPr>
          <w:p>
            <w:pPr>
              <w:jc w:val="right"/>
              <w:spacing w:after="0"/>
              <w:rPr>
                <w:sz w:val="20"/>
                <w:szCs w:val="20"/>
                <w:color w:val="auto"/>
              </w:rPr>
            </w:pPr>
            <w:r>
              <w:rPr>
                <w:rFonts w:ascii="Arial" w:cs="Arial" w:eastAsia="Arial" w:hAnsi="Arial"/>
                <w:sz w:val="18"/>
                <w:szCs w:val="18"/>
                <w:color w:val="auto"/>
              </w:rPr>
              <w:t>1,970</w:t>
            </w:r>
          </w:p>
        </w:tc>
        <w:tc>
          <w:tcPr>
            <w:tcW w:w="5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(22,269)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22,269</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(74,468)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(63,172)</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(11,296)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(160,246)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(162,855)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75,906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45,236</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30,670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(4,112)</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(558)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Loss on abandoned developments</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(9,647)</w:t>
            </w:r>
          </w:p>
        </w:tc>
        <w:tc>
          <w:tcPr>
            <w:tcW w:w="640" w:type="dxa"/>
            <w:vAlign w:val="bottom"/>
          </w:tcPr>
          <w:p>
            <w:pPr>
              <w:jc w:val="right"/>
              <w:spacing w:after="0"/>
              <w:rPr>
                <w:sz w:val="20"/>
                <w:szCs w:val="20"/>
                <w:color w:val="auto"/>
              </w:rPr>
            </w:pPr>
            <w:r>
              <w:rPr>
                <w:rFonts w:ascii="Arial" w:cs="Arial" w:eastAsia="Arial" w:hAnsi="Arial"/>
                <w:sz w:val="18"/>
                <w:szCs w:val="18"/>
                <w:color w:val="auto"/>
              </w:rPr>
              <w:t>9,647</w:t>
            </w:r>
          </w:p>
        </w:tc>
        <w:tc>
          <w:tcPr>
            <w:tcW w:w="5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19,101</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94,497</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55,287</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$ 39,210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REVENUES</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Total revenues in 2003 were $352.6 million which represents an increase of $42.5 million, or 13.7%, over total revenues of $310.1 million in 2002. The primary drivers of this increase are Santana Row, which has been phased into service, acquisitions, an increase in same center revenues from higher rent on tenant rollovers as detailed below and income of approximately $8.0 million from the portion of the settlement of our insurance claims for the August 2002 fire at Santana Row related to lost rent. In addition, we experienced increased cost recoveries related to higher operating costs.</w:t>
      </w:r>
    </w:p>
    <w:p>
      <w:pPr>
        <w:spacing w:after="0" w:line="9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percentage leased at our shopping centers declined to 93.1% at December 31, 2003 compared to 94.7% at year end 2002 due to the acquisition of centers with lower occupancy rates and the bankruptcies of several large tenants (including K-mart and Today’s Man) as well as an increase in redevelopment activity which results in leaseable space being taken out of service for more extended periods.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Rental Income</w:t>
      </w:r>
      <w:r>
        <w:rPr>
          <w:rFonts w:ascii="Arial" w:cs="Arial" w:eastAsia="Arial" w:hAnsi="Arial"/>
          <w:sz w:val="18"/>
          <w:szCs w:val="18"/>
          <w:color w:val="auto"/>
        </w:rPr>
        <w:t>. Rental income consists primarily of minimum rent, percentage rent and cost recoveries from tenants of common area maintenance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taxes. Rental income increased $42.3 million, or 14.3%, in 2003 versus 2002 due largely to the following:</w:t>
      </w:r>
    </w:p>
    <w:p>
      <w:pPr>
        <w:spacing w:after="0" w:line="37" w:lineRule="exact"/>
        <w:rPr>
          <w:sz w:val="20"/>
          <w:szCs w:val="20"/>
          <w:color w:val="auto"/>
        </w:rPr>
      </w:pPr>
    </w:p>
    <w:p>
      <w:pPr>
        <w:ind w:left="900" w:right="9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approximately $22.0 million due to properties acquired in 2003 and from Santana Row, which was considered to be under development,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 same center basis, an increase of over $12.3 million, or approximately 4.5%, due mainly to increased minimum rents associated with tenant rollovers and developments, and increased tenant recovery income,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$8.0 million from the Santana Row fire insurance settlement.</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Other Property Income. </w:t>
      </w:r>
      <w:r>
        <w:rPr>
          <w:rFonts w:ascii="Arial" w:cs="Arial" w:eastAsia="Arial" w:hAnsi="Arial"/>
          <w:sz w:val="18"/>
          <w:szCs w:val="18"/>
          <w:color w:val="auto"/>
        </w:rPr>
        <w:t>Other property income decreased $0.2 million, or 1.5%, to $10.4 million for the year ended December 31, 2003, compared to $10.6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2002. Included in other property income are items, which although recurring, tend to fluctuate more than rental income from period to period, such as lease termination fees and temporary tenant income. The decrease in other property income in 2003 is primarily the result of higher temporary tenant income offset by lower lease termination fees.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Mortgage Interest Income. </w:t>
      </w:r>
      <w:r>
        <w:rPr>
          <w:rFonts w:ascii="Arial" w:cs="Arial" w:eastAsia="Arial" w:hAnsi="Arial"/>
          <w:sz w:val="18"/>
          <w:szCs w:val="18"/>
          <w:color w:val="auto"/>
        </w:rPr>
        <w:t>Mortgage interest income increased $0.3 million, or 8.8%, in 2004 verses 2003.</w:t>
      </w:r>
    </w:p>
    <w:p>
      <w:pPr>
        <w:spacing w:after="0" w:line="15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PROPERTY EXPENSES</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Total property operating expenses in 2003 were $116.4 million, or an increase of $14.4 million when compared to $102.0 million in 2002. The total increase in expenses is due primarily to higher real estate taxes, increased maintenance costs related to snow removal in 2003 and the impact of acquisitions and developments as detailed below.</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Rental Expense. </w:t>
      </w:r>
      <w:r>
        <w:rPr>
          <w:rFonts w:ascii="Arial" w:cs="Arial" w:eastAsia="Arial" w:hAnsi="Arial"/>
          <w:sz w:val="18"/>
          <w:szCs w:val="18"/>
          <w:color w:val="auto"/>
        </w:rPr>
        <w:t>Rental expense increased $10.5 million, or 14.7%, to $82.3 million in 2003 from $71.8 million in 2002. Of this increase,</w:t>
      </w:r>
    </w:p>
    <w:p>
      <w:pPr>
        <w:spacing w:after="0" w:line="7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rental expenses at centers acquired and developed during 2003 (including Santana Row) increased $8.3 million, and</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snow removal costs increased approximately $3.8 million in the first quarter of 2003 and other maintenance and rental expenses, on a same center basis, were reduced approximately $1.7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 reductions related to disposed properties were not significant.</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a result of these changes in rental expenses, rental income and other property income, rental expense as a percentage of rental income plus other property income increased slightly from 23.4% in 2002 to 23.6% in 2003.</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Real Estate Taxes. </w:t>
      </w:r>
      <w:r>
        <w:rPr>
          <w:rFonts w:ascii="Arial" w:cs="Arial" w:eastAsia="Arial" w:hAnsi="Arial"/>
          <w:sz w:val="18"/>
          <w:szCs w:val="18"/>
          <w:color w:val="auto"/>
        </w:rPr>
        <w:t>Real estate tax expense rose 12.9% in 2003 to $34.1 million compared to $30.2 million in 2003. The increase in 2004 is due largely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tax assessments for our properties in the East as well as increased taxes of $1.8 million related to acquired and developed properties, including Santana Row, which was brought into service starting in late 2002.</w:t>
      </w:r>
    </w:p>
    <w:p>
      <w:pPr>
        <w:spacing w:after="0" w:line="12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 xml:space="preserve">Property Operating Income. </w:t>
      </w:r>
      <w:r>
        <w:rPr>
          <w:rFonts w:ascii="Arial" w:cs="Arial" w:eastAsia="Arial" w:hAnsi="Arial"/>
          <w:sz w:val="16"/>
          <w:szCs w:val="16"/>
          <w:color w:val="auto"/>
        </w:rPr>
        <w:t>Property operating income was $236.2 million for the year ended December 31, 2003, an increase of $28.1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$208.1 million in 2003. Of this amount approximately $8.0 million relates to the Santana Row fire insurance proceeds attributable to rental income lost as a result of the fire. Excluding these proceeds, property operating income rose $20.1 million during 2004 due primarily to:</w:t>
      </w:r>
    </w:p>
    <w:p>
      <w:pPr>
        <w:spacing w:after="0" w:line="1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earnings growth at Santana Row which has been phased into service,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same center earnings increases,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earnings resulting from our acquisitions.</w:t>
      </w:r>
    </w:p>
    <w:p>
      <w:pPr>
        <w:spacing w:after="0" w:line="1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Same center property operating income rose 13.5% or $28.1 million in 2003 due to increased rental income associated with tenant rollovers and higher real estate tax recoveries and reduced property administrative expenses partly offset by property expenses which rose higher than the related recoveries, particularly the snow removal costs.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rose $10.2 million, or 15.7%, to $75.2 million in 2003. This increase is almost entirely due to lower capitalization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and therefore higher interest expense as much of our property under development, particularly at Santana Row, was placed into service. Gross interest costs in 2003 was $88.7 million versus $88.6 million in 2002. Capitalized interest amounted to $13.5 million and $23.5 million in 2003 and 2002, respectively.</w:t>
      </w:r>
    </w:p>
    <w:p>
      <w:pPr>
        <w:spacing w:after="0" w:line="7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Administrative expenses decreased by $2.0 million during 2003, or 14.3% to $11.8 million compared to $13.8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2002. This $2.0 million decrease resulted primarily from payroll and related benefits savings resulting from the management restructuring which began in February 2002. In addition, we experienced savings in legal costs and costs to support and maintain our information systems. These savings were largely offset by increased expensing of costs which had previously had been capitalized related to personnel involved in the development of Santana Row.</w:t>
      </w:r>
    </w:p>
    <w:p>
      <w:pPr>
        <w:spacing w:after="0" w:line="9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Restructuring Expense. </w:t>
      </w:r>
      <w:r>
        <w:rPr>
          <w:rFonts w:ascii="Arial" w:cs="Arial" w:eastAsia="Arial" w:hAnsi="Arial"/>
          <w:sz w:val="18"/>
          <w:szCs w:val="18"/>
          <w:color w:val="auto"/>
        </w:rPr>
        <w:t>The restructuring expenses incurred in 2002 related to our adoption of a new business and management succession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in a charge of $8.5 million, all of which was expended in 2002. In December 2002, we recorded a charge of $13.8 million as a result of an accelerated executive transition plan of which $12.7 million was expended in 2003.</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Expenses attributable to depreciation and amortization rose $11.3 million to $74.5 million in 2003 from $63.2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2002, an increase of 17.9%. The increase is due to depreciation on properties which were acquired in 2003 as well as depreciation of Santana Row which opened in late 2002, and Pentagon Row, which came fully into service during 2002.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Minority Interests</w:t>
      </w:r>
      <w:r>
        <w:rPr>
          <w:rFonts w:ascii="Arial" w:cs="Arial" w:eastAsia="Arial" w:hAnsi="Arial"/>
          <w:sz w:val="18"/>
          <w:szCs w:val="18"/>
          <w:color w:val="auto"/>
        </w:rPr>
        <w:t>. The increase in income to minority interests of $0.6 million from $4.1 million in 2002 to $4.7 million in 2003 is the result of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at properties owned in partnership as well as an increase in the number of operating partnership units held by minority investors. Units which were issued in connection with our acquisition of Mount Vernon Shopping Center were partially offset by a decrease in units outstanding as a results of redemptions during the year.</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Operating Income from Discontinued Operations. </w:t>
      </w:r>
      <w:r>
        <w:rPr>
          <w:rFonts w:ascii="Arial" w:cs="Arial" w:eastAsia="Arial" w:hAnsi="Arial"/>
          <w:sz w:val="18"/>
          <w:szCs w:val="18"/>
          <w:color w:val="auto"/>
        </w:rPr>
        <w:t>Operating income from discontinued operations represents the operating income of properties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disposed of which, under SFAS No. 144, are required to be reported separately from results of ongoing operations. The reported operating income of $3.2 million and $4.7 million in 2003 and 2002, respectively, represent the operating income for the period during which we owned the ten properties sold in 2003 and the six properties sold in 2002.</w:t>
      </w:r>
    </w:p>
    <w:p>
      <w:pPr>
        <w:spacing w:after="0" w:line="130" w:lineRule="exact"/>
        <w:rPr>
          <w:sz w:val="20"/>
          <w:szCs w:val="20"/>
          <w:color w:val="auto"/>
        </w:rPr>
      </w:pPr>
    </w:p>
    <w:p>
      <w:pPr>
        <w:jc w:val="both"/>
        <w:ind w:right="720" w:firstLine="456"/>
        <w:spacing w:after="0" w:line="259" w:lineRule="auto"/>
        <w:rPr>
          <w:sz w:val="20"/>
          <w:szCs w:val="20"/>
          <w:color w:val="auto"/>
        </w:rPr>
      </w:pPr>
      <w:r>
        <w:rPr>
          <w:rFonts w:ascii="Arial" w:cs="Arial" w:eastAsia="Arial" w:hAnsi="Arial"/>
          <w:sz w:val="18"/>
          <w:szCs w:val="18"/>
          <w:i w:val="1"/>
          <w:iCs w:val="1"/>
          <w:color w:val="auto"/>
        </w:rPr>
        <w:t xml:space="preserve">Loss on Abandoned Developments and Gain on Sale of Real Estate. </w:t>
      </w:r>
      <w:r>
        <w:rPr>
          <w:rFonts w:ascii="Arial" w:cs="Arial" w:eastAsia="Arial" w:hAnsi="Arial"/>
          <w:sz w:val="18"/>
          <w:szCs w:val="18"/>
          <w:color w:val="auto"/>
        </w:rPr>
        <w:t>The gain on sale of real estate in 2003 was $20.1 million from the disposal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None of the properties sold in 2003 resulted in a loss. The gain in 2002 of $19.1 million is the result of the sale of six properties. The loss on abandoned developments in 2002 resulted from our change in business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 Prior to June 30, 2004, we divided our portfolio of properties into three operating regions: Northeast, Mid-Atlantic, and West.</w:t>
      </w:r>
    </w:p>
    <w:p>
      <w:pPr>
        <w:spacing w:after="0" w:line="118"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Beginning with the three months ended September 30, 2004, we determined that our portfolio should be divided into two operating regions, rather than three. Property management teams consisting of regional directors, leasing agents, development staff and financial personnel each have responsibility for a distinct portfolio. The two regions into which we have divided our portfolio of properties are: East and West. As a result, our segment information for prior periods has been recalculated by combining our Northeast and Mid-Atlantic segments into the new East region.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following selected key segment data presented is for the twelve months ended December 31, 2004, 2003 and 2002, except total assets and gross leasable area which are presented as of December 31 of each year. The results of operations of properties that have been sold during the period from January 1, 2004 to December 31, 2004 are excluded from property operating income data in the following table, in accordance with SFAS No. 144.</w:t>
      </w:r>
    </w:p>
    <w:p>
      <w:pPr>
        <w:spacing w:after="0" w:line="9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The measure is used internally to evaluate the performance of our regional operations, and we consider it to be a significant measure.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Key Segment Financial Data</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7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7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r>
      <w:tr>
        <w:trPr>
          <w:trHeight w:val="95"/>
        </w:trPr>
        <w:tc>
          <w:tcPr>
            <w:tcW w:w="7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7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4"/>
          </w:tcPr>
          <w:p>
            <w:pPr>
              <w:ind w:left="4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291,840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273,970</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260,975</w:t>
            </w: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303,179</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284,231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271,742</w:t>
            </w: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210,140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197,717</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190,726</w:t>
            </w: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1,264,135</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1,309,803</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1,206,665</w:t>
            </w: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13,707</w:t>
            </w:r>
          </w:p>
        </w:tc>
      </w:tr>
      <w:tr>
        <w:trPr>
          <w:trHeight w:val="323"/>
        </w:trPr>
        <w:tc>
          <w:tcPr>
            <w:tcW w:w="7720" w:type="dxa"/>
            <w:vAlign w:val="bottom"/>
          </w:tcPr>
          <w:p>
            <w:pPr>
              <w:spacing w:after="0"/>
              <w:rPr>
                <w:sz w:val="20"/>
                <w:szCs w:val="20"/>
                <w:color w:val="auto"/>
              </w:rPr>
            </w:pPr>
            <w:r>
              <w:rPr>
                <w:rFonts w:ascii="Arial" w:cs="Arial" w:eastAsia="Arial" w:hAnsi="Arial"/>
                <w:sz w:val="18"/>
                <w:szCs w:val="18"/>
                <w:b w:val="1"/>
                <w:bCs w:val="1"/>
                <w:color w:val="auto"/>
              </w:rPr>
              <w:t>West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80,016</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34,782</w:t>
            </w: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91,095</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68,336</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38,350</w:t>
            </w: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54,224</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17,365</w:t>
            </w: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911,136</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751,717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738,221</w:t>
            </w:r>
          </w:p>
        </w:tc>
      </w:tr>
      <w:tr>
        <w:trPr>
          <w:trHeight w:val="222"/>
        </w:trPr>
        <w:tc>
          <w:tcPr>
            <w:tcW w:w="772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2,408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1,739</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1,538</w:t>
            </w: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EAST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East region extends roughly from New England south through metropolitan Washington, D.C. and further south through Virginia and North Carolina.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region also includes several properties in Florida, Illinois, and Michigan. As of December 31, 2004, the East segment consisted of 72 properties.</w:t>
      </w:r>
    </w:p>
    <w:p>
      <w:pPr>
        <w:spacing w:after="0" w:line="9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Total revenue in the East increased $19.0 million to $303.2 million in 2004 compared to $284.2 million in 2003. The increase in total revenue of</w:t>
      </w:r>
    </w:p>
    <w:p>
      <w:pPr>
        <w:spacing w:after="0" w:line="38" w:lineRule="exact"/>
        <w:rPr>
          <w:rFonts w:ascii="Arial" w:cs="Arial" w:eastAsia="Arial" w:hAnsi="Arial"/>
          <w:sz w:val="16"/>
          <w:szCs w:val="16"/>
          <w:color w:val="auto"/>
        </w:rPr>
      </w:pPr>
    </w:p>
    <w:p>
      <w:pPr>
        <w:ind w:left="900" w:right="140"/>
        <w:spacing w:after="0" w:line="254" w:lineRule="auto"/>
        <w:rPr>
          <w:rFonts w:ascii="Arial" w:cs="Arial" w:eastAsia="Arial" w:hAnsi="Arial"/>
          <w:sz w:val="16"/>
          <w:szCs w:val="16"/>
          <w:color w:val="auto"/>
        </w:rPr>
      </w:pPr>
      <w:r>
        <w:rPr>
          <w:rFonts w:ascii="Arial" w:cs="Arial" w:eastAsia="Arial" w:hAnsi="Arial"/>
          <w:sz w:val="18"/>
          <w:szCs w:val="18"/>
          <w:color w:val="auto"/>
        </w:rPr>
        <w:t>6.7% is attributable mainly to an increase in same center revenues of $9.8 million, an increase of $8.1 million from acquisitions and an increase of $1.0 million from other income. Total revenue in the East increased $12.5 million, or 4.6% to $284.2 million in 2003 compared to $271.7 million in 2002. The increase in 2003 relates primarily to increased rental revenue of $7.9 million revenue and recoveries from our existing portfolio and an increase of $4.6 million from acquisitions.</w:t>
      </w:r>
    </w:p>
    <w:p>
      <w:pPr>
        <w:spacing w:after="0" w:line="49" w:lineRule="exact"/>
        <w:rPr>
          <w:rFonts w:ascii="Arial" w:cs="Arial" w:eastAsia="Arial" w:hAnsi="Arial"/>
          <w:sz w:val="16"/>
          <w:szCs w:val="16"/>
          <w:color w:val="auto"/>
        </w:rPr>
      </w:pPr>
    </w:p>
    <w:p>
      <w:pPr>
        <w:ind w:left="900" w:right="100" w:hanging="446"/>
        <w:spacing w:after="0" w:line="25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leased was 96%, 94% and 96% at December 31, 2004, 2003 and 2002, respectively. The percentage leased increased between 2003 and 2004 due partly to centers under redevelopment becoming leased and increased occupancy at Mercer Mall, South Valley Shopping Center and Mount Vernon Mall. The percentage of our East region properties leased decreased between 2002 and 2003 primarily as a result of our acquisitions of Mercer Mall, South Valley Shopping Center and Mount Vernon Mall in late 2003, as these properties had lower occupancy rates than our existing portfolio.</w:t>
      </w:r>
    </w:p>
    <w:p>
      <w:pPr>
        <w:spacing w:after="0" w:line="129"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ratio of property operating income to total revenue during the year ended December 31, 2004 decreased slightly from the same period of 2003 due mainly to increased rental revenues and cost recoveries being more than offset by increased operating expenses, primarily real estate tax expense. The ratio of property operating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to total rental income during the year ended December 31, 2003 decreased slightly from the same period of 2002 due mainly to a lower recovery rate on higher common area expenses, particularly due to the snow removal costs incurred in the first quarter of 2003.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West region extends from Texas to the West Coast. As of December 31, 2004, 35 of our properties, including Santana Row, were located in the West region.</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Total revenue in the West in 2004 increased $22.8 million to $91.1 million compared to $68.3 million in 2003. The increase in total revenue of 33.3% is largely attributable to increased rental revenue of $16.7 million, primarily at Santana Row and from our acquisition of Westgate Mall, and to increased other income, including termination fees, of $6.1 million. The increase in rental revenue was partially offset by a decrease in insurance proceeds of approximately $5.0 million. The insurance proceeds were reported as part of rental income as they relate largely to lost rents on the delayed opening of the residential and retail units and rental concessions to tenants due to the August 2002 fire at Santana Row.</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Total revenue in the West in 2003 increased $30.0 million, or 78.2%, to $68.3 million compared to $38.3 million in 2002. The increase in total revenue is largely attributable to increased total revenues at Santana Row of approximately $21.3 million. In addition, approximately $8.0 million of the rental income from the insurance proceeds received related to the fire at Santana Row was recorded in 2003. Excluding the Santana Row revenue growth and the insurance proceeds, total revenue growth in 2003 was 4% as higher income in San Antonio, Texas and southern California more than offset lower revenue at our property at 150 Post Street in San Francisco, California.</w:t>
      </w:r>
    </w:p>
    <w:p>
      <w:pPr>
        <w:spacing w:after="0" w:line="12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West region, the percentage leased was 93%, 88% and 84% at December 31, 2004, 2003 and 2002, respectively. The Santana Row development added approximately 558,000 square feet of retail space to the West region since the end of 2001. The improved occupancy as of year-end 2004 compared to the end of 2003 is due largely to the acquisition of Westgate Mall and the leasing of additional space at Santana Row. The improved occupancy as of year-end 2003 compared to the end of 2002 is due largely to increases at Santana Row and Houston Street in San Antonio, Texas.</w:t>
      </w:r>
    </w:p>
    <w:p>
      <w:pPr>
        <w:spacing w:after="0" w:line="9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West region’s property operating income margin to total revenue improved in 2004 over 2003 due primarily to growth in revenue at Santana Row and the acquisition of Westgate Mall. In 2003, we incurred a full year of operating expenses but rental revenues continued to grow as occupancy increased at this project. The West’s property operating income margin increased in 2003 compared to 2002 due increased revenues at Santana Row and decreased operating expenses resulting from leasing, marketing and other start-up activities related to the opening of Santana Row. The success of Santana Row and Houston Street in San Antonio, Texas will depend on many factors which are not entirely within our control. We monitor current and long-term economic forecasts for these markets in order to evaluate the long-term financial returns of these projects. The overall return on investment in the West segment significantly lags the East due to a generally lower basis in our East properties related to their earlier acquisition and to the phasing into service of Santana Row and Houston Street. We expect that the returns on investment in the West will continue to rise as these projects come into service but not necessarily to the same level of overall returns as generated in the other segments.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Our status as a REIT requires that we distribute at least 90% of our REIT taxable income each year, as defined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Internal Revenue Code. Therefore, cash needed to execute our strategy and invest in new properties, as well as to pay our debt at maturity, must come from one or more of the following sources:</w:t>
      </w:r>
    </w:p>
    <w:p>
      <w:pPr>
        <w:spacing w:after="0" w:line="3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not distributed to shareholders,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proceeds of property dispositions,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proceeds derived from the issuance of new debt or equity securities.</w:t>
      </w:r>
    </w:p>
    <w:p>
      <w:pPr>
        <w:spacing w:after="0" w:line="1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1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103"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debt structure.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were $30.5 million and $35.0 million at December 31, 2004 and December 31, 2003, respectively.</w:t>
      </w:r>
    </w:p>
    <w:p>
      <w:pPr>
        <w:sectPr>
          <w:pgSz w:w="11900" w:h="16838" w:orient="portrait"/>
          <w:cols w:equalWidth="0" w:num="1">
            <w:col w:w="11420"/>
          </w:cols>
          <w:pgMar w:left="240" w:top="459"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Cash used in investing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used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Cash and cash equivalents, beginning of period</w:t>
      </w:r>
    </w:p>
    <w:p>
      <w:pPr>
        <w:spacing w:after="0" w:line="26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For the year ended</w:t>
      </w:r>
    </w:p>
    <w:p>
      <w:pPr>
        <w:spacing w:after="0" w:line="25"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694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6" w:lineRule="exact"/>
        <w:rPr>
          <w:sz w:val="20"/>
          <w:szCs w:val="20"/>
          <w:color w:val="auto"/>
        </w:rPr>
      </w:pPr>
    </w:p>
    <w:p>
      <w:pPr>
        <w:ind w:left="123"/>
        <w:spacing w:after="0"/>
        <w:rPr>
          <w:sz w:val="20"/>
          <w:szCs w:val="20"/>
          <w:color w:val="auto"/>
        </w:rPr>
      </w:pPr>
      <w:r>
        <w:rPr>
          <w:rFonts w:ascii="Arial" w:cs="Arial" w:eastAsia="Arial" w:hAnsi="Arial"/>
          <w:sz w:val="14"/>
          <w:szCs w:val="14"/>
          <w:b w:val="1"/>
          <w:bCs w:val="1"/>
          <w:color w:val="auto"/>
        </w:rPr>
        <w:t>(In thousands)</w:t>
      </w:r>
    </w:p>
    <w:p>
      <w:pPr>
        <w:spacing w:after="0" w:line="6" w:lineRule="exact"/>
        <w:rPr>
          <w:sz w:val="20"/>
          <w:szCs w:val="20"/>
          <w:color w:val="auto"/>
        </w:rPr>
      </w:pPr>
    </w:p>
    <w:p>
      <w:pPr>
        <w:ind w:left="523" w:hanging="523"/>
        <w:spacing w:after="0"/>
        <w:tabs>
          <w:tab w:leader="none" w:pos="523" w:val="left"/>
        </w:tabs>
        <w:numPr>
          <w:ilvl w:val="0"/>
          <w:numId w:val="31"/>
        </w:numPr>
        <w:rPr>
          <w:rFonts w:ascii="Arial" w:cs="Arial" w:eastAsia="Arial" w:hAnsi="Arial"/>
          <w:sz w:val="16"/>
          <w:szCs w:val="16"/>
          <w:color w:val="auto"/>
        </w:rPr>
      </w:pPr>
      <w:r>
        <w:rPr>
          <w:rFonts w:ascii="Arial" w:cs="Arial" w:eastAsia="Arial" w:hAnsi="Arial"/>
          <w:sz w:val="16"/>
          <w:szCs w:val="16"/>
          <w:color w:val="auto"/>
        </w:rPr>
        <w:t>161,113</w:t>
      </w:r>
    </w:p>
    <w:p>
      <w:pPr>
        <w:spacing w:after="0" w:line="24" w:lineRule="exact"/>
        <w:rPr>
          <w:rFonts w:ascii="Arial" w:cs="Arial" w:eastAsia="Arial" w:hAnsi="Arial"/>
          <w:sz w:val="16"/>
          <w:szCs w:val="16"/>
          <w:color w:val="auto"/>
        </w:rPr>
      </w:pPr>
    </w:p>
    <w:p>
      <w:pPr>
        <w:ind w:left="463"/>
        <w:spacing w:after="0"/>
        <w:rPr>
          <w:rFonts w:ascii="Arial" w:cs="Arial" w:eastAsia="Arial" w:hAnsi="Arial"/>
          <w:sz w:val="16"/>
          <w:szCs w:val="16"/>
          <w:color w:val="auto"/>
        </w:rPr>
      </w:pPr>
      <w:r>
        <w:rPr>
          <w:rFonts w:ascii="Arial" w:cs="Arial" w:eastAsia="Arial" w:hAnsi="Arial"/>
          <w:sz w:val="15"/>
          <w:szCs w:val="15"/>
          <w:color w:val="auto"/>
        </w:rPr>
        <w:t>(154,273)</w:t>
      </w:r>
    </w:p>
    <w:p>
      <w:pPr>
        <w:spacing w:after="0" w:line="43" w:lineRule="exact"/>
        <w:rPr>
          <w:rFonts w:ascii="Arial" w:cs="Arial" w:eastAsia="Arial" w:hAnsi="Arial"/>
          <w:sz w:val="16"/>
          <w:szCs w:val="16"/>
          <w:color w:val="auto"/>
        </w:rPr>
      </w:pPr>
    </w:p>
    <w:p>
      <w:pPr>
        <w:ind w:left="563"/>
        <w:spacing w:after="0"/>
        <w:rPr>
          <w:rFonts w:ascii="Arial" w:cs="Arial" w:eastAsia="Arial" w:hAnsi="Arial"/>
          <w:sz w:val="16"/>
          <w:szCs w:val="16"/>
          <w:color w:val="auto"/>
        </w:rPr>
      </w:pPr>
      <w:r>
        <w:rPr>
          <w:rFonts w:ascii="Arial" w:cs="Arial" w:eastAsia="Arial" w:hAnsi="Arial"/>
          <w:sz w:val="15"/>
          <w:szCs w:val="15"/>
          <w:color w:val="auto"/>
        </w:rPr>
        <w:t>(11,333)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694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7" w:lineRule="exact"/>
        <w:rPr>
          <w:sz w:val="20"/>
          <w:szCs w:val="20"/>
          <w:color w:val="auto"/>
        </w:rPr>
      </w:pPr>
    </w:p>
    <w:p>
      <w:pPr>
        <w:ind w:left="643"/>
        <w:spacing w:after="0"/>
        <w:rPr>
          <w:sz w:val="20"/>
          <w:szCs w:val="20"/>
          <w:color w:val="auto"/>
        </w:rPr>
      </w:pPr>
      <w:r>
        <w:rPr>
          <w:rFonts w:ascii="Arial" w:cs="Arial" w:eastAsia="Arial" w:hAnsi="Arial"/>
          <w:sz w:val="15"/>
          <w:szCs w:val="15"/>
          <w:color w:val="auto"/>
        </w:rPr>
        <w:t>(4,493)</w:t>
      </w:r>
    </w:p>
    <w:p>
      <w:pPr>
        <w:spacing w:after="0" w:line="50" w:lineRule="exact"/>
        <w:rPr>
          <w:sz w:val="20"/>
          <w:szCs w:val="20"/>
          <w:color w:val="auto"/>
        </w:rPr>
      </w:pPr>
    </w:p>
    <w:p>
      <w:pPr>
        <w:ind w:left="603"/>
        <w:spacing w:after="0"/>
        <w:rPr>
          <w:sz w:val="20"/>
          <w:szCs w:val="20"/>
          <w:color w:val="auto"/>
        </w:rPr>
      </w:pPr>
      <w:r>
        <w:rPr>
          <w:rFonts w:ascii="Arial" w:cs="Arial" w:eastAsia="Arial" w:hAnsi="Arial"/>
          <w:sz w:val="16"/>
          <w:szCs w:val="16"/>
          <w:color w:val="auto"/>
        </w:rPr>
        <w:t>34,968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694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35" w:lineRule="exact"/>
        <w:rPr>
          <w:sz w:val="20"/>
          <w:szCs w:val="20"/>
          <w:color w:val="auto"/>
        </w:rPr>
      </w:pPr>
    </w:p>
    <w:p>
      <w:pPr>
        <w:ind w:left="603" w:hanging="603"/>
        <w:spacing w:after="0"/>
        <w:tabs>
          <w:tab w:leader="none" w:pos="603" w:val="left"/>
        </w:tabs>
        <w:numPr>
          <w:ilvl w:val="0"/>
          <w:numId w:val="32"/>
        </w:numPr>
        <w:rPr>
          <w:rFonts w:ascii="Arial" w:cs="Arial" w:eastAsia="Arial" w:hAnsi="Arial"/>
          <w:sz w:val="16"/>
          <w:szCs w:val="16"/>
          <w:color w:val="auto"/>
        </w:rPr>
      </w:pPr>
      <w:r>
        <w:rPr>
          <w:rFonts w:ascii="Arial" w:cs="Arial" w:eastAsia="Arial" w:hAnsi="Arial"/>
          <w:sz w:val="16"/>
          <w:szCs w:val="16"/>
          <w:color w:val="auto"/>
        </w:rPr>
        <w:t>30,475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45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535"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397" w:space="720"/>
            <w:col w:w="2303"/>
          </w:cols>
          <w:pgMar w:left="240" w:top="459" w:right="239" w:bottom="1440" w:gutter="0" w:footer="0" w:header="0"/>
          <w:type w:val="continuous"/>
        </w:sectPr>
      </w:pPr>
    </w:p>
    <w:p>
      <w:pPr>
        <w:spacing w:after="0" w:line="13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cash provided by operating activities is primarily attributable to the operation of our properties and the change in working capital related to our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used cash of $154.3 million during the twelve months ended December 31, 2004 in investing activities, including the following:</w:t>
      </w:r>
    </w:p>
    <w:p>
      <w:pPr>
        <w:spacing w:after="0" w:line="7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$101.7 million for our acquisition of Westgate Mall, Shaw’s Plaza and several parcels of land,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expenditures of $59.2 million for development and redevelopment of properties including Santana Row,</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maintenance capital expenditures of approximately $36.9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$9.4 million capital contribution to a real estate partnership,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additional $3.2 million net advance under an existing mortgage note receivable;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offset by</w:t>
      </w:r>
    </w:p>
    <w:p>
      <w:pPr>
        <w:spacing w:after="0" w:line="7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$41.8 million in net sale proceeds from the sale of properties,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180" w:hanging="6"/>
        <w:spacing w:after="0" w:line="387" w:lineRule="auto"/>
        <w:tabs>
          <w:tab w:leader="none" w:pos="8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$14.3 million of net proceeds from the condemnation of Magruder’s Center. Our financing activities used $11.3 million of cash, which was composed of:</w:t>
      </w: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$117.8 million of proceeds from the issuance of common shares on April 7, 2004 and upon the exercise of options,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$75.0 million of proceeds from the issuance of notes payable;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offset by</w:t>
      </w:r>
    </w:p>
    <w:p>
      <w:pPr>
        <w:spacing w:after="0" w:line="7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$108.8 million used to pay dividends,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$48.4 million of net payments on our revolving credit facility,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$39.5 million used to pay off Medium Term Notes,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$7.4 million representing the change in minority interests, relating to the buyouts of various operating partnership units.</w:t>
      </w:r>
    </w:p>
    <w:p>
      <w:pPr>
        <w:spacing w:after="0" w:line="1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Off-Balance Sheet Arrangements</w:t>
      </w:r>
      <w:r>
        <w:rPr>
          <w:rFonts w:ascii="Arial" w:cs="Arial" w:eastAsia="Arial" w:hAnsi="Arial"/>
          <w:sz w:val="16"/>
          <w:szCs w:val="16"/>
          <w:color w:val="auto"/>
        </w:rPr>
        <w:t>. Other than the joint venture described in the next paragraph and items disclosed in the Contractual Commitments Table</w:t>
      </w:r>
      <w:r>
        <w:rPr>
          <w:rFonts w:ascii="Arial" w:cs="Arial" w:eastAsia="Arial" w:hAnsi="Arial"/>
          <w:sz w:val="16"/>
          <w:szCs w:val="16"/>
          <w:i w:val="1"/>
          <w:iCs w:val="1"/>
          <w:color w:val="auto"/>
        </w:rPr>
        <w:t xml:space="preserve"> </w:t>
      </w:r>
      <w:r>
        <w:rPr>
          <w:rFonts w:ascii="Arial" w:cs="Arial" w:eastAsia="Arial" w:hAnsi="Arial"/>
          <w:sz w:val="16"/>
          <w:szCs w:val="16"/>
          <w:color w:val="auto"/>
        </w:rPr>
        <w:t>below, we have no off-balance sheet arrangements as of December 31, 2004 that are reasonably likely to have a current or future material effect on our financial condition, changes in our financial condition, revenues or expenses, results of operations, liquidity, capital expenditures or capital resources.</w:t>
      </w:r>
    </w:p>
    <w:p>
      <w:pPr>
        <w:spacing w:after="0" w:line="9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July 2004, we entered into a joint venture arrangement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$42 million and $98 million, respectively, of equity capital to acquire properties through June 2006. Initially Clarion contributed $5.3 million in cash to the partnership, and we contributed Plaza del Mercado, a shopping center in Montgomery County, Maryland, which we acquired in 2003, at a contribution value of approximately $20.6 million. Concurrently with the contribution of Plaza del Mercado, the partnership obtained a $13.3 million, 10-year loan secured by the property, and we received proceeds of $18.6 million. We are the manager of the partnership and its properties, earning fees for acquisitions, management, leasing, and financing. We also have the opportunity to receive performance-based earnings through our partnership interest. In 2004 the venture acquired three shopping centers in the East for $55.2 million. We account for our interest in the partnership using the equity method. In total, at December 31, 2004, the partnership had $47.2 million of mortgage notes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summary of our fixed, noncancelable obligations as of December 31,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7"/>
          </w:tcPr>
          <w:p>
            <w:pPr>
              <w:jc w:val="right"/>
              <w:ind w:right="558"/>
              <w:spacing w:after="0"/>
              <w:rPr>
                <w:sz w:val="20"/>
                <w:szCs w:val="20"/>
                <w:color w:val="auto"/>
              </w:rPr>
            </w:pPr>
            <w:r>
              <w:rPr>
                <w:rFonts w:ascii="Arial" w:cs="Arial" w:eastAsia="Arial" w:hAnsi="Arial"/>
                <w:sz w:val="14"/>
                <w:szCs w:val="14"/>
                <w:b w:val="1"/>
                <w:bCs w:val="1"/>
                <w:color w:val="auto"/>
              </w:rPr>
              <w:t>Commitments Due by Period</w:t>
            </w:r>
          </w:p>
        </w:tc>
        <w:tc>
          <w:tcPr>
            <w:tcW w:w="2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2006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2008 –</w:t>
            </w:r>
          </w:p>
        </w:tc>
        <w:tc>
          <w:tcPr>
            <w:tcW w:w="2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75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2"/>
              </w:rPr>
              <w:t>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5"/>
              </w:rPr>
              <w:t>Less than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5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1 year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58"/>
              <w:spacing w:after="0"/>
              <w:rPr>
                <w:sz w:val="20"/>
                <w:szCs w:val="20"/>
                <w:color w:val="auto"/>
              </w:rPr>
            </w:pPr>
            <w:r>
              <w:rPr>
                <w:rFonts w:ascii="Arial" w:cs="Arial" w:eastAsia="Arial" w:hAnsi="Arial"/>
                <w:sz w:val="14"/>
                <w:szCs w:val="14"/>
                <w:b w:val="1"/>
                <w:bCs w:val="1"/>
                <w:color w:val="auto"/>
                <w:w w:val="88"/>
              </w:rPr>
              <w:t>1-3 years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8"/>
              <w:spacing w:after="0"/>
              <w:rPr>
                <w:sz w:val="20"/>
                <w:szCs w:val="20"/>
                <w:color w:val="auto"/>
              </w:rPr>
            </w:pPr>
            <w:r>
              <w:rPr>
                <w:rFonts w:ascii="Arial" w:cs="Arial" w:eastAsia="Arial" w:hAnsi="Arial"/>
                <w:sz w:val="14"/>
                <w:szCs w:val="14"/>
                <w:b w:val="1"/>
                <w:bCs w:val="1"/>
                <w:color w:val="auto"/>
                <w:w w:val="88"/>
              </w:rPr>
              <w:t>4-5 years</w:t>
            </w:r>
          </w:p>
        </w:tc>
        <w:tc>
          <w:tcPr>
            <w:tcW w:w="2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5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1"/>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and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1,145,057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361,236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346,643</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Capital lease obligations, principal only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3,223</w:t>
            </w: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151,989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Real estate commitments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redevelopment obligations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Restaurant joint ventures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Contractual operating obligations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1,779,320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165,463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384,062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358,699</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76212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6212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amounts set forth in the table above, the following potential commitments exist:</w:t>
      </w:r>
    </w:p>
    <w:p>
      <w:pPr>
        <w:spacing w:after="0" w:line="77" w:lineRule="exact"/>
        <w:rPr>
          <w:sz w:val="20"/>
          <w:szCs w:val="20"/>
          <w:color w:val="auto"/>
        </w:rPr>
      </w:pPr>
    </w:p>
    <w:p>
      <w:pPr>
        <w:ind w:left="460" w:right="380" w:firstLine="443"/>
        <w:spacing w:after="0" w:line="268"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half to all of its 29.47% interest in Congressional Plaza at the interest’s then-current fair market value. Based on management’s current estimate of fair market value as of December 31, 2004, our estimated maximum liability upon exercise of the put option would range from approximately $34 million to $38 million.</w:t>
      </w:r>
    </w:p>
    <w:p>
      <w:pPr>
        <w:spacing w:after="0" w:line="46" w:lineRule="exact"/>
        <w:rPr>
          <w:sz w:val="20"/>
          <w:szCs w:val="20"/>
          <w:color w:val="auto"/>
        </w:rPr>
      </w:pPr>
    </w:p>
    <w:p>
      <w:pPr>
        <w:ind w:left="460" w:firstLine="443"/>
        <w:spacing w:after="0" w:line="294" w:lineRule="auto"/>
        <w:tabs>
          <w:tab w:leader="none" w:pos="11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Under the terms of two other partnerships which own properties in southern California with a cost of approximately $29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and the purchase price for the other partnership will be paid using a limited number of our common shares or, subject to certain conditions, cash. In those partnerships, if the other partners do not redeem their interests, we may choose to purchase the limited partnership interests upon the same terms.</w:t>
      </w:r>
    </w:p>
    <w:p>
      <w:pPr>
        <w:spacing w:after="0" w:line="21" w:lineRule="exact"/>
        <w:rPr>
          <w:rFonts w:ascii="Arial" w:cs="Arial" w:eastAsia="Arial" w:hAnsi="Arial"/>
          <w:sz w:val="16"/>
          <w:szCs w:val="16"/>
          <w:color w:val="auto"/>
        </w:rPr>
      </w:pPr>
    </w:p>
    <w:p>
      <w:pPr>
        <w:ind w:left="460" w:firstLine="443"/>
        <w:spacing w:after="0" w:line="286" w:lineRule="auto"/>
        <w:tabs>
          <w:tab w:leader="none" w:pos="1137"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Street Retail San Antonio LP, a wholly-owned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area specified in the Agreement, or the Zone not cover the debt service. We posted a letter of credit with the City on September 25, 2002 for $795,000, and the letter of credit remains outstanding. Our obligation under the Agreement is estimated to range from $1.6 million to $3.0 million. During the years ended December 31, 2004 and 2003 we funded approximately $434,000 and $360,000, respectively. In anticipation of a shortfall of incremental tax revenues to the City, we have accrued $700,000 as of December 31, 2004 to cover additional payments we may be obligated to make as part of the project costs. Prior to the expiration of the Agreement on September 30, 2014, we could be required to provide funding beyond the $700,000 currently accrued. We do not anticipate, however, that our obligation would exceed $600,000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32" w:lineRule="exact"/>
        <w:rPr>
          <w:rFonts w:ascii="Arial" w:cs="Arial" w:eastAsia="Arial" w:hAnsi="Arial"/>
          <w:sz w:val="16"/>
          <w:szCs w:val="16"/>
          <w:color w:val="auto"/>
        </w:rPr>
      </w:pPr>
    </w:p>
    <w:p>
      <w:pPr>
        <w:jc w:val="both"/>
        <w:ind w:left="460" w:right="20" w:firstLine="443"/>
        <w:spacing w:after="0" w:line="256" w:lineRule="auto"/>
        <w:tabs>
          <w:tab w:leader="none" w:pos="11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the terms of various other partnerships, which own shopping center properties with a cost of approximately $88.5 million, including one of the two shopping centers purchased in the first quarter of 2003, the partners have the right to exchange their operating units for cash or the same number of our common shares, at our option. In 2004 we paid $399,000 to redeem 9,767 of these operating units and issued 203,130 of our common shares to redeem the same amount of operating units.</w:t>
      </w:r>
    </w:p>
    <w:p>
      <w:pPr>
        <w:spacing w:after="0" w:line="49"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On September 27, 2004, we issued 190,000 of our common shares valued at $8.6 million to a subsidiary. The shares have been pledged to secure a note in the amount of $8.6 million, which was issued in connection with the redemption by that subsidiary of certain of its outstanding limited partnership interests. The shares were issued in a private offering in reliance upon an exemption from the registration requirements of the federal securities laws pursuant to Section 4(2) of the Securities Act of 1933. On February 1, 2004 the shares were sold. The proceeds from the sale were used to repay the $8.6 million note in full.</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a total of 449,325 operating units are outstanding.</w:t>
      </w:r>
    </w:p>
    <w:p>
      <w:pPr>
        <w:spacing w:after="0" w:line="77" w:lineRule="exact"/>
        <w:rPr>
          <w:sz w:val="20"/>
          <w:szCs w:val="20"/>
          <w:color w:val="auto"/>
        </w:rPr>
      </w:pPr>
    </w:p>
    <w:p>
      <w:pPr>
        <w:ind w:left="460" w:right="120" w:firstLine="443"/>
        <w:spacing w:after="0" w:line="268" w:lineRule="auto"/>
        <w:tabs>
          <w:tab w:leader="none" w:pos="11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master lease for Mercer Mall includes a fixed purchase option for $55 million in 2023. If we fail to exercise our purchase option, the owner of Mercer Mall has a put option which would require us to purchase Mercer Mall for $60 million in 2025.</w:t>
      </w:r>
    </w:p>
    <w:p>
      <w:pPr>
        <w:spacing w:after="0" w:line="37" w:lineRule="exact"/>
        <w:rPr>
          <w:rFonts w:ascii="Arial" w:cs="Arial" w:eastAsia="Arial" w:hAnsi="Arial"/>
          <w:sz w:val="18"/>
          <w:szCs w:val="18"/>
          <w:color w:val="auto"/>
        </w:rPr>
      </w:pPr>
    </w:p>
    <w:p>
      <w:pPr>
        <w:ind w:left="460" w:right="40" w:firstLine="443"/>
        <w:spacing w:after="0" w:line="291" w:lineRule="auto"/>
        <w:tabs>
          <w:tab w:leader="none" w:pos="1117"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In addition, future rental commitments are not reflected as commitments until the underlying leased space has been delivered for use. Overall capital requirements will depend upon acquisition opportunities, the level of improvements and redevelopments on existing properties and the timing and cost of future phases of Santana Row.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Financing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we had total debt outstanding of $1.3 billion.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total debt outstanding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Original</w:t>
            </w: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Balance</w:t>
            </w: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Interest Rate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Debt</w:t>
            </w:r>
          </w:p>
        </w:tc>
        <w:tc>
          <w:tcPr>
            <w:tcW w:w="240" w:type="dxa"/>
            <w:vAlign w:val="bottom"/>
          </w:tcPr>
          <w:p>
            <w:pPr>
              <w:spacing w:after="0"/>
              <w:rPr>
                <w:sz w:val="12"/>
                <w:szCs w:val="12"/>
                <w:color w:val="auto"/>
              </w:rPr>
            </w:pPr>
          </w:p>
        </w:tc>
        <w:tc>
          <w:tcPr>
            <w:tcW w:w="148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rPr>
              <w:t>as of</w:t>
            </w:r>
          </w:p>
        </w:tc>
        <w:tc>
          <w:tcPr>
            <w:tcW w:w="1780" w:type="dxa"/>
            <w:vAlign w:val="bottom"/>
            <w:gridSpan w:val="2"/>
          </w:tcPr>
          <w:p>
            <w:pPr>
              <w:jc w:val="right"/>
              <w:ind w:right="1100"/>
              <w:spacing w:after="0" w:line="149" w:lineRule="exact"/>
              <w:rPr>
                <w:sz w:val="20"/>
                <w:szCs w:val="20"/>
                <w:color w:val="auto"/>
              </w:rPr>
            </w:pPr>
            <w:r>
              <w:rPr>
                <w:rFonts w:ascii="Arial" w:cs="Arial" w:eastAsia="Arial" w:hAnsi="Arial"/>
                <w:sz w:val="14"/>
                <w:szCs w:val="14"/>
                <w:b w:val="1"/>
                <w:bCs w:val="1"/>
                <w:color w:val="auto"/>
              </w:rPr>
              <w:t>as of</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80" w:type="dxa"/>
            <w:vAlign w:val="bottom"/>
            <w:gridSpan w:val="4"/>
          </w:tcPr>
          <w:p>
            <w:pPr>
              <w:spacing w:after="0"/>
              <w:rPr>
                <w:sz w:val="20"/>
                <w:szCs w:val="20"/>
                <w:color w:val="auto"/>
              </w:rPr>
            </w:pPr>
            <w:r>
              <w:rPr>
                <w:rFonts w:ascii="Arial" w:cs="Arial" w:eastAsia="Arial" w:hAnsi="Arial"/>
                <w:sz w:val="14"/>
                <w:szCs w:val="14"/>
                <w:b w:val="1"/>
                <w:bCs w:val="1"/>
                <w:color w:val="auto"/>
              </w:rPr>
              <w:t>Description of Debt</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Issued</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17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December 31, 2004</w:t>
            </w:r>
          </w:p>
        </w:tc>
        <w:tc>
          <w:tcPr>
            <w:tcW w:w="1180" w:type="dxa"/>
            <w:vAlign w:val="bottom"/>
          </w:tcPr>
          <w:p>
            <w:pPr>
              <w:jc w:val="right"/>
              <w:ind w:right="112"/>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(Dollars in thousands)</w:t>
            </w: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Mortgage Loans (1)</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200"/>
              <w:spacing w:after="0" w:line="149" w:lineRule="exact"/>
              <w:rPr>
                <w:sz w:val="20"/>
                <w:szCs w:val="20"/>
                <w:color w:val="auto"/>
              </w:rPr>
            </w:pPr>
            <w:r>
              <w:rPr>
                <w:rFonts w:ascii="Arial" w:cs="Arial" w:eastAsia="Arial" w:hAnsi="Arial"/>
                <w:sz w:val="14"/>
                <w:szCs w:val="14"/>
                <w:i w:val="1"/>
                <w:iCs w:val="1"/>
                <w:color w:val="auto"/>
              </w:rPr>
              <w:t>Secured Fixed Rate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Leesburg Plaza</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9,900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6.510%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October 1,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164 E. Houston Street</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345</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620" w:type="dxa"/>
            <w:vAlign w:val="bottom"/>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7.500%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October 6,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Mercer Mall</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86"/>
              </w:rPr>
              <w:t>Acquired</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4,639</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8.375%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April 1,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Federal Plaza</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36,500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35,127</w:t>
            </w:r>
          </w:p>
        </w:tc>
        <w:tc>
          <w:tcPr>
            <w:tcW w:w="620" w:type="dxa"/>
            <w:vAlign w:val="bottom"/>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6.750%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June 1,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Tysons Station</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7,000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6,633</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7.400%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September 1,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Barracks Road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44,300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43,728</w:t>
            </w:r>
          </w:p>
        </w:tc>
        <w:tc>
          <w:tcPr>
            <w:tcW w:w="620" w:type="dxa"/>
            <w:vAlign w:val="bottom"/>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7.950%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Hauppauge</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16,700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16,484</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7.950%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Lawrence Park</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31,400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30,994</w:t>
            </w:r>
          </w:p>
        </w:tc>
        <w:tc>
          <w:tcPr>
            <w:tcW w:w="620" w:type="dxa"/>
            <w:vAlign w:val="bottom"/>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7.950%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Wildwood</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27,600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27,243</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7.950%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Wynnewood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32,000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31,586</w:t>
            </w:r>
          </w:p>
        </w:tc>
        <w:tc>
          <w:tcPr>
            <w:tcW w:w="620" w:type="dxa"/>
            <w:vAlign w:val="bottom"/>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7.950%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Brick Plaza</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33,000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32,533</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7.415%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60" w:type="dxa"/>
            <w:vAlign w:val="bottom"/>
            <w:gridSpan w:val="3"/>
          </w:tcPr>
          <w:p>
            <w:pPr>
              <w:ind w:left="420"/>
              <w:spacing w:after="0"/>
              <w:rPr>
                <w:sz w:val="20"/>
                <w:szCs w:val="20"/>
                <w:color w:val="auto"/>
              </w:rPr>
            </w:pPr>
            <w:r>
              <w:rPr>
                <w:rFonts w:ascii="Arial" w:cs="Arial" w:eastAsia="Arial" w:hAnsi="Arial"/>
                <w:sz w:val="14"/>
                <w:szCs w:val="14"/>
                <w:color w:val="auto"/>
              </w:rPr>
              <w:t>Mount Vernon (2)</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color w:val="auto"/>
              </w:rPr>
              <w:t>13,250</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12,829</w:t>
            </w:r>
          </w:p>
        </w:tc>
        <w:tc>
          <w:tcPr>
            <w:tcW w:w="620" w:type="dxa"/>
            <w:vAlign w:val="bottom"/>
          </w:tcPr>
          <w:p>
            <w:pPr>
              <w:spacing w:after="0"/>
              <w:rPr>
                <w:sz w:val="14"/>
                <w:szCs w:val="14"/>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4"/>
                <w:szCs w:val="14"/>
                <w:color w:val="auto"/>
              </w:rPr>
              <w:t>5.660%</w:t>
            </w:r>
          </w:p>
        </w:tc>
        <w:tc>
          <w:tcPr>
            <w:tcW w:w="1180" w:type="dxa"/>
            <w:vAlign w:val="bottom"/>
          </w:tcPr>
          <w:p>
            <w:pPr>
              <w:jc w:val="right"/>
              <w:spacing w:after="0"/>
              <w:rPr>
                <w:sz w:val="20"/>
                <w:szCs w:val="20"/>
                <w:color w:val="auto"/>
              </w:rPr>
            </w:pPr>
            <w:r>
              <w:rPr>
                <w:rFonts w:ascii="Arial" w:cs="Arial" w:eastAsia="Arial" w:hAnsi="Arial"/>
                <w:sz w:val="14"/>
                <w:szCs w:val="14"/>
                <w:color w:val="auto"/>
              </w:rPr>
              <w:t>April 15, 2028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Mortgage Loans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251,885</w:t>
            </w: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Notes Payable</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200"/>
              <w:spacing w:after="0" w:line="149" w:lineRule="exact"/>
              <w:rPr>
                <w:sz w:val="20"/>
                <w:szCs w:val="20"/>
                <w:color w:val="auto"/>
              </w:rPr>
            </w:pPr>
            <w:r>
              <w:rPr>
                <w:rFonts w:ascii="Arial" w:cs="Arial" w:eastAsia="Arial" w:hAnsi="Arial"/>
                <w:sz w:val="14"/>
                <w:szCs w:val="14"/>
                <w:i w:val="1"/>
                <w:iCs w:val="1"/>
                <w:color w:val="auto"/>
              </w:rPr>
              <w:t>Unsecured Fixed Rate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Perring Plaza Renovation</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3,087</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1,977</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10.00%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31,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Other</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295</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620" w:type="dxa"/>
            <w:vAlign w:val="bottom"/>
          </w:tcPr>
          <w:p>
            <w:pPr>
              <w:spacing w:after="0"/>
              <w:rPr>
                <w:sz w:val="12"/>
                <w:szCs w:val="12"/>
                <w:color w:val="auto"/>
              </w:rPr>
            </w:pPr>
          </w:p>
        </w:tc>
        <w:tc>
          <w:tcPr>
            <w:tcW w:w="17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Various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Unsecured Variable Rate</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Revolving credit facilities (3)</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4"/>
              </w:rPr>
              <w:t>300,000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55,000</w:t>
            </w:r>
          </w:p>
        </w:tc>
        <w:tc>
          <w:tcPr>
            <w:tcW w:w="620" w:type="dxa"/>
            <w:vAlign w:val="bottom"/>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LIBOR + 0.75%</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October 8, 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Term note with banks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4"/>
              </w:rPr>
              <w:t>100,000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LIBOR + 0.95%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October 8, 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Term note with banks (4)</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4"/>
              </w:rPr>
              <w:t>150,000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620" w:type="dxa"/>
            <w:vAlign w:val="bottom"/>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LIBOR + 0.95%</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October 8,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Escondido (Municipal Bonds) (5)</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9,400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9,400</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2.71%</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October 1,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200"/>
              <w:spacing w:after="0" w:line="149" w:lineRule="exact"/>
              <w:rPr>
                <w:sz w:val="20"/>
                <w:szCs w:val="20"/>
                <w:color w:val="auto"/>
              </w:rPr>
            </w:pPr>
            <w:r>
              <w:rPr>
                <w:rFonts w:ascii="Arial" w:cs="Arial" w:eastAsia="Arial" w:hAnsi="Arial"/>
                <w:sz w:val="14"/>
                <w:szCs w:val="14"/>
                <w:i w:val="1"/>
                <w:iCs w:val="1"/>
                <w:color w:val="auto"/>
              </w:rPr>
              <w:t>Secured Fixed Rate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Loehmann’s Redemption Note (6)</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8,629</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8,629</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2.34%</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September 27, 2006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Notes Payable</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325,051</w:t>
            </w: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Notes and Debentures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200"/>
              <w:spacing w:after="0" w:line="149" w:lineRule="exact"/>
              <w:rPr>
                <w:sz w:val="20"/>
                <w:szCs w:val="20"/>
                <w:color w:val="auto"/>
              </w:rPr>
            </w:pPr>
            <w:r>
              <w:rPr>
                <w:rFonts w:ascii="Arial" w:cs="Arial" w:eastAsia="Arial" w:hAnsi="Arial"/>
                <w:sz w:val="14"/>
                <w:szCs w:val="14"/>
                <w:i w:val="1"/>
                <w:iCs w:val="1"/>
                <w:color w:val="auto"/>
              </w:rPr>
              <w:t>Unsecured Fixed Rate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6.625% Notes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40,000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6.625%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December 1, 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6.99% Medium Term Notes (7)</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40,500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40,500</w:t>
            </w:r>
          </w:p>
        </w:tc>
        <w:tc>
          <w:tcPr>
            <w:tcW w:w="620" w:type="dxa"/>
            <w:vAlign w:val="bottom"/>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6.894%</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March 10, 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6.125% Notes (8)</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4"/>
              </w:rPr>
              <w:t>150,000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6.325%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November 15,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8.75% Notes</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4"/>
              </w:rPr>
              <w:t>175,000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620" w:type="dxa"/>
            <w:vAlign w:val="bottom"/>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8.750%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December 1,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4.50% Notes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75,000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4.500%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February 15,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7.48% Debentures (9)</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50,000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620" w:type="dxa"/>
            <w:vAlign w:val="bottom"/>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7.480%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August 15, 2026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6.82% Medium Term Notes (10)</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40,000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6.820%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 2027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Subtotal</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570,500</w:t>
            </w: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60" w:type="dxa"/>
            <w:vAlign w:val="bottom"/>
            <w:gridSpan w:val="3"/>
          </w:tcPr>
          <w:p>
            <w:pPr>
              <w:ind w:left="860"/>
              <w:spacing w:after="0"/>
              <w:rPr>
                <w:sz w:val="20"/>
                <w:szCs w:val="20"/>
                <w:color w:val="auto"/>
              </w:rPr>
            </w:pPr>
            <w:r>
              <w:rPr>
                <w:rFonts w:ascii="Arial" w:cs="Arial" w:eastAsia="Arial" w:hAnsi="Arial"/>
                <w:sz w:val="14"/>
                <w:szCs w:val="14"/>
                <w:color w:val="auto"/>
              </w:rPr>
              <w:t>Unamortized Discount</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color w:val="auto"/>
              </w:rPr>
              <w:t>(2,379)</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Senior Notes and Debentures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568,121</w:t>
            </w: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Capital Lease Obligations</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Various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159,000</w:t>
            </w:r>
          </w:p>
        </w:tc>
        <w:tc>
          <w:tcPr>
            <w:tcW w:w="6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Various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Various through 2077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Debt and Capital Lease Obligations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1,304,057</w:t>
            </w:r>
          </w:p>
        </w:tc>
        <w:tc>
          <w:tcPr>
            <w:tcW w:w="6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-172720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-172720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-172720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Mortgage loans do not include the Trust’s 30% share ($14.2 million) of the $47.2 million debt of the partnership with Clarion Lion Properties Fund.</w:t>
      </w:r>
    </w:p>
    <w:p>
      <w:pPr>
        <w:ind w:left="34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interest rate is fixed at 5.66% for the first ten years and then will be reset to a market rate. The lender has the option to call the loan on April 15, 2013 or any time thereafter.</w:t>
      </w:r>
    </w:p>
    <w:p>
      <w:pPr>
        <w:ind w:left="340" w:right="160" w:hanging="332"/>
        <w:spacing w:after="0" w:line="230"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maximum amount drawn under the facility during the first twelve months of 2004 was $165 million. The weighted average interest rate on borrowings under the facility for the twelve months ended December 31, 2004 was 2.2%.</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320" w:hanging="332"/>
        <w:spacing w:after="0" w:line="230"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This loan bears interest at LIBOR plus 95 basis points. In January 2004, we purchased interest rate swaps or hedges on this note, which fixed the LIBOR portion of the interest rate at 2.401% through October 2006, resulting in an effective interest rate, assuming no change to our debt rating, of 3.351% through October 2006.</w:t>
      </w:r>
    </w:p>
    <w:p>
      <w:pPr>
        <w:ind w:left="340" w:right="120" w:hanging="332"/>
        <w:spacing w:after="0" w:line="258"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bonds require monthly interest only payments through maturity. The bonds bear interest at a variable rate determined weekly to be the interest rate, which would enable the bonds to be remarketed at 100% of their principal amount. The weighted average interest rate for the twelve months ended December 31, 2004 was 2.71%. The property is not encumbered by a lien.</w:t>
      </w:r>
    </w:p>
    <w:p>
      <w:pPr>
        <w:ind w:left="340" w:right="160" w:hanging="332"/>
        <w:spacing w:after="0" w:line="221"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note requires interest on the principal balance at the Applicable Federal Rate established by the Internal Revenue Service for short-term debt instruments for the month of September 2004. This note was paid in full February 1, 2005.</w:t>
      </w:r>
    </w:p>
    <w:p>
      <w:pPr>
        <w:ind w:left="340" w:hanging="332"/>
        <w:spacing w:after="0" w:line="221"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purchased interest rate swaps at issuance (in 1998), thereby reducing the effective interest rate from 6.99% to 6.894%.</w:t>
      </w:r>
    </w:p>
    <w:p>
      <w:pPr>
        <w:ind w:left="340" w:right="400" w:hanging="332"/>
        <w:spacing w:after="0" w:line="221"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purchased an interest rate lock to hedge a planned note offering. A hedge loss of $1.5 million associated with this hedge is being amortized into the note offering, thereby increasing the effective interest rate on these notes to 6.325%.</w:t>
      </w:r>
    </w:p>
    <w:p>
      <w:pPr>
        <w:ind w:left="340" w:hanging="332"/>
        <w:spacing w:after="0" w:line="221"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Beginning on August 15, 2008, the debentures are redeemable by the holders thereof at the original purchase price of $1,000 per debenture.</w:t>
      </w: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Beginning on August 1, 2007, the notes are redeemable by the holders thereof at the original purchase price of $1,000 per note.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credit facility and other debt agreements include financial covenants that may limit our operating activities in the future. These covenants require us to comply with a number of financial provisions using calculations of ratios and other amounts that are not normally useful to a financial statement reader and that are calculated in a manner that is not in accordance with GAAP. Accordingly, the numeric information set forth below is calculated as required by our various loan agreements rather than in accordance with GAAP. We have not included a reconciliation of this information to GAAP information because, in this case, there is no directly comparable GAAP measure, similarly titled GAAP measures are not relevant in determining whether or not we are in compliance with our financial covenants and we believe that the ratios on our material covenants are relevant to the reader. These covenants require us to:</w:t>
      </w:r>
    </w:p>
    <w:p>
      <w:pPr>
        <w:spacing w:after="0" w:line="26" w:lineRule="exact"/>
        <w:rPr>
          <w:sz w:val="20"/>
          <w:szCs w:val="20"/>
          <w:color w:val="auto"/>
        </w:rPr>
      </w:pPr>
    </w:p>
    <w:p>
      <w:pPr>
        <w:ind w:left="900" w:right="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2.19 to 1 as of December 31, 2004);</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limit the amount of debt as a percentage of total asset value to less than 0.55 to 1 (we maintained a ratio of 0.454 to 1 as of December 31, 2004);</w:t>
      </w:r>
    </w:p>
    <w:p>
      <w:pPr>
        <w:spacing w:after="0" w:line="126"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amount of secured debt as a percentage of total asset value to less than 0.30 to 1 (we maintained a ratio of 0.15 to 1 as of December 31, 2004);</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2.65 to 1 as of December 31, 2004); and</w:t>
      </w:r>
    </w:p>
    <w:p>
      <w:pPr>
        <w:spacing w:after="0" w:line="37"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gross asset value (the budgeted total cost of our projects under construction at December 31, 2004 represented 2.8% of gross asset value).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obligated to comply with other covenants, including, among others, provisions:</w:t>
      </w:r>
    </w:p>
    <w:p>
      <w:pPr>
        <w:spacing w:after="0" w:line="7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relating to the maintenance of any property securing a mortgage;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December 31, 2004, we were in compliance with all of the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2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Below are the aggregate principal payments required as of December 31, 2004 under our debt financing arrangements by year. Scheduled principal installments and amounts due at maturity are included.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Secured</w:t>
            </w:r>
          </w:p>
        </w:tc>
        <w:tc>
          <w:tcPr>
            <w:tcW w:w="5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Capital Lease</w:t>
            </w:r>
          </w:p>
        </w:tc>
        <w:tc>
          <w:tcPr>
            <w:tcW w:w="260" w:type="dxa"/>
            <w:vAlign w:val="bottom"/>
          </w:tcPr>
          <w:p>
            <w:pPr>
              <w:spacing w:after="0"/>
              <w:rPr>
                <w:sz w:val="15"/>
                <w:szCs w:val="15"/>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8"/>
              </w:rPr>
              <w:t>Unsecured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95"/>
        </w:trPr>
        <w:tc>
          <w:tcPr>
            <w:tcW w:w="11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40,167</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44,357</w:t>
            </w:r>
          </w:p>
        </w:tc>
        <w:tc>
          <w:tcPr>
            <w:tcW w:w="22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2006</w:t>
            </w: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204,314(1)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209,166(1)</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149,483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154,715</w:t>
            </w:r>
          </w:p>
        </w:tc>
        <w:tc>
          <w:tcPr>
            <w:tcW w:w="22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2008</w:t>
            </w: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13,633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150,226</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165,371</w:t>
            </w:r>
          </w:p>
        </w:tc>
        <w:tc>
          <w:tcPr>
            <w:tcW w:w="22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174,233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184,495</w:t>
            </w:r>
          </w:p>
        </w:tc>
        <w:tc>
          <w:tcPr>
            <w:tcW w:w="220" w:type="dxa"/>
            <w:vAlign w:val="bottom"/>
            <w:shd w:val="clear" w:color="auto" w:fill="CCEEFF"/>
          </w:tcPr>
          <w:p>
            <w:pPr>
              <w:spacing w:after="0"/>
              <w:rPr>
                <w:sz w:val="18"/>
                <w:szCs w:val="18"/>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2010 and thereafter (2)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219,215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151,989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174,749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545,953</w:t>
            </w:r>
          </w:p>
        </w:tc>
        <w:tc>
          <w:tcPr>
            <w:tcW w:w="220" w:type="dxa"/>
            <w:vAlign w:val="bottom"/>
          </w:tcPr>
          <w:p>
            <w:pPr>
              <w:spacing w:after="0"/>
              <w:rPr>
                <w:sz w:val="19"/>
                <w:szCs w:val="19"/>
                <w:color w:val="auto"/>
              </w:rPr>
            </w:pPr>
          </w:p>
        </w:tc>
      </w:tr>
      <w:tr>
        <w:trPr>
          <w:trHeight w:val="102"/>
        </w:trPr>
        <w:tc>
          <w:tcPr>
            <w:tcW w:w="11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118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251,885</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893,172</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1,304,057</w:t>
            </w:r>
          </w:p>
        </w:tc>
        <w:tc>
          <w:tcPr>
            <w:tcW w:w="220" w:type="dxa"/>
            <w:vAlign w:val="bottom"/>
            <w:shd w:val="clear" w:color="auto" w:fill="CCEEFF"/>
          </w:tcPr>
          <w:p>
            <w:pPr>
              <w:spacing w:after="0"/>
              <w:rPr>
                <w:sz w:val="18"/>
                <w:szCs w:val="18"/>
                <w:color w:val="auto"/>
              </w:rPr>
            </w:pPr>
          </w:p>
        </w:tc>
      </w:tr>
      <w:tr>
        <w:trPr>
          <w:trHeight w:val="132"/>
        </w:trPr>
        <w:tc>
          <w:tcPr>
            <w:tcW w:w="11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-172720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-172720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-172720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-172720</wp:posOffset>
            </wp:positionV>
            <wp:extent cx="22764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7647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$55 million outstanding under our revolving credit facility.</w:t>
      </w:r>
    </w:p>
    <w:p>
      <w:pPr>
        <w:spacing w:after="0" w:line="15" w:lineRule="exact"/>
        <w:rPr>
          <w:rFonts w:ascii="Arial" w:cs="Arial" w:eastAsia="Arial" w:hAnsi="Arial"/>
          <w:sz w:val="18"/>
          <w:szCs w:val="18"/>
          <w:color w:val="auto"/>
        </w:rPr>
      </w:pPr>
    </w:p>
    <w:p>
      <w:pPr>
        <w:ind w:left="460" w:right="40" w:hanging="452"/>
        <w:spacing w:after="0" w:line="323"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$13.1 million under the Mount Vernon mortgage loan that may be required to be paid on or after April 15, 2013 and $90 million of unsecured debt that may be called by the holders beginning August 1, 2007 as to $40 million thereof and beginning August 15, 2008 as to $50 million thereof.</w:t>
      </w:r>
    </w:p>
    <w:p>
      <w:pPr>
        <w:spacing w:after="0" w:line="7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Our organizational documents do not limit the level or amount of debt that we may incur.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enter into derivative contracts, which qualify as cash flow hedges under SFAS No. 133 “Accounting for Derivative Instruments and Hedging Activities”, in order to manage interest rate risk. Derivatives are not purchased for speculation. We use derivative financial instruments to convert a portion of our variable rate debt to fixed rate debt and to manage our fixed to variable rate debt ratio. As of September 30, 2004, the Company had three cash flow hedge agreements, which are accounted for in conformity with SFAS No. 133, “Accounting for Derivative Instruments and Hedging Activities,” as amended by SFAS No. 138, “Accounting for Certain Derivative Instruments and Certain Hedging Activities—an Amendment of FASB Statement No. 133.”</w:t>
      </w:r>
    </w:p>
    <w:p>
      <w:pPr>
        <w:spacing w:after="0" w:line="10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January 2004, to hedge our exposure to interest rate fluctuations on our $150 million, five-year term loan issued in October 2003, we entered into an interest rate swap, which fixed the LIBOR portion of the interest rate on the term loan at 2.401% through October 2006. The interest rate on the term loan as of December 31, 2003 was 2.1% based on LIBOR plus 95 basis points. Upon entering into the swap, the interest rate was fixed, assuming no change to our debt rating, at 3.351% on notional amounts totaling $150 million through October 2006. On the January 2004 hedge, we are exposed to credit loss in the event of non-performance by the counterparty to the interest rate protection agreement should interest rates exceed the cap. However, management does not anticipate non-performance by the counterparty. The counterparty has a long-term debt rating of “A” by Standard and Poor’s Ratings Service and “A1” by Moody’s Investors Service as of December 31, 2004. Although our swap is not exchange traded, there are a number of financial institutions which enter into these types of transactions as part of their day-to-day activities. The swap has been documented as a cash flow hedge and designated as effective at inception of the swap contract. Consequently, the unrealized gain or loss upon measuring the swap at its fair value is recorded as a component of other comprehensive income within shareholders’ equity and either a derivative instrument asset or liability is recorded on the balance sheet.</w:t>
      </w:r>
    </w:p>
    <w:p>
      <w:pPr>
        <w:spacing w:after="0" w:line="10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two remaining hedging instruments involved an interest rate swap associated with our 6.99% Medium Term Notes and an interest rate lock purchased in 2002 in connection with our 6.125% Notes and are described in more detail in Item 7A. Quantitative and Qualitative Disclosures about Market Risk – Interest Rate Hedging.”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trust expenditures, non-recurring trust expenditures (such as tenant improvements and redevelopments) and dividends to common and preferred shareholders. Overall capital requirements in 2004 and 2005 will depend upon acquisition opportunities, the level of improvements and redevelopments on existing properties and the timing and cost of future phases of Santana Row. To the extent that we require additional funds to meet our capital requirements, and normal recurring operating costs, we expect to fund these amounts from one or more of the following sources:</w:t>
      </w:r>
    </w:p>
    <w:p>
      <w:pPr>
        <w:spacing w:after="0" w:line="2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cash provided by operating activities,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borrowings under our credit facility,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and replacement borrowings, both secured and unsecured, from other funding sources,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equity financing.</w:t>
      </w:r>
    </w:p>
    <w:p>
      <w:pPr>
        <w:spacing w:after="0" w:line="18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long-term capital requirements consist primarily of maturities under our long-term debt, development and redevelopment costs and potential acquisition opportunities.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77" w:lineRule="exact"/>
        <w:rPr>
          <w:sz w:val="20"/>
          <w:szCs w:val="20"/>
          <w:color w:val="auto"/>
        </w:rPr>
      </w:pPr>
    </w:p>
    <w:p>
      <w:pPr>
        <w:ind w:left="900" w:right="26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in our debt instruments or outstanding equity may prohibit us from incurring debt or issuing equity at all, or on acceptable terms under then-prevailing market conditions;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Funds FFO is a supplemental non-GAAP financial measure of real estate companies’ operating performance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18" w:lineRule="exact"/>
        <w:rPr>
          <w:sz w:val="20"/>
          <w:szCs w:val="20"/>
          <w:color w:val="auto"/>
        </w:rPr>
      </w:pPr>
    </w:p>
    <w:p>
      <w:pPr>
        <w:ind w:left="900" w:right="74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to remain qualified as a REIT. Therefore, a significant increase in FFO will generally require an increase in distributions to shareholders although not necessarily on a proportionate basis.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153"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60325</wp:posOffset>
            </wp:positionV>
            <wp:extent cx="8578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3"/>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8"/>
                <w:szCs w:val="18"/>
                <w:color w:val="auto"/>
                <w:w w:val="92"/>
              </w:rPr>
              <w:t>(14,052)</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2"/>
              </w:rPr>
              <w:t>(20,053)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81,649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7,151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Funds from operations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159,091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148,447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8"/>
                <w:szCs w:val="18"/>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8"/>
                <w:szCs w:val="18"/>
                <w:color w:val="auto"/>
                <w:w w:val="92"/>
              </w:rPr>
              <w:t>(11,475)</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2"/>
              </w:rPr>
              <w:t>(15,084)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Preferred stock redemption costs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Funds from operations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148,671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131,257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2.85</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-374015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-374015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-374015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-374015</wp:posOffset>
            </wp:positionV>
            <wp:extent cx="4584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 et Risk</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 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variable rate debt and on the fair value of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likely would take to reduce our exposure to the change. This analysis assumes no change in our financial structure.</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Fixed Interest Rate Debt</w:t>
      </w:r>
      <w:r>
        <w:rPr>
          <w:rFonts w:ascii="Arial" w:cs="Arial" w:eastAsia="Arial" w:hAnsi="Arial"/>
          <w:sz w:val="18"/>
          <w:szCs w:val="18"/>
          <w:color w:val="auto"/>
        </w:rPr>
        <w:t>. The majority of our outstanding debt obligations (maturing at various times through 2028 or through 2077 including capital lease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have fixed interest rates which limit the risk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fluctuating interest rates. Interest rate fluctuations may affect the fair value of our fixed rate debt instruments, however. At December 31, 2004 we had $1.1 billion of fixed-rate debt outstanding. If interest rates on our fixed-rate debt instruments at December 31, 2004 had been 1.0% higher, the fair value of those debt instruments on that date would have decreased by approximately $11.4 million. If interest rates on our fixed-rate debt instruments at December 31, 2004 had been 1.0% lower, the fair value of those debt instruments on that date would have increased by approximately $11.4 million.</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Variable Interest Rate Debt</w:t>
      </w:r>
      <w:r>
        <w:rPr>
          <w:rFonts w:ascii="Arial" w:cs="Arial" w:eastAsia="Arial" w:hAnsi="Arial"/>
          <w:sz w:val="18"/>
          <w:szCs w:val="18"/>
          <w:color w:val="auto"/>
        </w:rPr>
        <w:t>. We believe that our primary interest rate risk is due to fluctuations in interest rates on our variable rate debt.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2004, we had $164.4 million of variable rate debt outstanding. Based upon this balance of variable rate debt, if interest rates increased 1.0%, our interest expense would increase by approximately $1.6 million, and our net income and cash flows for the year would decrease by approximately $1.6 million. If interest rates decreased 1.0%, our interest expense would decrease by approximately $1.6 million, and our net income and cash flows for the year would increase by approximately $1.6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objective in using derivatives is to add stability to interest expense and to manage our exposure to interest rate movements or other identified risks. We use derivative financial instruments to convert a portion of our variable rate debt to fixed rate debt and to manage our fixed to variable rate debt ratio.</w:t>
      </w:r>
    </w:p>
    <w:p>
      <w:pPr>
        <w:spacing w:after="0" w:line="7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Cash Flow Hedging</w:t>
      </w:r>
      <w:r>
        <w:rPr>
          <w:rFonts w:ascii="Arial" w:cs="Arial" w:eastAsia="Arial" w:hAnsi="Arial"/>
          <w:sz w:val="16"/>
          <w:szCs w:val="16"/>
          <w:color w:val="auto"/>
        </w:rPr>
        <w:t>. To accomplish this objective, the Company primarily uses interest rate swaps as part of its cash flow hedging strategy.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swaps designated as cash flow hedges involve the payment of fixed rate amounts in exchange for variable rate payments over the life of the agreements without exchange of the underlying principal amount. During the year ended December 31, 2004, these derivatives were used to hedge the variable cash flows associated with existing variable rate debt. As of December 31, 2004, the Company had entered into three cash flow hedge agreements, which are accounted for in conformity with SFAS No. 133, “Accounting for Derivative Instruments and Hedging Activities,” as amended by SFAS No. 138, “Accounting for Certain Derivative Instruments and Hedging Activities—an Amendment of FASB Statement No. 133.”</w:t>
      </w:r>
    </w:p>
    <w:p>
      <w:pPr>
        <w:spacing w:after="0" w:line="10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 more detailed description of these derivative financial instruments is contained in “Item 7. Management’s Discussion and Analysis of Financial Condition and Results of Operations—Liquidity and Capital Resources—Interest Rate Hedging.”</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Hedging of Unsecured Notes</w:t>
      </w:r>
      <w:r>
        <w:rPr>
          <w:rFonts w:ascii="Arial" w:cs="Arial" w:eastAsia="Arial" w:hAnsi="Arial"/>
          <w:sz w:val="16"/>
          <w:szCs w:val="16"/>
          <w:color w:val="auto"/>
        </w:rPr>
        <w:t>. We have entered into several interest rate swaps or interest rate locks that hedged certain unsecured notes. In January 2004, to</w:t>
      </w:r>
      <w:r>
        <w:rPr>
          <w:rFonts w:ascii="Arial" w:cs="Arial" w:eastAsia="Arial" w:hAnsi="Arial"/>
          <w:sz w:val="16"/>
          <w:szCs w:val="16"/>
          <w:i w:val="1"/>
          <w:iCs w:val="1"/>
          <w:color w:val="auto"/>
        </w:rPr>
        <w:t xml:space="preserve"> </w:t>
      </w:r>
      <w:r>
        <w:rPr>
          <w:rFonts w:ascii="Arial" w:cs="Arial" w:eastAsia="Arial" w:hAnsi="Arial"/>
          <w:sz w:val="16"/>
          <w:szCs w:val="16"/>
          <w:color w:val="auto"/>
        </w:rPr>
        <w:t>hedge our exposure to interest rates on the $150 million five-year term loan, we entered into an interest rate swap, which fixed the LIBOR portion of the interest rate on the term loan at 2.401% through October 2006. The interest rate on the term loan as of December 31, 2003 was 2.1% based on LIBOR plus 95 basis points. The current interest rate, taking into account the swap, is 3.351% (2.401% plus 0.95%) on notional amounts totaling $150 million.</w:t>
      </w:r>
    </w:p>
    <w:p>
      <w:pPr>
        <w:spacing w:after="0" w:line="99"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In anticipation of a $150 million Senior Unsecured Note offering, on August 1, 2002, we entered into a treasury lock that fixed the benchmark five year treasury rate at 3.472% through August 19, 2002. The rate lock was documented as a cash flow hedge of a forecasted transaction and designated as effective at the inception of the contract. On August 16, 2002, we priced the Senior Unsecured Notes with a scheduled closing date of August 21, 2002 and closed out the associated rate lock. Five-year treasury rates declined between the pricing period and the settlement of the hedge purchase; therefore, to settle the rate lock, we paid $1.5 million. As a result of the August 19, 2002 fire at Santana Row, we were not able to proceed with the note offering at that time. However, we consummated a $150 million Senior Unsecured Note offering on November 15, 2002, and thus, the hedge loss is being amortized into interest expense over the life of the related Notes.</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also purchased an interest rate swap with a face amount of $40.5 million upon issuance of our 6.99% Medium Term Notes, which reduced the effective interest rate from 6.99% to 6.894%.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rPr>
              <w:t>Page No.</w:t>
            </w:r>
          </w:p>
        </w:tc>
      </w:tr>
      <w:tr>
        <w:trPr>
          <w:trHeight w:val="95"/>
        </w:trPr>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277"/>
        </w:trPr>
        <w:tc>
          <w:tcPr>
            <w:tcW w:w="5600" w:type="dxa"/>
            <w:vAlign w:val="bottom"/>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Report of Independent Registered Public Accounting Firm on Internal Controls</w:t>
              </w:r>
            </w:hyperlink>
          </w:p>
        </w:tc>
        <w:tc>
          <w:tcPr>
            <w:tcW w:w="50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196"/>
        </w:trPr>
        <w:tc>
          <w:tcPr>
            <w:tcW w:w="3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Management Assessment Report on Internal Controls</w:t>
              </w:r>
            </w:hyperlink>
          </w:p>
        </w:tc>
        <w:tc>
          <w:tcPr>
            <w:tcW w:w="18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r>
      <w:tr>
        <w:trPr>
          <w:trHeight w:val="196"/>
        </w:trPr>
        <w:tc>
          <w:tcPr>
            <w:tcW w:w="5600" w:type="dxa"/>
            <w:vAlign w:val="bottom"/>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Report of Independent Registered Public Accounting Firm</w:t>
              </w:r>
            </w:hyperlink>
          </w:p>
        </w:tc>
        <w:tc>
          <w:tcPr>
            <w:tcW w:w="50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4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Consolidated Balance Sheets</w:t>
              </w:r>
            </w:hyperlink>
          </w:p>
        </w:tc>
        <w:tc>
          <w:tcPr>
            <w:tcW w:w="1480" w:type="dxa"/>
            <w:vAlign w:val="bottom"/>
            <w:gridSpan w:val="4"/>
          </w:tcPr>
          <w:p>
            <w:pPr>
              <w:spacing w:after="0"/>
              <w:rPr>
                <w:sz w:val="17"/>
                <w:szCs w:val="17"/>
                <w:color w:val="auto"/>
              </w:rPr>
            </w:pPr>
          </w:p>
        </w:tc>
        <w:tc>
          <w:tcPr>
            <w:tcW w:w="50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0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Consolidated Statements of Operations</w:t>
              </w:r>
            </w:hyperlink>
          </w:p>
        </w:tc>
        <w:tc>
          <w:tcPr>
            <w:tcW w:w="2840" w:type="dxa"/>
            <w:vAlign w:val="bottom"/>
            <w:gridSpan w:val="9"/>
          </w:tcPr>
          <w:p>
            <w:pPr>
              <w:spacing w:after="0"/>
              <w:rPr>
                <w:sz w:val="17"/>
                <w:szCs w:val="17"/>
                <w:color w:val="auto"/>
              </w:rPr>
            </w:pPr>
          </w:p>
        </w:tc>
        <w:tc>
          <w:tcPr>
            <w:tcW w:w="50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5600" w:type="dxa"/>
            <w:vAlign w:val="bottom"/>
            <w:gridSpan w:val="1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Consolidated Statements of Common Shareholders’ Equity</w:t>
              </w:r>
            </w:hyperlink>
          </w:p>
        </w:tc>
        <w:tc>
          <w:tcPr>
            <w:tcW w:w="50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4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Consolidated Statements of Cash Flows</w:t>
              </w:r>
            </w:hyperlink>
          </w:p>
        </w:tc>
        <w:tc>
          <w:tcPr>
            <w:tcW w:w="1440" w:type="dxa"/>
            <w:vAlign w:val="bottom"/>
            <w:gridSpan w:val="3"/>
          </w:tcPr>
          <w:p>
            <w:pPr>
              <w:spacing w:after="0"/>
              <w:rPr>
                <w:sz w:val="17"/>
                <w:szCs w:val="17"/>
                <w:color w:val="auto"/>
              </w:rPr>
            </w:pPr>
          </w:p>
        </w:tc>
        <w:tc>
          <w:tcPr>
            <w:tcW w:w="50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600" w:type="dxa"/>
            <w:vAlign w:val="bottom"/>
            <w:gridSpan w:val="12"/>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50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F8-F29</w:t>
            </w:r>
          </w:p>
        </w:tc>
      </w:tr>
      <w:tr>
        <w:trPr>
          <w:trHeight w:val="304"/>
        </w:trPr>
        <w:tc>
          <w:tcPr>
            <w:tcW w:w="2180" w:type="dxa"/>
            <w:vAlign w:val="bottom"/>
            <w:tcBorders>
              <w:top w:val="single" w:sz="8" w:color="0000EE"/>
              <w:bottom w:val="single" w:sz="8" w:color="0000EE"/>
            </w:tcBorders>
            <w:gridSpan w:val="2"/>
          </w:tcPr>
          <w:p>
            <w:pPr>
              <w:spacing w:after="0"/>
              <w:rPr>
                <w:rFonts w:ascii="Arial" w:cs="Arial" w:eastAsia="Arial" w:hAnsi="Arial"/>
                <w:sz w:val="18"/>
                <w:szCs w:val="18"/>
                <w:i w:val="1"/>
                <w:iCs w:val="1"/>
                <w:color w:val="0000EE"/>
                <w:w w:val="87"/>
              </w:rPr>
            </w:pPr>
            <w:hyperlink w:anchor="page20">
              <w:r>
                <w:rPr>
                  <w:rFonts w:ascii="Arial" w:cs="Arial" w:eastAsia="Arial" w:hAnsi="Arial"/>
                  <w:sz w:val="18"/>
                  <w:szCs w:val="18"/>
                  <w:i w:val="1"/>
                  <w:iCs w:val="1"/>
                  <w:color w:val="0000EE"/>
                  <w:w w:val="87"/>
                </w:rPr>
                <w:t>Financial Statement Schedules</w:t>
              </w:r>
            </w:hyperlink>
          </w:p>
        </w:tc>
        <w:tc>
          <w:tcPr>
            <w:tcW w:w="900" w:type="dxa"/>
            <w:vAlign w:val="bottom"/>
            <w:tcBorders>
              <w:top w:val="single" w:sz="8" w:color="0000EE"/>
            </w:tcBorders>
            <w:gridSpan w:val="3"/>
          </w:tcPr>
          <w:p>
            <w:pPr>
              <w:spacing w:after="0"/>
              <w:rPr>
                <w:sz w:val="24"/>
                <w:szCs w:val="24"/>
                <w:color w:val="auto"/>
              </w:rPr>
            </w:pPr>
          </w:p>
        </w:tc>
        <w:tc>
          <w:tcPr>
            <w:tcW w:w="2520" w:type="dxa"/>
            <w:vAlign w:val="bottom"/>
            <w:gridSpan w:val="7"/>
          </w:tcPr>
          <w:p>
            <w:pPr>
              <w:spacing w:after="0"/>
              <w:rPr>
                <w:sz w:val="24"/>
                <w:szCs w:val="24"/>
                <w:color w:val="auto"/>
              </w:rPr>
            </w:pPr>
          </w:p>
        </w:tc>
        <w:tc>
          <w:tcPr>
            <w:tcW w:w="5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50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Schedule III — Summary of Real Estate and Accumulated Depreciation</w:t>
              </w:r>
            </w:hyperlink>
          </w:p>
        </w:tc>
        <w:tc>
          <w:tcPr>
            <w:tcW w:w="520" w:type="dxa"/>
            <w:vAlign w:val="bottom"/>
            <w:gridSpan w:val="2"/>
          </w:tcPr>
          <w:p>
            <w:pPr>
              <w:spacing w:after="0"/>
              <w:rPr>
                <w:sz w:val="17"/>
                <w:szCs w:val="17"/>
                <w:color w:val="auto"/>
              </w:rPr>
            </w:pPr>
          </w:p>
        </w:tc>
        <w:tc>
          <w:tcPr>
            <w:tcW w:w="50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F30-F33</w:t>
            </w:r>
          </w:p>
        </w:tc>
      </w:tr>
      <w:tr>
        <w:trPr>
          <w:trHeight w:val="196"/>
        </w:trPr>
        <w:tc>
          <w:tcPr>
            <w:tcW w:w="5600" w:type="dxa"/>
            <w:vAlign w:val="bottom"/>
            <w:gridSpan w:val="12"/>
          </w:tcPr>
          <w:p>
            <w:pPr>
              <w:spacing w:after="0" w:line="196" w:lineRule="exact"/>
              <w:rPr>
                <w:sz w:val="20"/>
                <w:szCs w:val="20"/>
                <w:color w:val="auto"/>
              </w:rPr>
            </w:pPr>
            <w:r>
              <w:rPr>
                <w:rFonts w:ascii="Arial" w:cs="Arial" w:eastAsia="Arial" w:hAnsi="Arial"/>
                <w:sz w:val="18"/>
                <w:szCs w:val="18"/>
                <w:color w:val="0000EE"/>
              </w:rPr>
              <w:t>Schedule IV — Mortgage Loans on Real Estate</w:t>
            </w:r>
          </w:p>
        </w:tc>
        <w:tc>
          <w:tcPr>
            <w:tcW w:w="50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F34-F35</w:t>
            </w:r>
          </w:p>
        </w:tc>
      </w:tr>
      <w:tr>
        <w:trPr>
          <w:trHeight w:val="383"/>
        </w:trPr>
        <w:tc>
          <w:tcPr>
            <w:tcW w:w="20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Pr>
          <w:p>
            <w:pPr>
              <w:jc w:val="right"/>
              <w:ind w:right="4712"/>
              <w:spacing w:after="0"/>
              <w:rPr>
                <w:sz w:val="20"/>
                <w:szCs w:val="20"/>
                <w:color w:val="auto"/>
              </w:rPr>
            </w:pPr>
            <w:r>
              <w:rPr>
                <w:rFonts w:ascii="Arial" w:cs="Arial" w:eastAsia="Arial" w:hAnsi="Arial"/>
                <w:sz w:val="18"/>
                <w:szCs w:val="18"/>
                <w:color w:val="auto"/>
                <w:w w:val="89"/>
              </w:rPr>
              <w:t>44</w:t>
            </w:r>
          </w:p>
        </w:tc>
        <w:tc>
          <w:tcPr>
            <w:tcW w:w="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20"/>
        <w:spacing w:after="0" w:line="332" w:lineRule="auto"/>
        <w:rPr>
          <w:sz w:val="20"/>
          <w:szCs w:val="20"/>
          <w:color w:val="auto"/>
        </w:rPr>
      </w:pPr>
      <w:r>
        <w:rPr>
          <w:rFonts w:ascii="Arial" w:cs="Arial" w:eastAsia="Arial" w:hAnsi="Arial"/>
          <w:sz w:val="18"/>
          <w:szCs w:val="18"/>
          <w:b w:val="1"/>
          <w:bCs w:val="1"/>
          <w:color w:val="auto"/>
        </w:rPr>
        <w:t xml:space="preserve">Report of Independent Registered Public Accounting Firm on Internal Controls </w:t>
      </w:r>
      <w:r>
        <w:rPr>
          <w:rFonts w:ascii="Arial" w:cs="Arial" w:eastAsia="Arial" w:hAnsi="Arial"/>
          <w:sz w:val="18"/>
          <w:szCs w:val="18"/>
          <w:color w:val="auto"/>
        </w:rPr>
        <w:t>Trustees and shareholders of Federal Realty Investment Trust</w:t>
      </w:r>
    </w:p>
    <w:p>
      <w:pPr>
        <w:spacing w:after="0" w:line="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Management Assessment Report on Internal Controls, that Federal Realty Investment Trust (a Maryland real estate investment trust) and subsidiaries (the Trust) maintained effective internal control over financial reporting as of December 31, 2004,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Trust’s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Trust’s internal control over financial reporting based on our audit.</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29"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An organization’s internal control over financial reporting is a process designed to provide reasonable assurance regarding the reliability of financial reporting and the preparation of financial statements for external purposes in accordance with generally accepted accounting principles. An organization’s internal control over financial reporting includes those policies and procedures that (1) pertain to the maintenance of records that, in reasonable detail, accurately and fairly reflect the transactions and dispositions of the assets of the organization; (2) provide reasonable assurance that transactions are recorded as necessary to permit preparation of financial statements in accordance with generally accepted accounting principles, and that receipts and expenditures of the organization are being made only in accordance with authorizations of management and directors of the organization; and (3) provide reasonable assurance regarding prevention or timely detection of unauthorized acquisition, use, or disposition of the organization’s assets that could have a material effect on the financial statements.</w:t>
      </w:r>
    </w:p>
    <w:p>
      <w:pPr>
        <w:spacing w:after="0" w:line="9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In our opinion, management’s assessment that the Trust maintained effective internal control over financial reporting as of December 31, 2004, is fairly stated, in all material respects, based on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Also in our opinion, the Trust maintained, in all material respects, effective internal control over financial reporting as of December 31, 2004, based on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of the Trust and subsidiaries as of December 31, 2004 and 2003, and the related consolidated statements of operations, common shareholders’ equity, and cash flows for each of the three years in the period ended December 31, 2004, and our report dated March 2, 2005, expressed an unqualified opinion on those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Assessment Report on Internal Controls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management of Federal Realty is responsible for establishing and maintaining adequate internal control over financial reporting. Establishing and maintaining internal control over financial reporting is a process designed by, or under the supervision of, our President and Chief Executive officer and Senior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2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pertain to the maintenance of records that accurately and fairly reflect the transactions and dispositions of our assets in reasonable detail;</w:t>
      </w:r>
    </w:p>
    <w:p>
      <w:pPr>
        <w:spacing w:after="0" w:line="126"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5"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0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Management conducted an assessment of the effectiveness of the Trust’s internal control over financial reporting as of December 31, 2004.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this assessment, management concluded that our internal control over financial reporting is effective based on those criteria, as of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our most recent fiscal year.</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Federal Realty’s independent registered public accounting firm have issued an attestation report on management’s assessment of our internal control over financial reporting. This report appears on page F-1.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Federal Realty Investment Trust (a Maryland real estate investment trust) and subsidiaries (the Trust) as of December 31, 2004 and 2003, and the related consolidated statements of operations, common shareholders’ equity, and cash flows for each of the three years in the period ended December 31, 2004. These financial statements are the responsibility of the Trust’s management. Our responsibility is to express an opinion on these financial statements based on our audits.</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Federal Realty Investment Trust and subsidiaries as of December 31, 2004 and 2003, and the results of its operations and its cash flows for each of the three years in the period ended December 31, 2004 in conformity with accounting principles generally accepted in the United States of America.</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audits were conducted for the purpose of forming an opinion on the basic consolidated financial statements taken as a whole. The Schedules III and IV are presented for the purposes of additional analysis and are not a required part of the basic consolidated financial statements. These schedules have been subjected to the auditing procedures applied in the audit of the basic consolidated financial statements and, in our opinion, are fairly stated in all material respects in relation to the basic consolidated financial statements taken as a whole.</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effectiveness of the Trust’s internal control over financial reporting as of December 31, 2004,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w:t>
      </w:r>
      <w:r>
        <w:rPr>
          <w:rFonts w:ascii="Arial" w:cs="Arial" w:eastAsia="Arial" w:hAnsi="Arial"/>
          <w:sz w:val="16"/>
          <w:szCs w:val="16"/>
          <w:i w:val="1"/>
          <w:iCs w:val="1"/>
          <w:color w:val="auto"/>
        </w:rPr>
        <w:t>)</w:t>
      </w:r>
      <w:r>
        <w:rPr>
          <w:rFonts w:ascii="Arial" w:cs="Arial" w:eastAsia="Arial" w:hAnsi="Arial"/>
          <w:sz w:val="16"/>
          <w:szCs w:val="16"/>
          <w:color w:val="auto"/>
        </w:rPr>
        <w:t>, and our report dated March 2, 2005, expressed an unqualified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 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(in thousands,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Real estate, at cost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2,666,276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2,406,076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64,073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2,666,276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2,470,149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(595,338)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(514,177)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2,070,938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1,955,972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71,767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net of accumulated amortization of $5,549, and $3,111, respectively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2,266,896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2,141,185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Obligations under capital leases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159,486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568,121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532,750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Security deposits payable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liabilities and deferred credits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17,552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1,457,408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authorized 15,000,000 shares, $.01 par: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8.5% Series B Cumulative Redeemable Preferred Shares, (stated at liquidation preference $25 per share), 5,400,000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issued in 2001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5"/>
              </w:rPr>
              <w:t>Common shares of beneficial interest, $.01 par, 100,000,000 shares authorized, 53,616,827 and 50,670,851 issued,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1,108,213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980,227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dividends in excess of Trust net income</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(416,026)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(386,738)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1,480,202 and 1,470,275 common shares in treasury—at cost, respectively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Deferred compensation on restricted shares</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(8,641)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receivable from employee stock plans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691,374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2,266,896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2,141,185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960"/>
              <w:spacing w:after="0"/>
              <w:rPr>
                <w:sz w:val="20"/>
                <w:szCs w:val="20"/>
                <w:color w:val="auto"/>
              </w:rPr>
            </w:pPr>
            <w:r>
              <w:rPr>
                <w:rFonts w:ascii="Arial" w:cs="Arial" w:eastAsia="Arial" w:hAnsi="Arial"/>
                <w:sz w:val="18"/>
                <w:szCs w:val="18"/>
                <w:color w:val="auto"/>
                <w:w w:val="98"/>
              </w:rPr>
              <w:t>The accompanying notes are an integral part of these consolidated statements.</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80"/>
              <w:spacing w:after="0"/>
              <w:rPr>
                <w:sz w:val="20"/>
                <w:szCs w:val="20"/>
                <w:color w:val="auto"/>
              </w:rPr>
            </w:pPr>
            <w:r>
              <w:rPr>
                <w:rFonts w:ascii="Arial" w:cs="Arial" w:eastAsia="Arial" w:hAnsi="Arial"/>
                <w:sz w:val="18"/>
                <w:szCs w:val="18"/>
                <w:color w:val="auto"/>
              </w:rPr>
              <w:t>F-4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-5145405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-5145405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-5145405</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-5145405</wp:posOffset>
            </wp:positionV>
            <wp:extent cx="57023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57023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 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center"/>
              <w:ind w:right="33"/>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6"/>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371,856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338,057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295,757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4,915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394,274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352,567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91,614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18,164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89,709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74,468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237,783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202,703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156,491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149,864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2"/>
              </w:rPr>
              <w:t>(85,058)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(75,232)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(4,170)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(4,670)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abandoned developments held for sale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8"/>
                <w:szCs w:val="18"/>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(11,475)</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(15,084)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redemption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500" w:type="dxa"/>
            <w:vAlign w:val="bottom"/>
          </w:tcPr>
          <w:p>
            <w:pPr>
              <w:ind w:left="2960"/>
              <w:spacing w:after="0"/>
              <w:rPr>
                <w:sz w:val="20"/>
                <w:szCs w:val="20"/>
                <w:color w:val="auto"/>
              </w:rPr>
            </w:pPr>
            <w:r>
              <w:rPr>
                <w:rFonts w:ascii="Arial" w:cs="Arial" w:eastAsia="Arial" w:hAnsi="Arial"/>
                <w:sz w:val="18"/>
                <w:szCs w:val="18"/>
                <w:color w:val="auto"/>
                <w:w w:val="87"/>
              </w:rPr>
              <w:t>The accompanying notes are an integral part of these consolidated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00" w:type="dxa"/>
            <w:vAlign w:val="bottom"/>
          </w:tcPr>
          <w:p>
            <w:pPr>
              <w:ind w:left="5580"/>
              <w:spacing w:after="0"/>
              <w:rPr>
                <w:sz w:val="20"/>
                <w:szCs w:val="20"/>
                <w:color w:val="auto"/>
              </w:rPr>
            </w:pPr>
            <w:r>
              <w:rPr>
                <w:rFonts w:ascii="Arial" w:cs="Arial" w:eastAsia="Arial" w:hAnsi="Arial"/>
                <w:sz w:val="18"/>
                <w:szCs w:val="18"/>
                <w:color w:val="auto"/>
              </w:rPr>
              <w:t>F-5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-2546985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-2546985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-2546985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-2546985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-2546985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-2546985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-2546985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-2546985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-2546985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-1689735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-1689735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-1689735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-1689735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-1689735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-1689735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-1689735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-1689735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-1689735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-694690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-694690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-694690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-694690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-694690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-694690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-694690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-694690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-694690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11"/>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ind w:left="10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Additional</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Additional</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Paid-in</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Paid-in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Paid-in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Capital</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5"/>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11"/>
          </w:tcPr>
          <w:p>
            <w:pPr>
              <w:ind w:left="180"/>
              <w:spacing w:after="0"/>
              <w:rPr>
                <w:sz w:val="20"/>
                <w:szCs w:val="20"/>
                <w:color w:val="auto"/>
              </w:rPr>
            </w:pPr>
            <w:r>
              <w:rPr>
                <w:rFonts w:ascii="Arial" w:cs="Arial" w:eastAsia="Arial" w:hAnsi="Arial"/>
                <w:sz w:val="14"/>
                <w:szCs w:val="14"/>
                <w:b w:val="1"/>
                <w:bCs w:val="1"/>
                <w:color w:val="auto"/>
                <w:w w:val="94"/>
              </w:rPr>
              <w:t>(In thousands, except share data)</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 of beneficial interest</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50,670,851</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980,227</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44,996,382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818,290</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41,524,165</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730,835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348,888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8,586</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2,124,869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50,749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951,971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under dividend reinvestment plan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82,391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3,439</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109,835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3,541</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134,247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Performance and restricted shares granted, net of restricted shares retired</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84,617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3,632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138,568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98,092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Reclassification for preferred stock redemption</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3,423</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of shares in public offering</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2,186,749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99,011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3,236,245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98,368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2,185,000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Shares issued to purchase operating partnership units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203,130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8,686</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64,952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1,896</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Accelerated vesting of options and restricted shares</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Shares issued to purchase partnership interest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40,201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1,862</w:t>
            </w:r>
          </w:p>
        </w:tc>
        <w:tc>
          <w:tcPr>
            <w:tcW w:w="100" w:type="dxa"/>
            <w:vAlign w:val="bottom"/>
          </w:tcPr>
          <w:p>
            <w:pPr>
              <w:spacing w:after="0"/>
              <w:rPr>
                <w:sz w:val="12"/>
                <w:szCs w:val="12"/>
                <w:color w:val="auto"/>
              </w:rPr>
            </w:pPr>
          </w:p>
        </w:tc>
        <w:tc>
          <w:tcPr>
            <w:tcW w:w="800" w:type="dxa"/>
            <w:vAlign w:val="bottom"/>
            <w:gridSpan w:val="4"/>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compensation associated with variable accounting</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2,770</w:t>
            </w:r>
          </w:p>
        </w:tc>
        <w:tc>
          <w:tcPr>
            <w:tcW w:w="100" w:type="dxa"/>
            <w:vAlign w:val="bottom"/>
            <w:shd w:val="clear" w:color="auto" w:fill="CCEEFF"/>
          </w:tcPr>
          <w:p>
            <w:pPr>
              <w:spacing w:after="0"/>
              <w:rPr>
                <w:sz w:val="12"/>
                <w:szCs w:val="12"/>
                <w:color w:val="auto"/>
              </w:rPr>
            </w:pPr>
          </w:p>
        </w:tc>
        <w:tc>
          <w:tcPr>
            <w:tcW w:w="800" w:type="dxa"/>
            <w:vAlign w:val="bottom"/>
            <w:gridSpan w:val="4"/>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53,616,827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1,108,213</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50,670,851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980,227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44,996,382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818,290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dividends in excess of Trust net income</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(386,738)</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(368,839)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0"/>
              </w:rPr>
              <w:t>(322,428)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84,156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55,287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Dividends declared to common shareholders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(101,969)</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(93,889)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(82,273)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share dividends and redemption costs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(11,475)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(18,507)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(19,425)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(416,026)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(386,738)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(386,839)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 of beneficial interest in Treasury</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2"/>
              </w:rPr>
              <w:t>(1,470,275)</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(28,445)</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2"/>
              </w:rPr>
              <w:t>(1,461,147)</w:t>
            </w:r>
          </w:p>
        </w:tc>
        <w:tc>
          <w:tcPr>
            <w:tcW w:w="2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(28,193)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(1,452,926)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(27,990)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Performance and restricted shares forfeited</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(9,128)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(8,221)</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(1,480,202)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(28,786)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(1,470,275)</w:t>
            </w:r>
          </w:p>
        </w:tc>
        <w:tc>
          <w:tcPr>
            <w:tcW w:w="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(28,445)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(1,461,147)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(28,193)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compensation on restricted shares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(220,666)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(5,474)</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(153,993)</w:t>
            </w:r>
          </w:p>
        </w:tc>
        <w:tc>
          <w:tcPr>
            <w:tcW w:w="2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(666,656)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(15,005)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Performance and restricted shares issued, net of forfeitures</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(72,166)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(3,099)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(118,400)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(3,371)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(73,821)</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200"/>
              <w:spacing w:after="0"/>
              <w:rPr>
                <w:sz w:val="20"/>
                <w:szCs w:val="20"/>
                <w:color w:val="auto"/>
              </w:rPr>
            </w:pPr>
            <w:r>
              <w:rPr>
                <w:rFonts w:ascii="Arial" w:cs="Arial" w:eastAsia="Arial" w:hAnsi="Arial"/>
                <w:sz w:val="14"/>
                <w:szCs w:val="14"/>
                <w:color w:val="auto"/>
              </w:rPr>
              <w:t>Vesting of performance and restricted shares</w:t>
            </w:r>
          </w:p>
        </w:tc>
        <w:tc>
          <w:tcPr>
            <w:tcW w:w="640" w:type="dxa"/>
            <w:vAlign w:val="bottom"/>
          </w:tcPr>
          <w:p>
            <w:pPr>
              <w:jc w:val="right"/>
              <w:spacing w:after="0"/>
              <w:rPr>
                <w:sz w:val="20"/>
                <w:szCs w:val="20"/>
                <w:color w:val="auto"/>
              </w:rPr>
            </w:pPr>
            <w:r>
              <w:rPr>
                <w:rFonts w:ascii="Arial" w:cs="Arial" w:eastAsia="Arial" w:hAnsi="Arial"/>
                <w:sz w:val="14"/>
                <w:szCs w:val="14"/>
                <w:color w:val="auto"/>
              </w:rPr>
              <w:t>65,928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51,727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586,484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14,111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4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(226,904)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(8,641)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(220,666)</w:t>
            </w:r>
          </w:p>
        </w:tc>
        <w:tc>
          <w:tcPr>
            <w:tcW w:w="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(5,474)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(153,993)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Subscriptions receivable from employee stock plans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(156,274)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(3,615)</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(184,063)</w:t>
            </w:r>
          </w:p>
        </w:tc>
        <w:tc>
          <w:tcPr>
            <w:tcW w:w="2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(5,151)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(218,555)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(7,245)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Subscription loans issued</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(16,899)</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(87,641)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(93,469)</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(2,986)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200"/>
              <w:spacing w:after="0"/>
              <w:rPr>
                <w:sz w:val="20"/>
                <w:szCs w:val="20"/>
                <w:color w:val="auto"/>
              </w:rPr>
            </w:pPr>
            <w:r>
              <w:rPr>
                <w:rFonts w:ascii="Arial" w:cs="Arial" w:eastAsia="Arial" w:hAnsi="Arial"/>
                <w:sz w:val="14"/>
                <w:szCs w:val="14"/>
                <w:color w:val="auto"/>
              </w:rPr>
              <w:t>Subscription loans paid</w:t>
            </w:r>
          </w:p>
        </w:tc>
        <w:tc>
          <w:tcPr>
            <w:tcW w:w="640" w:type="dxa"/>
            <w:vAlign w:val="bottom"/>
          </w:tcPr>
          <w:p>
            <w:pPr>
              <w:jc w:val="right"/>
              <w:spacing w:after="0"/>
              <w:rPr>
                <w:sz w:val="20"/>
                <w:szCs w:val="20"/>
                <w:color w:val="auto"/>
              </w:rPr>
            </w:pPr>
            <w:r>
              <w:rPr>
                <w:rFonts w:ascii="Arial" w:cs="Arial" w:eastAsia="Arial" w:hAnsi="Arial"/>
                <w:sz w:val="14"/>
                <w:szCs w:val="14"/>
                <w:color w:val="auto"/>
              </w:rPr>
              <w:t>91,800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1,943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115,430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3,535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127,961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5,080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4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(81,373)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(156,274)</w:t>
            </w:r>
          </w:p>
        </w:tc>
        <w:tc>
          <w:tcPr>
            <w:tcW w:w="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(3,615)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(184,063)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(5,151)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(4,613)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(4,293)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due to recognizing (loss) gain on securities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Change in valuation on interest rate swap</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3,563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interest rate hedge transaction</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(4,613)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84,156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94,497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55,287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due to recognizing loss on securities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00"/>
              <w:spacing w:after="0" w:line="149" w:lineRule="exact"/>
              <w:rPr>
                <w:sz w:val="20"/>
                <w:szCs w:val="20"/>
                <w:color w:val="auto"/>
              </w:rPr>
            </w:pPr>
            <w:r>
              <w:rPr>
                <w:rFonts w:ascii="Arial" w:cs="Arial" w:eastAsia="Arial" w:hAnsi="Arial"/>
                <w:sz w:val="14"/>
                <w:szCs w:val="14"/>
                <w:color w:val="auto"/>
              </w:rPr>
              <w:t>Change in valuation on interest rate swap</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3,563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interest rate hedge transaction</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99,023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54,967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-4900295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-4900295</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-4900295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-4900295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-4900295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-4900295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-4900295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-4900295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-4900295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-4900295</wp:posOffset>
            </wp:positionV>
            <wp:extent cx="250825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0825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-4025265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-4025265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-4025265</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-4025265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-4025265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-4025265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-4025265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-4025265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-4025265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-3339465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-3339465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-3339465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-3339465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-3339465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-3339465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-3339465</wp:posOffset>
            </wp:positionV>
            <wp:extent cx="50990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-3339465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-3339465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-3339465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-3339465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-3339465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-2559050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-2559050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-2559050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-2559050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-2559050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-2559050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-2559050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-2559050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-2559050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-2559050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-2559050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-2559050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-2559050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-2559050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-2559050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-1778635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-1778635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-1778635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-1778635</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-1778635</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-1778635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-1778635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-1778635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-1778635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-1778635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-1778635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-1778635</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-1778635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-1778635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-1778635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-904240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-904240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-904240</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-904240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-904240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-904240</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-904240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-904240</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-904240</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83"/>
              </w:rPr>
              <w:t>2003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84,156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94,497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Items not requiring cash outlays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90,438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74,616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(14,052)</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Loss on abandoned developments held for sale</w:t>
            </w: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income from real estate partnership</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Non-cash portion of restructuring expense</w:t>
            </w: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accounts and notes receivable</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(1,879)</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(13,417)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Increase in prepaid expenses and other assets</w:t>
            </w: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(4,610)</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(20,364)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accounts payable, security deposits and prepaid rent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Increase in accrued expenses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161,113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Acquisition of real estate</w:t>
            </w: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(101,688)</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(50,629)</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(9,426)</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(59,251)</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(153,602)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(250,756)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expenditures—other</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(36,861)</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(20,922)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Santana Row fire insurance proceeds reducing cost basis</w:t>
            </w: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95,895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(Issuance) repayment of mortgage notes receivable, net</w:t>
            </w:r>
          </w:p>
        </w:tc>
        <w:tc>
          <w:tcPr>
            <w:tcW w:w="10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(3,172)</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(154,273)</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(90,340)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(174,913)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Net (repayment) borrowings under revolving credit facility</w:t>
            </w: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(44,750)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28,750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construction financing, net of costs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Issuance of notes, net of costs</w:t>
            </w: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senior debentures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Repayment of senior debentures</w:t>
            </w: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(39,500)</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mortgages, capital leases and notes payable, net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(3,623)</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(42,913)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Redemption of Series A preferred shares</w:t>
            </w: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117,739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(108,756)</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(104,802)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of minority interests, net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(7,443)</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(11,333)</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(19,274)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beginning of year</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23,123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49276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December 31, 2004, 2003 and 2002</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w:t>
      </w:r>
      <w:r>
        <w:rPr>
          <w:rFonts w:ascii="Arial" w:cs="Arial" w:eastAsia="Arial" w:hAnsi="Arial"/>
          <w:sz w:val="18"/>
          <w:szCs w:val="18"/>
          <w:color w:val="auto"/>
        </w:rPr>
        <w:t>. SUMMARY OF SIGNIFICANT ACCOUNTING POLICIES</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Federal Realty Investment Trust (the “Trust”) is an equity real estate investment trust specializing in the ownership, management, development and redevelopment of high quality community and neighborhood shopping centers and main street mixed-use properties located primarily in densely developed urban and suburban areas in strategic metropolitan markets in the Mid-Atlantic and Northeast regions and California.</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for federal income tax purposes. A trust which distributes at least 90% of its real estate investment trust taxable income to its shareholders each year and which meets certain other conditions will not be taxed on that portion of its taxable income which is distributed to its shareholders. Therefore, federal income taxes have been and are generally expected to be immaterial. We are obligated to pay state taxes, generally consisting of franchise or gross receipts taxes in certain states. Such state taxes have not been material.</w:t>
      </w:r>
    </w:p>
    <w:p>
      <w:pPr>
        <w:spacing w:after="0" w:line="9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consolidated financial statements include the accounts of the Trust, its corporate subsidiaries, and numerous partnerships and limited liability companies, which we control. The equity interests of other investors are reflected as “minority interests.” All significant intercompany transactions and balances are eliminated in consolidation. We account for our interests in joint ventures, which we do not control or manage, using the equity method of accounting.</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9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Revenue Recognition and Accounts Receivable</w:t>
      </w:r>
      <w:r>
        <w:rPr>
          <w:rFonts w:ascii="Arial" w:cs="Arial" w:eastAsia="Arial" w:hAnsi="Arial"/>
          <w:sz w:val="16"/>
          <w:szCs w:val="16"/>
          <w:color w:val="auto"/>
        </w:rPr>
        <w:t>. Our leases with tenants are classified as operating leases. Minimum rents are recognized on a straight-line</w:t>
      </w:r>
      <w:r>
        <w:rPr>
          <w:rFonts w:ascii="Arial" w:cs="Arial" w:eastAsia="Arial" w:hAnsi="Arial"/>
          <w:sz w:val="16"/>
          <w:szCs w:val="16"/>
          <w:i w:val="1"/>
          <w:iCs w:val="1"/>
          <w:color w:val="auto"/>
        </w:rPr>
        <w:t xml:space="preserve"> </w:t>
      </w:r>
      <w:r>
        <w:rPr>
          <w:rFonts w:ascii="Arial" w:cs="Arial" w:eastAsia="Arial" w:hAnsi="Arial"/>
          <w:sz w:val="16"/>
          <w:szCs w:val="16"/>
          <w:color w:val="auto"/>
        </w:rPr>
        <w:t>basis over the terms of the related leases net of valuation adjustments based on management’s assessment of credit, collection and other business risk. Percentage rents, which represent additional rents based on gross tenant sales, are recognized at the end of the lease year or other period in which we have determined that tenants sales’ thresholds have been reached and the percentage rents are collectible. Real estate tax and other cost reimbursements are recognized on an accrual basis over the periods in which the expenditures occurred. We make estimates of the collectibility of our accounts receivable related to base rents, including straight line rentals, expense reimbursements and other revenue or income. In some cases the ultimate collectibility of these claims extends beyond one year. We generally do not recognize income from straight-line rents due beyond ten years due to uncertainty of collection. At December 31, 2004 and December 31, 2003 our allowance for doubtful accounts was $7.6 million and $8.5 million, respectively.</w:t>
      </w:r>
    </w:p>
    <w:p>
      <w:pPr>
        <w:spacing w:after="0" w:line="10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 Land, buildings and real estate under development are recorded at cost. Depreciation is computed using the straight-line method.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useful lives range generally from 35 years to a maximum of 50 years on buildings and improvements. Maintenance and repair costs are charged to operations as incurred. Tenant work and other major improvements are capitalized and depreciated over the life of the related lease or their estimated useful life, respectively. Upon termination of a lease, undepreciated tenant improvement costs are charged to operations if the assets are replaced and the asset and the corresponding accumulated depreciation are retired. Minor improvements, furniture and equipment are capitalized and depreciated over useful lives ranging from three to 15 years. In accordance with Statement of Financial Accounting Standard (“SFAS”) No. 66, “Accounting for Sales of Real Estate”, sales are recognized at closing only when sufficient down payments have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been obtained, possession and other attributes of ownership have been transferred to the buyer and we have no significant continuing involvement. The gain or loss resulting from the sale of properties is included in net income at the time of sale.</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accordance with Statement of Financial Accounting Standard (“SFAS”) No. 141, “Business Combinations” our methodology of allocating the cost of acquisitions to assets acquired and liabilities assumed is based on estimated fair values, replacement cost and appraised values. When we acquire operating real estate properties, the purchase price is allocated to land and buildings, intangibles such as values of individual leases in place at the time of acquisition and to current assets and liabilities acquired, if any. The value allocated to in place leases is amortized over the original lease term and reflected as rental income in the statement of operations.</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When applicable as lessee, we classify our leases of land and buildings as operating or capital leases in accordance with the provisions of SFAS No. 13, “Accounting for Leases”.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Certain external and internal costs directly related to the development, redevelopment and leasing of real estate including applicable salaries and their related direct costs are capitalized in accordance with GAAP. The capitalized costs associated with developments, redevelopments and leasing are depreciated or amortized over the life of the improvement or lease, whichever is shorter. Unamortized leasing costs are charged to operations if the applicable tenant vacates before the expiration of its lease.</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costs on developments and major redevelopments are capitalized as part of the development and redevelopment until it is placed in service. Capitalization of interest commences when development activities and expenditures begin and end upon completion, i.e. when the asset is ready for its intended use. Generally, rental property is considered substantially complete and ready for its intended use upon completion of tenant improvements, but no later than one year from the completion of major construction activity.</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(effective for us on January 1, 2002). SFAS No. 144 requires that one accounting model be used for long-lived assets to be disposed of by sale, whether previously held and used or newly-acquired, and broadens the presentation of discontinued operations to include components of an entity comprising operations and cash flows that can be distinguished, operationally and for financial reporting purposes from the rest of the entity.</w:t>
      </w:r>
    </w:p>
    <w:p>
      <w:pPr>
        <w:spacing w:after="0" w:line="13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which addresses accounting and processing for costs associated with exit or disposal activities. SFAS No. 146 requires the recognition of a liability for a cost associated with an exit or disposal activity when the liability is incurred versus the date the Trust commits to an exit plan. In addition, SFAS No. 146 states that the liability should be initially measured at fair value. The requirements of SFAS No. 146 are effective for exit or disposal activities that are initiated after December 31, 2002. This pronouncement has not had a material impact on our financial position or results of operations.</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We define cash as cash on hand, demand deposits with financial institutions and short term liquid investments with an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under three months. Cash balances in individual banks may exceed insurable amounts.</w:t>
      </w:r>
    </w:p>
    <w:p>
      <w:pPr>
        <w:spacing w:after="0" w:line="118"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i w:val="1"/>
          <w:iCs w:val="1"/>
          <w:color w:val="auto"/>
        </w:rPr>
        <w:t xml:space="preserve">Prepaid Expenses and Other Assets. </w:t>
      </w:r>
      <w:r>
        <w:rPr>
          <w:rFonts w:ascii="Arial" w:cs="Arial" w:eastAsia="Arial" w:hAnsi="Arial"/>
          <w:sz w:val="15"/>
          <w:szCs w:val="15"/>
          <w:color w:val="auto"/>
        </w:rPr>
        <w:t>Consists primarily of lease commissions and property taxes. Also included are the premiums paid for split dollar life</w:t>
      </w:r>
      <w:r>
        <w:rPr>
          <w:rFonts w:ascii="Arial" w:cs="Arial" w:eastAsia="Arial" w:hAnsi="Arial"/>
          <w:sz w:val="15"/>
          <w:szCs w:val="15"/>
          <w:i w:val="1"/>
          <w:iCs w:val="1"/>
          <w:color w:val="auto"/>
        </w:rPr>
        <w:t xml:space="preserve"> </w:t>
      </w:r>
      <w:r>
        <w:rPr>
          <w:rFonts w:ascii="Arial" w:cs="Arial" w:eastAsia="Arial" w:hAnsi="Arial"/>
          <w:sz w:val="15"/>
          <w:szCs w:val="15"/>
          <w:color w:val="auto"/>
        </w:rPr>
        <w:t>insurance covering several officers and former officers which were approximately $4.4 million and $3.8 million at December 31, 2004 and December 31, 2003.</w:t>
      </w:r>
    </w:p>
    <w:p>
      <w:pPr>
        <w:spacing w:after="0" w:line="49"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Debt Issue Costs</w:t>
      </w:r>
      <w:r>
        <w:rPr>
          <w:rFonts w:ascii="Arial" w:cs="Arial" w:eastAsia="Arial" w:hAnsi="Arial"/>
          <w:sz w:val="16"/>
          <w:szCs w:val="16"/>
          <w:color w:val="auto"/>
        </w:rPr>
        <w:t>. Costs related to the issuance of debt instruments are capitalized and are amortized as interest expense over the life of the related issue</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effective interest method. Upon conversion or in the event of early redemption, any unamortized costs are expensed.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Risk Management. </w:t>
      </w:r>
      <w:r>
        <w:rPr>
          <w:rFonts w:ascii="Arial" w:cs="Arial" w:eastAsia="Arial" w:hAnsi="Arial"/>
          <w:sz w:val="16"/>
          <w:szCs w:val="16"/>
          <w:color w:val="auto"/>
        </w:rPr>
        <w:t>We enter into derivative contracts, which qualify as cash flow hedges under SFAS No. 133 “Accounting for Derivative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Activities”, in order to manage interest rate risk. Derivatives are not purchased for speculation. There were no open derivative contracts at December 31, 2003. In January 2004, to hedge our exposure to interest rates on our $150 million five-year term loan issued in October 2003, we entered into interest rate swaps, which fixed the LIBOR portion of the interest rate on the term loan at 2.401% through October 2006.</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Acquisition, Development and Construction Loan Arrangements</w:t>
      </w:r>
      <w:r>
        <w:rPr>
          <w:rFonts w:ascii="Arial" w:cs="Arial" w:eastAsia="Arial" w:hAnsi="Arial"/>
          <w:sz w:val="16"/>
          <w:szCs w:val="16"/>
          <w:color w:val="auto"/>
        </w:rPr>
        <w:t>. We have made certain mortgage loans that, because of their nature, qualify as loan</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At the time the loans were made, we did not intend for the arrangement to be anything other than a financing and did not contemplate a real estate investment. Using guidance set forth in the Third Notice to Practitioners issued by the AICPA in February 1986 entitled “ADC Arrangements” (“the Third Notice”), we evaluate each investment to determine whether the loan arrangement qualifies under the Third Notice as a loan, joint venture or real estate investment and the appropriate accounting thereon. Such determination affects our balance sheet classification of these investments and the recognition of interest income derived therefrom. Generally, we receive additional interest on these loans, however we never receive in excess of 50% of the residual profit in the project (as defined in the Third Notice) and because the borrower has either a substantial investment in the project or has guaranteed all or a portion of our loan (or a combination thereof) the loans qualify for loan accounting. The amounts under ADC arrangements at December 31, 2004 and 2003 were $42.9 million and $41.5 million respectively and interest income recognized thereon was $4.9 million and $4.1 million, respectively.</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Comprehensive Income</w:t>
      </w:r>
      <w:r>
        <w:rPr>
          <w:rFonts w:ascii="Arial" w:cs="Arial" w:eastAsia="Arial" w:hAnsi="Arial"/>
          <w:sz w:val="16"/>
          <w:szCs w:val="16"/>
          <w:color w:val="auto"/>
        </w:rPr>
        <w:t>. Our interest rate swaps were documented as cash flow hedges and designated as effective at inception of the swap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therefore, the unrealized gain or loss upon measuring the swaps at their fair market value is recorded as a component of other comprehensive income within shareholders’ equity. In accordance with SFAS No. 115, “Accounting for Certain Investments in Debt and Equity Securities”, investments purchased in connection with our nonqualified deferred compensation plan are classified as available for sale securities and reported at fair value. Unrealized gains or losses on these investments purchased to match our obligation to the participants is also recorded as a component of other comprehensive income. At December 31, 2004 these investments consisted of mutual funds and are stated at market value.</w:t>
      </w:r>
    </w:p>
    <w:p>
      <w:pPr>
        <w:spacing w:after="0" w:line="107"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i w:val="1"/>
          <w:iCs w:val="1"/>
          <w:color w:val="auto"/>
        </w:rPr>
        <w:t>Earnings Per Share</w:t>
      </w:r>
      <w:r>
        <w:rPr>
          <w:rFonts w:ascii="Arial" w:cs="Arial" w:eastAsia="Arial" w:hAnsi="Arial"/>
          <w:sz w:val="18"/>
          <w:szCs w:val="18"/>
          <w:color w:val="auto"/>
        </w:rPr>
        <w:t>. We calculate basic and diluted earnings per share in accordance with SFAS No. 128, “Earnings Per Share”. Basic EPS excludes</w:t>
      </w:r>
      <w:r>
        <w:rPr>
          <w:rFonts w:ascii="Arial" w:cs="Arial" w:eastAsia="Arial" w:hAnsi="Arial"/>
          <w:sz w:val="18"/>
          <w:szCs w:val="18"/>
          <w:i w:val="1"/>
          <w:iCs w:val="1"/>
          <w:color w:val="auto"/>
        </w:rPr>
        <w:t xml:space="preserve"> </w:t>
      </w:r>
      <w:r>
        <w:rPr>
          <w:rFonts w:ascii="Arial" w:cs="Arial" w:eastAsia="Arial" w:hAnsi="Arial"/>
          <w:sz w:val="18"/>
          <w:szCs w:val="18"/>
          <w:color w:val="auto"/>
        </w:rPr>
        <w:t>dilution and is computed by dividing net income available for common shareholders by the weighted average number of common shares outstanding for the period. Diluted EPS reflects the potential dilution that could occur if securities or other contracts to issue common shares were exercised or converted into common shares and then shared in our earnings. In 2004 the inclusion of operating partnership units had an anti-dilutive effect upon the calculation of income from continuing operations per share. Accordingly, the impact of these 709,700 units have not been included in the determination of diluted earnings per share calculations.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between basic and diluted EPS: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calculation of basic earnings per share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68,974</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71,236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stock dividends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(11,475)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(15,084)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(19,425)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Preferred stock redemption costs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from continuing operations available for common shareholders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57,499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15,182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23,261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72,681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75,990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51,008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47,379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calculation of diluted earnings per share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3"/>
              </w:rPr>
              <w:t>Income from continuing operations available for common shareholders</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57,499</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52,729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for diluted earnings per share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57,499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54,046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15,182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23,261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72,681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77,307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51,008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47,379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 awards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Operating partnership units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51,547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48,619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240" w:type="dxa"/>
            <w:vAlign w:val="bottom"/>
            <w:gridSpan w:val="2"/>
          </w:tcPr>
          <w:p>
            <w:pPr>
              <w:jc w:val="right"/>
              <w:ind w:right="2640"/>
              <w:spacing w:after="0"/>
              <w:rPr>
                <w:sz w:val="20"/>
                <w:szCs w:val="20"/>
                <w:color w:val="auto"/>
              </w:rPr>
            </w:pPr>
            <w:r>
              <w:rPr>
                <w:rFonts w:ascii="Arial" w:cs="Arial" w:eastAsia="Arial" w:hAnsi="Arial"/>
                <w:sz w:val="18"/>
                <w:szCs w:val="18"/>
                <w:color w:val="auto"/>
              </w:rPr>
              <w:t>F-11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-4450715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-4450715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-4450715</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-4450715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-4450715</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-4450715</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-4450715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-4450715</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-4450715</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-3456305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-3456305</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-3456305</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-3456305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-3456305</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-3456305</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-3456305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-3456305</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-3456305</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-2178685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-2178685</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-2178685</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-2178685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-2178685</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-2178685</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-2178685</wp:posOffset>
            </wp:positionV>
            <wp:extent cx="44132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-1183640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-1183640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-1183640</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-1183640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-1183640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-1183640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-1183640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-1183640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-1183640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44132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In December 2002 the FASB issued SFAS No. 148, “Accounting for Stock Based Compensation-Transition and Disclosure” as</w:t>
      </w:r>
      <w:r>
        <w:rPr>
          <w:rFonts w:ascii="Arial" w:cs="Arial" w:eastAsia="Arial" w:hAnsi="Arial"/>
          <w:sz w:val="16"/>
          <w:szCs w:val="16"/>
          <w:i w:val="1"/>
          <w:iCs w:val="1"/>
          <w:color w:val="auto"/>
        </w:rPr>
        <w:t xml:space="preserve"> </w:t>
      </w:r>
      <w:r>
        <w:rPr>
          <w:rFonts w:ascii="Arial" w:cs="Arial" w:eastAsia="Arial" w:hAnsi="Arial"/>
          <w:sz w:val="16"/>
          <w:szCs w:val="16"/>
          <w:color w:val="auto"/>
        </w:rPr>
        <w:t>an amendment of FASB Statement No. 123, “Accounting for Stock-Based Compensation”. SFAS No. 148 amends the disclosure provisions to require prominent disclosure about the effects on reported net income of an entity’s accounting policy decisions with respect to stock-based compensation. Stock options are accounted for using the intrinsic method in accordance with APB No. 25, “Accounting for Stock Issued to Employees,” as interpreted, whereby if options are priced at fair market value or above at the date of grant and the number of shares is fixed or certain, no compensation expense is recognized. In addition, certain of our stock-based compensation arrangements provide for performance-based vesting which calls for the use of “variable plan accounting” whereby compensation expense is periodically recorded for the intrinsic value of vested shares. Historically, compensation arising from such arrangements has not been material to operations. In November 2004, the Financial Accounting Standards Board issued FASB No. 123(R) which changes the accounting required for stock options. FASB No. 123(R) is required to be implemented in fiscal quarters which begin after June 15, 2005. When implemented by the Trust, we estimate the impact to be a reduction of net income of $0.2 million and $0.4 million in fiscal 2005 and 2006, respectively.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information required under SFAS No. 148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Year ended December 31,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8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84,156</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94,497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Stock-based employee compensation cost included in net income</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 cost under the fair value method of SFAS No. 123, net of tax</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83,771</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93,891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income available for common shareholders—diluted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72,681</w:t>
            </w: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77,307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 cost included in net income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Stock-based employee compensation cost under the fair value method of SFAS No. 123, net of tax</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72,296</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76,701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Diluted, 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-1776730</wp:posOffset>
            </wp:positionV>
            <wp:extent cx="39878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-1776730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-1776730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-1776730</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-1776730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-1776730</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-1776730</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-507365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-507365</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-507365</wp:posOffset>
            </wp:positionV>
            <wp:extent cx="387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-507365</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-507365</wp:posOffset>
            </wp:positionV>
            <wp:extent cx="215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-507365</wp:posOffset>
            </wp:positionV>
            <wp:extent cx="3873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-507365</wp:posOffset>
            </wp:positionV>
            <wp:extent cx="39878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 Certain components of rental income, other property income, rental expense, real estate tax expense and depreciation and amortization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December 31, 2002 Consolidated Statements of Operations have been reclassified to operating income from discontinued operations to assure comparability of all periods presented. In addition, certain income statement accounts and balance sheet accounts have been reclassified to assure comparability of all periods presented.</w:t>
      </w:r>
    </w:p>
    <w:p>
      <w:pPr>
        <w:spacing w:after="0" w:line="13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i w:val="1"/>
          <w:iCs w:val="1"/>
          <w:color w:val="auto"/>
        </w:rPr>
        <w:t xml:space="preserve">Redemption of preferred stock. </w:t>
      </w:r>
      <w:r>
        <w:rPr>
          <w:rFonts w:ascii="Arial" w:cs="Arial" w:eastAsia="Arial" w:hAnsi="Arial"/>
          <w:sz w:val="15"/>
          <w:szCs w:val="15"/>
          <w:color w:val="auto"/>
        </w:rPr>
        <w:t>On June 13, 2003, we redeemed our $100 million 7.95% Series A Cumulative Redeemable Preferred Shares at their face</w:t>
      </w:r>
      <w:r>
        <w:rPr>
          <w:rFonts w:ascii="Arial" w:cs="Arial" w:eastAsia="Arial" w:hAnsi="Arial"/>
          <w:sz w:val="15"/>
          <w:szCs w:val="15"/>
          <w:i w:val="1"/>
          <w:iCs w:val="1"/>
          <w:color w:val="auto"/>
        </w:rPr>
        <w:t xml:space="preserve"> </w:t>
      </w:r>
      <w:r>
        <w:rPr>
          <w:rFonts w:ascii="Arial" w:cs="Arial" w:eastAsia="Arial" w:hAnsi="Arial"/>
          <w:sz w:val="15"/>
          <w:szCs w:val="15"/>
          <w:color w:val="auto"/>
        </w:rPr>
        <w:t>value. The original issuance costs of $3.4 million were charged to shareholders’ equity in 1997, when the shares were issued. On July 31, 2003, the Emerging Issues Task Force provided clarification on the treatment of the difference between the redemption value and the carrying value, adjusting for issuance costs, for GAAP financial reporting. As a result of this change in accounting presentation, our Consolidated Statement of Operations for the year ended December 31, 2003 reflects a charge of $3.4 million in “Preferred stock redemption costs” as a reduction of net income in computing net income available for common shareholders.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Variable Interest Entities</w:t>
      </w:r>
      <w:r>
        <w:rPr>
          <w:rFonts w:ascii="Arial" w:cs="Arial" w:eastAsia="Arial" w:hAnsi="Arial"/>
          <w:sz w:val="16"/>
          <w:szCs w:val="16"/>
          <w:color w:val="auto"/>
        </w:rPr>
        <w:t>. In January 2003, the Financial Accounting Standards Board issued FASB Interpretation No. 46 (revised December 2003) (FIN</w:t>
      </w:r>
      <w:r>
        <w:rPr>
          <w:rFonts w:ascii="Arial" w:cs="Arial" w:eastAsia="Arial" w:hAnsi="Arial"/>
          <w:sz w:val="16"/>
          <w:szCs w:val="16"/>
          <w:i w:val="1"/>
          <w:iCs w:val="1"/>
          <w:color w:val="auto"/>
        </w:rPr>
        <w:t xml:space="preserve"> </w:t>
      </w:r>
      <w:r>
        <w:rPr>
          <w:rFonts w:ascii="Arial" w:cs="Arial" w:eastAsia="Arial" w:hAnsi="Arial"/>
          <w:sz w:val="16"/>
          <w:szCs w:val="16"/>
          <w:color w:val="auto"/>
        </w:rPr>
        <w:t>46-R), “Consolidation of Variable Interest Entities.” FIN 46-R clarifies the application of Accounting Research Bulletin 51, Consolidated Financial Statements, for certain entities that do not have sufficient equity at risk for the entity to finance its activities without additional subordinated financial support from other parties or in which equity investors do not have the characteristics of a controlling financial interest (“variable interest entities”). Variable interest entities within the scope of FIN 46-R will be required to be consolidated by their primary beneficiary. The primary beneficiary of a variable interest entity is determined to be the party that absorbs a majority of the entity’s expected losses, receives a majority of its expected returns, or both. We have evaluated the applicability of FIN 46-R to our investments in certain restaurant joint ventures at Santana Row and our joint venture with Clarion Lion Properties Fund and determined that these joint ventures do not meet the requirements of a variable interest entity and, therefore, consolidation of these ventures is not required. Accordingly, these investments will continue to be accounted for using the equity method. We have also evaluated the applicability of FIN 46-R to our mortgage loans receivable and determined that they are not variable interest entities. Accordingly, these loans will continue to be accounted for as mortgage notes receivable rather than equity investments. The adoption of FIN 46-R did not have a material impact on our financial position or results of operations.</w:t>
      </w:r>
    </w:p>
    <w:p>
      <w:pPr>
        <w:spacing w:after="0" w:line="114"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As of December 31, 2004, we have invested approximately $8.1 million in the restaurant joint ventures, principally to fund buildout costs of each restaurant. Of this amount, $6.8 million has been capitalized as an investment in these ventures and $1.3 million was expensed in 2002 to reflect our estimate of the permanent impairment of our investment in two of these ventures due principally to declining economic conditions. During 2004 and 2003, respectively, we recognized $1.1 million in income and $0.2 million in loss from restaurant joint ventures and received distributions of $2.0 million and $0.6 million. We are currently committed to invest a total of $11 million in these ventures and as such, our maximum exposure to further losses as a result of involvement in these ventures is $9.7 million at December 31, 2004.</w:t>
      </w:r>
    </w:p>
    <w:p>
      <w:pPr>
        <w:spacing w:after="0" w:line="13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Statement of Financial Accounting Standards No. 149. </w:t>
      </w:r>
      <w:r>
        <w:rPr>
          <w:rFonts w:ascii="Arial" w:cs="Arial" w:eastAsia="Arial" w:hAnsi="Arial"/>
          <w:sz w:val="16"/>
          <w:szCs w:val="16"/>
          <w:color w:val="auto"/>
        </w:rPr>
        <w:t>In April 2003, the FASB issued SFAS No. 149, “Amendment of Statement 133 on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Hedging Activities” which clarifies the accounting and reporting for derivative instruments. The statement is effective for contracts entered into or modified after June 30, 2003. The adoption of SFAS 149 did not have a material effect on the Trust’s financial statements.</w:t>
      </w:r>
    </w:p>
    <w:p>
      <w:pPr>
        <w:spacing w:after="0" w:line="9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 xml:space="preserve">Statement of Financial Accounting Standards No. 150. </w:t>
      </w:r>
      <w:r>
        <w:rPr>
          <w:rFonts w:ascii="Arial" w:cs="Arial" w:eastAsia="Arial" w:hAnsi="Arial"/>
          <w:sz w:val="18"/>
          <w:szCs w:val="18"/>
          <w:color w:val="auto"/>
        </w:rPr>
        <w:t>In May 2003, the FASB issued SFAS No 150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Both Liabilities and Equity.” SFAS No. 150 addresses the classification and measurement of freestanding financial instruments, including mandatorily redeemable preferred and common stock, and requires an issuer to classify certain instruments as liabilities. The adoption of SFAS No. 150 did not have material effect on the Trust’s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w:t>
      </w:r>
      <w:r>
        <w:rPr>
          <w:rFonts w:ascii="Arial" w:cs="Arial" w:eastAsia="Arial" w:hAnsi="Arial"/>
          <w:sz w:val="18"/>
          <w:szCs w:val="18"/>
          <w:color w:val="auto"/>
        </w:rPr>
        <w:t>. REAL ESTATE AND ENCUMBRANCES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real estate investments at December 31, 2004 and 2003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3"/>
              </w:rPr>
              <w:t>depreciation and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5"/>
              </w:rPr>
              <w:t>Encumbrances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Retail and mixed-use properties</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$2,377,099</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504,886</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properties under capital leases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262,431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83,574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780" w:type="dxa"/>
            <w:vAlign w:val="bottom"/>
          </w:tcPr>
          <w:p>
            <w:pPr>
              <w:jc w:val="right"/>
              <w:spacing w:after="0"/>
              <w:rPr>
                <w:sz w:val="20"/>
                <w:szCs w:val="20"/>
                <w:color w:val="auto"/>
              </w:rPr>
            </w:pPr>
            <w:r>
              <w:rPr>
                <w:rFonts w:ascii="Arial" w:cs="Arial" w:eastAsia="Arial" w:hAnsi="Arial"/>
                <w:sz w:val="18"/>
                <w:szCs w:val="18"/>
                <w:color w:val="auto"/>
              </w:rPr>
              <w:t>26,746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6,878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$2,666,276</w:t>
            </w: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595,338</w:t>
            </w: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Retail and mixed-use properties</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$2,197,276</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434,063</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properties under capital leases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246,143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780" w:type="dxa"/>
            <w:vAlign w:val="bottom"/>
          </w:tcPr>
          <w:p>
            <w:pPr>
              <w:jc w:val="right"/>
              <w:spacing w:after="0"/>
              <w:rPr>
                <w:sz w:val="20"/>
                <w:szCs w:val="20"/>
                <w:color w:val="auto"/>
              </w:rPr>
            </w:pPr>
            <w:r>
              <w:rPr>
                <w:rFonts w:ascii="Arial" w:cs="Arial" w:eastAsia="Arial" w:hAnsi="Arial"/>
                <w:sz w:val="18"/>
                <w:szCs w:val="18"/>
                <w:color w:val="auto"/>
              </w:rPr>
              <w:t>26,730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6,347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$2,470,149</w:t>
            </w: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514,177</w:t>
            </w: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-1024255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-1024255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-1024255</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-1024255</wp:posOffset>
            </wp:positionV>
            <wp:extent cx="62166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-1024255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-1024255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-1024255</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55308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53085"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Retail and mixed-use properties includes the residential portion of our Santana Row development property. The residential property investments comprised our investments in Rollingwood Apartments and Crest Apartments at Congressional Plaza.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Transactions—2004</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March 31, 2004, we acquired Westgate Mall, a 637,000 square foot shopping center located in San Jose, California. The purchase price of the property of $97.0 million was paid from borrowings under our revolving credit facility, which were subsequently repaid from the proceeds of our April 2004 common equity offering. Approximately $1.7 million of the net assets acquired were allocated to prepaids and other assets for “above-market leases,” while $18.0 million was allocated to other liabilities and deferred credits for “below-market leases,” to account for the fair value assigned to the assumed leases at the property as non-cash transaction. Amounts associated with above and below market leases are amortized over the related lease terms. Amortization is included in rental income on the consolidated statement of operations.</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June 3, 2004, we sold a parcel of land at the Village at Shirlington in Arlington, Virginia, for $4.9 million. This transaction was related to a previous land sale to Arlington County for $0.3 million, which closed in March 2004. The combined transactions resulted in a net gain of $2.8 million.</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June 14, 2004, Magruder’s Center in Rockville, Maryland, which was owned by one of our partnerships, was condemned by the City of Rockville in order to facilitate the redevelopment of the Rockville Town Center. We received $14.3 million in condemnation proceeds from the City of Rockville, resulting in a gain of $5.4 million.</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July 2004, at a contribution value of approximately $20.6 million, we contributed Plaza del Mercado to a newly formed joint venture in exchange for a 30% ownership interest and $18.6 million of proceeds. The joint venture simultaneously financed the property with a $13.3 million 10-year secured loan. We recognized a gain of $0.1 million on this transaction.</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August 12, 2004 we closed on a land exchange with Arlington County, Virginia. The exchange of one-acre parcels at the Village at Shirlington occurred in order to facilitate future redevelopment at the property.</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September 16, 2004 we sold 3.1 acres of land at the Village at Shirlington in Arlington, Virginia in two separate transactions for a total of $2.8 million, resulting in a gain of $0.9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September 30, 2004 we paid $2.3 million to purchase 10% of the partnership interests in Street Retail West 6, LP, giving us 100% ownership of 140-168 W. Colorado located in Pasadena, California.</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October 1, 2004 we paid $0.8 million to purchase 15% of the partnership interests in Street Retail Tempe, LLC, giving us 100% ownership of 501 South Mill located in Tempe, Arizona.</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October 12, 2004 we purchased Shaw’s Plaza, located in Carver, Massachusetts for $4.0 million. The allocation of the purchase price to assets acquired resulting in no value being allocated to “above-market leases” or “below-market leases.”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November 10, 2004 we issued 40,201 of our common shares in a non-cash transaction to purchase 10% of the partnership interests in Street Retail West 10, LP, giving us 100% ownership of 214 Wilshire Boulevard, located in Santa Monica, California.</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December 15, 2004 we sold one building on West Hartford, Connecticut and two buildings in Avon, Connecticut for a total of $11.2 million, resulting in a gain of approximately $3.6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29, 2004 we sold one property in Evanston, Illinois for $4.0 million, resulting in a gain of $1.3 million.</w:t>
      </w:r>
    </w:p>
    <w:p>
      <w:pPr>
        <w:spacing w:after="0" w:line="158"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Results of properties sold constitute discontinued operations and as such, the accompanying financial statements have been restated to reclassify the operations of these properties as discontinued operations. A summary of the financial information for the discontinued operations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18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r>
      <w:tr>
        <w:trPr>
          <w:trHeight w:val="95"/>
        </w:trPr>
        <w:tc>
          <w:tcPr>
            <w:tcW w:w="64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63"/>
        </w:trPr>
        <w:tc>
          <w:tcPr>
            <w:tcW w:w="6420" w:type="dxa"/>
            <w:vAlign w:val="bottom"/>
          </w:tcPr>
          <w:p>
            <w:pPr>
              <w:spacing w:after="0"/>
              <w:rPr>
                <w:sz w:val="22"/>
                <w:szCs w:val="22"/>
                <w:color w:val="auto"/>
              </w:rPr>
            </w:pPr>
          </w:p>
        </w:tc>
        <w:tc>
          <w:tcPr>
            <w:tcW w:w="3320" w:type="dxa"/>
            <w:vAlign w:val="bottom"/>
            <w:gridSpan w:val="2"/>
          </w:tcPr>
          <w:p>
            <w:pPr>
              <w:jc w:val="center"/>
              <w:ind w:left="2759"/>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22"/>
                <w:szCs w:val="22"/>
                <w:color w:val="auto"/>
              </w:rPr>
            </w:pPr>
          </w:p>
        </w:tc>
        <w:tc>
          <w:tcPr>
            <w:tcW w:w="760" w:type="dxa"/>
            <w:vAlign w:val="bottom"/>
            <w:gridSpan w:val="2"/>
          </w:tcPr>
          <w:p>
            <w:pPr>
              <w:jc w:val="center"/>
              <w:ind w:left="182"/>
              <w:spacing w:after="0"/>
              <w:rPr>
                <w:sz w:val="20"/>
                <w:szCs w:val="20"/>
                <w:color w:val="auto"/>
              </w:rPr>
            </w:pPr>
            <w:r>
              <w:rPr>
                <w:rFonts w:ascii="Arial" w:cs="Arial" w:eastAsia="Arial" w:hAnsi="Arial"/>
                <w:sz w:val="14"/>
                <w:szCs w:val="14"/>
                <w:b w:val="1"/>
                <w:bCs w:val="1"/>
                <w:color w:val="auto"/>
                <w:w w:val="83"/>
              </w:rPr>
              <w:t>2003</w:t>
            </w:r>
          </w:p>
        </w:tc>
        <w:tc>
          <w:tcPr>
            <w:tcW w:w="260" w:type="dxa"/>
            <w:vAlign w:val="bottom"/>
          </w:tcPr>
          <w:p>
            <w:pPr>
              <w:spacing w:after="0"/>
              <w:rPr>
                <w:sz w:val="22"/>
                <w:szCs w:val="22"/>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2002</w:t>
            </w:r>
          </w:p>
        </w:tc>
      </w:tr>
      <w:tr>
        <w:trPr>
          <w:trHeight w:val="95"/>
        </w:trPr>
        <w:tc>
          <w:tcPr>
            <w:tcW w:w="64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50"/>
        </w:trPr>
        <w:tc>
          <w:tcPr>
            <w:tcW w:w="64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Revenue from discontinued operations</w:t>
            </w:r>
          </w:p>
        </w:tc>
        <w:tc>
          <w:tcPr>
            <w:tcW w:w="3400" w:type="dxa"/>
            <w:vAlign w:val="bottom"/>
            <w:gridSpan w:val="3"/>
            <w:shd w:val="clear" w:color="auto" w:fill="CCEEFF"/>
          </w:tcPr>
          <w:p>
            <w:pPr>
              <w:jc w:val="center"/>
              <w:ind w:left="2659"/>
              <w:spacing w:after="0"/>
              <w:rPr>
                <w:sz w:val="20"/>
                <w:szCs w:val="20"/>
                <w:color w:val="auto"/>
              </w:rPr>
            </w:pPr>
            <w:r>
              <w:rPr>
                <w:rFonts w:ascii="Arial" w:cs="Arial" w:eastAsia="Arial" w:hAnsi="Arial"/>
                <w:sz w:val="18"/>
                <w:szCs w:val="18"/>
                <w:color w:val="auto"/>
                <w:w w:val="90"/>
              </w:rPr>
              <w:t>$3,135</w:t>
            </w:r>
          </w:p>
        </w:tc>
        <w:tc>
          <w:tcPr>
            <w:tcW w:w="760" w:type="dxa"/>
            <w:vAlign w:val="bottom"/>
            <w:gridSpan w:val="2"/>
            <w:shd w:val="clear" w:color="auto" w:fill="CCEEFF"/>
          </w:tcPr>
          <w:p>
            <w:pPr>
              <w:jc w:val="center"/>
              <w:ind w:left="182"/>
              <w:spacing w:after="0"/>
              <w:rPr>
                <w:sz w:val="20"/>
                <w:szCs w:val="20"/>
                <w:color w:val="auto"/>
              </w:rPr>
            </w:pPr>
            <w:r>
              <w:rPr>
                <w:rFonts w:ascii="Arial" w:cs="Arial" w:eastAsia="Arial" w:hAnsi="Arial"/>
                <w:sz w:val="18"/>
                <w:szCs w:val="18"/>
                <w:color w:val="auto"/>
                <w:w w:val="90"/>
              </w:rPr>
              <w:t>$6,745</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$8,859</w:t>
            </w: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Income from operations of discontinued operations</w:t>
            </w:r>
          </w:p>
        </w:tc>
        <w:tc>
          <w:tcPr>
            <w:tcW w:w="3400" w:type="dxa"/>
            <w:vAlign w:val="bottom"/>
            <w:gridSpan w:val="3"/>
          </w:tcPr>
          <w:p>
            <w:pPr>
              <w:jc w:val="center"/>
              <w:ind w:left="2659"/>
              <w:spacing w:after="0"/>
              <w:rPr>
                <w:sz w:val="20"/>
                <w:szCs w:val="20"/>
                <w:color w:val="auto"/>
              </w:rPr>
            </w:pPr>
            <w:r>
              <w:rPr>
                <w:rFonts w:ascii="Arial" w:cs="Arial" w:eastAsia="Arial" w:hAnsi="Arial"/>
                <w:sz w:val="18"/>
                <w:szCs w:val="18"/>
                <w:color w:val="auto"/>
                <w:w w:val="90"/>
              </w:rPr>
              <w:t>$1,130</w:t>
            </w:r>
          </w:p>
        </w:tc>
        <w:tc>
          <w:tcPr>
            <w:tcW w:w="760" w:type="dxa"/>
            <w:vAlign w:val="bottom"/>
            <w:gridSpan w:val="2"/>
          </w:tcPr>
          <w:p>
            <w:pPr>
              <w:jc w:val="center"/>
              <w:ind w:left="182"/>
              <w:spacing w:after="0"/>
              <w:rPr>
                <w:sz w:val="20"/>
                <w:szCs w:val="20"/>
                <w:color w:val="auto"/>
              </w:rPr>
            </w:pPr>
            <w:r>
              <w:rPr>
                <w:rFonts w:ascii="Arial" w:cs="Arial" w:eastAsia="Arial" w:hAnsi="Arial"/>
                <w:sz w:val="18"/>
                <w:szCs w:val="18"/>
                <w:color w:val="auto"/>
                <w:w w:val="90"/>
              </w:rPr>
              <w:t>$3,208</w:t>
            </w:r>
          </w:p>
        </w:tc>
        <w:tc>
          <w:tcPr>
            <w:tcW w:w="260" w:type="dxa"/>
            <w:vAlign w:val="bottom"/>
          </w:tcPr>
          <w:p>
            <w:pPr>
              <w:spacing w:after="0"/>
              <w:rPr>
                <w:sz w:val="19"/>
                <w:szCs w:val="19"/>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0"/>
              </w:rPr>
              <w:t>$4,709</w:t>
            </w:r>
          </w:p>
        </w:tc>
      </w:tr>
    </w:tbl>
    <w:p>
      <w:pPr>
        <w:spacing w:after="0" w:line="134" w:lineRule="exact"/>
        <w:rPr>
          <w:sz w:val="20"/>
          <w:szCs w:val="20"/>
          <w:color w:val="auto"/>
        </w:rPr>
      </w:pPr>
    </w:p>
    <w:p>
      <w:pPr>
        <w:jc w:val="both"/>
        <w:ind w:right="340" w:firstLine="456"/>
        <w:spacing w:after="0" w:line="332" w:lineRule="auto"/>
        <w:rPr>
          <w:sz w:val="20"/>
          <w:szCs w:val="20"/>
          <w:color w:val="auto"/>
        </w:rPr>
      </w:pPr>
      <w:r>
        <w:rPr>
          <w:rFonts w:ascii="Arial" w:cs="Arial" w:eastAsia="Arial" w:hAnsi="Arial"/>
          <w:sz w:val="16"/>
          <w:szCs w:val="16"/>
          <w:color w:val="auto"/>
        </w:rPr>
        <w:t>Mortgages payable and capital lease obligations are due in installments over various terms extending to 2028 and 2060, respectively, with interest rates ranging from 3.14% to 11.25%. Certain of the capital lease obligations require additional interest payments based upon property performance.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mortgages payable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Principal Balance</w:t>
            </w:r>
          </w:p>
        </w:tc>
        <w:tc>
          <w:tcPr>
            <w:tcW w:w="16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Principal Balance</w:t>
            </w: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Original</w:t>
            </w:r>
          </w:p>
        </w:tc>
        <w:tc>
          <w:tcPr>
            <w:tcW w:w="26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79"/>
              </w:rPr>
              <w:t>as of</w:t>
            </w:r>
          </w:p>
        </w:tc>
        <w:tc>
          <w:tcPr>
            <w:tcW w:w="26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79"/>
              </w:rPr>
              <w:t>as of</w:t>
            </w:r>
          </w:p>
        </w:tc>
        <w:tc>
          <w:tcPr>
            <w:tcW w:w="17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Arial" w:cs="Arial" w:eastAsia="Arial" w:hAnsi="Arial"/>
                <w:sz w:val="14"/>
                <w:szCs w:val="14"/>
                <w:b w:val="1"/>
                <w:bCs w:val="1"/>
                <w:color w:val="auto"/>
              </w:rPr>
              <w:t>Description of Debt</w:t>
            </w:r>
          </w:p>
        </w:tc>
        <w:tc>
          <w:tcPr>
            <w:tcW w:w="1360" w:type="dxa"/>
            <w:vAlign w:val="bottom"/>
          </w:tcPr>
          <w:p>
            <w:pPr>
              <w:spacing w:after="0"/>
              <w:rPr>
                <w:sz w:val="15"/>
                <w:szCs w:val="15"/>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Debt Issued</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2003</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17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4"/>
              </w:rPr>
              <w:t>December 31, 2004</w:t>
            </w:r>
          </w:p>
        </w:tc>
        <w:tc>
          <w:tcPr>
            <w:tcW w:w="1320" w:type="dxa"/>
            <w:vAlign w:val="bottom"/>
          </w:tcPr>
          <w:p>
            <w:pPr>
              <w:jc w:val="right"/>
              <w:ind w:right="154"/>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420"/>
              <w:spacing w:after="0"/>
              <w:rPr>
                <w:sz w:val="20"/>
                <w:szCs w:val="20"/>
                <w:color w:val="auto"/>
              </w:rPr>
            </w:pPr>
            <w:r>
              <w:rPr>
                <w:rFonts w:ascii="Arial" w:cs="Arial" w:eastAsia="Arial" w:hAnsi="Arial"/>
                <w:sz w:val="18"/>
                <w:szCs w:val="18"/>
                <w:color w:val="auto"/>
              </w:rPr>
              <w:t>Leesburg Plaza</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9,900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9,900</w:t>
            </w:r>
          </w:p>
        </w:tc>
        <w:tc>
          <w:tcPr>
            <w:tcW w:w="5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9,900</w:t>
            </w:r>
          </w:p>
        </w:tc>
        <w:tc>
          <w:tcPr>
            <w:tcW w:w="54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6.510%</w:t>
            </w:r>
          </w:p>
        </w:tc>
        <w:tc>
          <w:tcPr>
            <w:tcW w:w="1320" w:type="dxa"/>
            <w:vAlign w:val="bottom"/>
          </w:tcPr>
          <w:p>
            <w:pPr>
              <w:jc w:val="right"/>
              <w:spacing w:after="0"/>
              <w:rPr>
                <w:sz w:val="20"/>
                <w:szCs w:val="20"/>
                <w:color w:val="auto"/>
              </w:rPr>
            </w:pPr>
            <w:r>
              <w:rPr>
                <w:rFonts w:ascii="Arial" w:cs="Arial" w:eastAsia="Arial" w:hAnsi="Arial"/>
                <w:sz w:val="18"/>
                <w:szCs w:val="18"/>
                <w:color w:val="auto"/>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164 E. Houston St.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420"/>
              <w:spacing w:after="0"/>
              <w:rPr>
                <w:sz w:val="20"/>
                <w:szCs w:val="20"/>
                <w:color w:val="auto"/>
              </w:rPr>
            </w:pPr>
            <w:r>
              <w:rPr>
                <w:rFonts w:ascii="Arial" w:cs="Arial" w:eastAsia="Arial" w:hAnsi="Arial"/>
                <w:sz w:val="18"/>
                <w:szCs w:val="18"/>
                <w:color w:val="auto"/>
              </w:rPr>
              <w:t>Mercer Mall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Acquired</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4,639</w:t>
            </w:r>
          </w:p>
        </w:tc>
        <w:tc>
          <w:tcPr>
            <w:tcW w:w="54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8.375%</w:t>
            </w:r>
          </w:p>
        </w:tc>
        <w:tc>
          <w:tcPr>
            <w:tcW w:w="1320" w:type="dxa"/>
            <w:vAlign w:val="bottom"/>
          </w:tcPr>
          <w:p>
            <w:pPr>
              <w:jc w:val="right"/>
              <w:spacing w:after="0"/>
              <w:rPr>
                <w:sz w:val="20"/>
                <w:szCs w:val="20"/>
                <w:color w:val="auto"/>
              </w:rPr>
            </w:pPr>
            <w:r>
              <w:rPr>
                <w:rFonts w:ascii="Arial" w:cs="Arial" w:eastAsia="Arial" w:hAnsi="Arial"/>
                <w:sz w:val="18"/>
                <w:szCs w:val="18"/>
                <w:color w:val="auto"/>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 Plaza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36,500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35,543</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35,127</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6.750%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420"/>
              <w:spacing w:after="0"/>
              <w:rPr>
                <w:sz w:val="20"/>
                <w:szCs w:val="20"/>
                <w:color w:val="auto"/>
              </w:rPr>
            </w:pPr>
            <w:r>
              <w:rPr>
                <w:rFonts w:ascii="Arial" w:cs="Arial" w:eastAsia="Arial" w:hAnsi="Arial"/>
                <w:sz w:val="18"/>
                <w:szCs w:val="18"/>
                <w:color w:val="auto"/>
              </w:rPr>
              <w:t>Tysons Station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6,633</w:t>
            </w:r>
          </w:p>
        </w:tc>
        <w:tc>
          <w:tcPr>
            <w:tcW w:w="54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7.400%</w:t>
            </w:r>
          </w:p>
        </w:tc>
        <w:tc>
          <w:tcPr>
            <w:tcW w:w="1320" w:type="dxa"/>
            <w:vAlign w:val="bottom"/>
          </w:tcPr>
          <w:p>
            <w:pPr>
              <w:jc w:val="right"/>
              <w:spacing w:after="0"/>
              <w:rPr>
                <w:sz w:val="20"/>
                <w:szCs w:val="20"/>
                <w:color w:val="auto"/>
              </w:rPr>
            </w:pPr>
            <w:r>
              <w:rPr>
                <w:rFonts w:ascii="Arial" w:cs="Arial" w:eastAsia="Arial" w:hAnsi="Arial"/>
                <w:sz w:val="18"/>
                <w:szCs w:val="18"/>
                <w:color w:val="auto"/>
                <w:w w:val="84"/>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Barracks Road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44,300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44,222</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43,728</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7.950%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420"/>
              <w:spacing w:after="0"/>
              <w:rPr>
                <w:sz w:val="20"/>
                <w:szCs w:val="20"/>
                <w:color w:val="auto"/>
              </w:rPr>
            </w:pPr>
            <w:r>
              <w:rPr>
                <w:rFonts w:ascii="Arial" w:cs="Arial" w:eastAsia="Arial" w:hAnsi="Arial"/>
                <w:sz w:val="18"/>
                <w:szCs w:val="18"/>
                <w:color w:val="auto"/>
              </w:rPr>
              <w:t>Hauppauge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16,700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16,670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16,484</w:t>
            </w:r>
          </w:p>
        </w:tc>
        <w:tc>
          <w:tcPr>
            <w:tcW w:w="54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7.950%</w:t>
            </w:r>
          </w:p>
        </w:tc>
        <w:tc>
          <w:tcPr>
            <w:tcW w:w="1320" w:type="dxa"/>
            <w:vAlign w:val="bottom"/>
          </w:tcPr>
          <w:p>
            <w:pPr>
              <w:jc w:val="right"/>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31,400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7.950%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420"/>
              <w:spacing w:after="0"/>
              <w:rPr>
                <w:sz w:val="20"/>
                <w:szCs w:val="20"/>
                <w:color w:val="auto"/>
              </w:rPr>
            </w:pPr>
            <w:r>
              <w:rPr>
                <w:rFonts w:ascii="Arial" w:cs="Arial" w:eastAsia="Arial" w:hAnsi="Arial"/>
                <w:sz w:val="18"/>
                <w:szCs w:val="18"/>
                <w:color w:val="auto"/>
              </w:rPr>
              <w:t>Wildwood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27,600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27,551</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27,243</w:t>
            </w:r>
          </w:p>
        </w:tc>
        <w:tc>
          <w:tcPr>
            <w:tcW w:w="54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7.950%</w:t>
            </w:r>
          </w:p>
        </w:tc>
        <w:tc>
          <w:tcPr>
            <w:tcW w:w="1320" w:type="dxa"/>
            <w:vAlign w:val="bottom"/>
          </w:tcPr>
          <w:p>
            <w:pPr>
              <w:jc w:val="right"/>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32,000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31,943</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7.950%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420"/>
              <w:spacing w:after="0"/>
              <w:rPr>
                <w:sz w:val="20"/>
                <w:szCs w:val="20"/>
                <w:color w:val="auto"/>
              </w:rPr>
            </w:pPr>
            <w:r>
              <w:rPr>
                <w:rFonts w:ascii="Arial" w:cs="Arial" w:eastAsia="Arial" w:hAnsi="Arial"/>
                <w:sz w:val="18"/>
                <w:szCs w:val="18"/>
                <w:color w:val="auto"/>
              </w:rPr>
              <w:t>Brick Plaza</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33,000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32,936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32,533</w:t>
            </w:r>
          </w:p>
        </w:tc>
        <w:tc>
          <w:tcPr>
            <w:tcW w:w="54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7.415%</w:t>
            </w:r>
          </w:p>
        </w:tc>
        <w:tc>
          <w:tcPr>
            <w:tcW w:w="1320" w:type="dxa"/>
            <w:vAlign w:val="bottom"/>
          </w:tcPr>
          <w:p>
            <w:pPr>
              <w:jc w:val="right"/>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Mount Vernon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13,250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5.660%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Mortgage Loans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F-15</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-325755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-325755</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principal payments on mortgage loan indebtedness as of December 31, 2004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960" w:type="dxa"/>
            <w:vAlign w:val="bottom"/>
            <w:gridSpan w:val="4"/>
          </w:tcPr>
          <w:p>
            <w:pPr>
              <w:ind w:left="3440"/>
              <w:spacing w:after="0"/>
              <w:rPr>
                <w:sz w:val="20"/>
                <w:szCs w:val="20"/>
                <w:color w:val="auto"/>
              </w:rPr>
            </w:pPr>
            <w:r>
              <w:rPr>
                <w:rFonts w:ascii="Arial" w:cs="Arial" w:eastAsia="Arial" w:hAnsi="Arial"/>
                <w:sz w:val="14"/>
                <w:szCs w:val="14"/>
                <w:b w:val="1"/>
                <w:bCs w:val="1"/>
                <w:color w:val="auto"/>
                <w:w w:val="85"/>
              </w:rPr>
              <w:t>Year ending December 31,</w:t>
            </w: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133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330" w:type="dxa"/>
            <w:vAlign w:val="bottom"/>
          </w:tcPr>
          <w:p>
            <w:pPr>
              <w:jc w:val="right"/>
              <w:ind w:right="255"/>
              <w:spacing w:after="0"/>
              <w:rPr>
                <w:sz w:val="20"/>
                <w:szCs w:val="20"/>
                <w:color w:val="auto"/>
              </w:rPr>
            </w:pPr>
            <w:r>
              <w:rPr>
                <w:rFonts w:ascii="Arial" w:cs="Arial" w:eastAsia="Arial" w:hAnsi="Arial"/>
                <w:sz w:val="14"/>
                <w:szCs w:val="14"/>
                <w:b w:val="1"/>
                <w:bCs w:val="1"/>
                <w:color w:val="auto"/>
                <w:w w:val="99"/>
              </w:rPr>
              <w:t>(In thousands)</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630" w:type="dxa"/>
            <w:vAlign w:val="bottom"/>
            <w:gridSpan w:val="3"/>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2006</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330" w:type="dxa"/>
            <w:vAlign w:val="bottom"/>
          </w:tcPr>
          <w:p>
            <w:pPr>
              <w:jc w:val="right"/>
              <w:spacing w:after="0"/>
              <w:rPr>
                <w:sz w:val="20"/>
                <w:szCs w:val="20"/>
                <w:color w:val="auto"/>
              </w:rPr>
            </w:pPr>
            <w:r>
              <w:rPr>
                <w:rFonts w:ascii="Arial" w:cs="Arial" w:eastAsia="Arial" w:hAnsi="Arial"/>
                <w:sz w:val="18"/>
                <w:szCs w:val="18"/>
                <w:color w:val="auto"/>
              </w:rPr>
              <w:t>3,581</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2008</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330" w:type="dxa"/>
            <w:vAlign w:val="bottom"/>
          </w:tcPr>
          <w:p>
            <w:pPr>
              <w:jc w:val="right"/>
              <w:spacing w:after="0"/>
              <w:rPr>
                <w:sz w:val="20"/>
                <w:szCs w:val="20"/>
                <w:color w:val="auto"/>
              </w:rPr>
            </w:pPr>
            <w:r>
              <w:rPr>
                <w:rFonts w:ascii="Arial" w:cs="Arial" w:eastAsia="Arial" w:hAnsi="Arial"/>
                <w:sz w:val="18"/>
                <w:szCs w:val="18"/>
                <w:color w:val="auto"/>
              </w:rPr>
              <w:t>13,633</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Thereafter</w:t>
            </w: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30" w:type="dxa"/>
            <w:vAlign w:val="bottom"/>
          </w:tcPr>
          <w:p>
            <w:pPr>
              <w:jc w:val="right"/>
              <w:spacing w:after="0"/>
              <w:rPr>
                <w:sz w:val="20"/>
                <w:szCs w:val="20"/>
                <w:color w:val="auto"/>
              </w:rPr>
            </w:pPr>
            <w:r>
              <w:rPr>
                <w:rFonts w:ascii="Arial" w:cs="Arial" w:eastAsia="Arial" w:hAnsi="Arial"/>
                <w:sz w:val="18"/>
                <w:szCs w:val="18"/>
                <w:color w:val="auto"/>
              </w:rPr>
              <w:t>219,215</w:t>
            </w: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133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Pr>
          <w:p>
            <w:pPr>
              <w:spacing w:after="0"/>
              <w:rPr>
                <w:sz w:val="8"/>
                <w:szCs w:val="8"/>
                <w:color w:val="auto"/>
              </w:rPr>
            </w:pPr>
          </w:p>
        </w:tc>
        <w:tc>
          <w:tcPr>
            <w:tcW w:w="133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3630" w:type="dxa"/>
            <w:vAlign w:val="bottom"/>
            <w:gridSpan w:val="3"/>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r>
      <w:tr>
        <w:trPr>
          <w:trHeight w:val="132"/>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133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and their present value for property under capital leases as of December 31, 2004,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180" w:type="dxa"/>
            <w:vAlign w:val="bottom"/>
            <w:gridSpan w:val="4"/>
          </w:tcPr>
          <w:p>
            <w:pPr>
              <w:ind w:left="2600"/>
              <w:spacing w:after="0"/>
              <w:rPr>
                <w:sz w:val="20"/>
                <w:szCs w:val="20"/>
                <w:color w:val="auto"/>
              </w:rPr>
            </w:pPr>
            <w:r>
              <w:rPr>
                <w:rFonts w:ascii="Arial" w:cs="Arial" w:eastAsia="Arial" w:hAnsi="Arial"/>
                <w:sz w:val="14"/>
                <w:szCs w:val="14"/>
                <w:b w:val="1"/>
                <w:bCs w:val="1"/>
                <w:color w:val="auto"/>
                <w:w w:val="89"/>
              </w:rPr>
              <w:t>Year ending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82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2006</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2008</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Thereafter</w:t>
            </w: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(533,399)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Present value</w:t>
            </w:r>
          </w:p>
        </w:tc>
        <w:tc>
          <w:tcPr>
            <w:tcW w:w="282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106 retail properties at December 31, 2004 are located in 14 states and the District of Columbia. There are approximately 2,200 tenants providing a wide range of retail products and services. These tenants range from sole proprietorships to national retailers; no one tenant or corporate group of tenants accounts for more than 2.3% of annualized base rent.</w:t>
      </w:r>
    </w:p>
    <w:p>
      <w:pPr>
        <w:spacing w:after="0" w:line="12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leases with commercial property and residential tenants are classified as operating leases. Leases on apartments are generally for a period of one year or less. Commercial property leases generally range from three to ten years (certain leases with anchor tenants may be longer), and in addition to minimum rents, usually provide for contingent rentals based on the tenant’s gross sales and sharing of certain operating costs.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Minimum future commercial property rentals on noncancelable operating leases, before any reserve for uncollectible amounts, on operating properties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 are as follows: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(In thousands)</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2005</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286,493</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270,291</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2007</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245,972</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217,290</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2009</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185,809</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1,191,087</w:t>
            </w: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2,396,942</w:t>
            </w: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180" w:type="dxa"/>
            <w:vAlign w:val="bottom"/>
            <w:gridSpan w:val="2"/>
          </w:tcPr>
          <w:p>
            <w:pPr>
              <w:jc w:val="right"/>
              <w:ind w:right="3512"/>
              <w:spacing w:after="0"/>
              <w:rPr>
                <w:sz w:val="20"/>
                <w:szCs w:val="20"/>
                <w:color w:val="auto"/>
              </w:rPr>
            </w:pPr>
            <w:r>
              <w:rPr>
                <w:rFonts w:ascii="Arial" w:cs="Arial" w:eastAsia="Arial" w:hAnsi="Arial"/>
                <w:sz w:val="18"/>
                <w:szCs w:val="18"/>
                <w:color w:val="auto"/>
              </w:rPr>
              <w:t>F-16</w:t>
            </w: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Components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198"/>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281,152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259,243</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230,231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Cost reimbursement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63,511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371,856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338,057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295,757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-29210</wp:posOffset>
            </wp:positionV>
            <wp:extent cx="183070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83070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income statement adjustment recorded to recognize rent on a straight-line basis was an increase to minimum rents of $3.6 million, $1.9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 million for the years ended December 31, 2004, 2003 and 2002, respectively. In addition, minimum rents includes $1.6 million and $0.3 million to recognize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income for market lease adjustments in accordance with Statement of Financial Accounting Standards No. 141 for the years ended December 31, 2004 and 2003,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components of rental expense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0" w:type="dxa"/>
            <w:vAlign w:val="bottom"/>
          </w:tcPr>
          <w:p>
            <w:pPr>
              <w:spacing w:after="0"/>
              <w:rPr>
                <w:sz w:val="15"/>
                <w:szCs w:val="15"/>
                <w:color w:val="auto"/>
              </w:rPr>
            </w:pPr>
          </w:p>
        </w:tc>
        <w:tc>
          <w:tcPr>
            <w:tcW w:w="244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0" w:type="dxa"/>
            <w:vAlign w:val="bottom"/>
          </w:tcPr>
          <w:p>
            <w:pPr>
              <w:spacing w:after="0"/>
              <w:rPr>
                <w:sz w:val="1"/>
                <w:szCs w:val="1"/>
                <w:color w:val="auto"/>
              </w:rPr>
            </w:pPr>
          </w:p>
        </w:tc>
      </w:tr>
      <w:tr>
        <w:trPr>
          <w:trHeight w:val="95"/>
        </w:trPr>
        <w:tc>
          <w:tcPr>
            <w:tcW w:w="90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00" w:type="dxa"/>
            <w:vAlign w:val="bottom"/>
          </w:tcPr>
          <w:p>
            <w:pPr>
              <w:spacing w:after="0"/>
              <w:rPr>
                <w:sz w:val="22"/>
                <w:szCs w:val="22"/>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83"/>
              </w:rPr>
              <w:t>2003</w:t>
            </w:r>
          </w:p>
        </w:tc>
        <w:tc>
          <w:tcPr>
            <w:tcW w:w="24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0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Repairs and maintenance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$24,351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$23,913</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Utilities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15,274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12,846</w:t>
            </w: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and costs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Insurance</w:t>
            </w:r>
          </w:p>
        </w:tc>
        <w:tc>
          <w:tcPr>
            <w:tcW w:w="580" w:type="dxa"/>
            <w:vAlign w:val="bottom"/>
          </w:tcPr>
          <w:p>
            <w:pPr>
              <w:jc w:val="right"/>
              <w:spacing w:after="0"/>
              <w:rPr>
                <w:sz w:val="20"/>
                <w:szCs w:val="20"/>
                <w:color w:val="auto"/>
              </w:rPr>
            </w:pPr>
            <w:r>
              <w:rPr>
                <w:rFonts w:ascii="Arial" w:cs="Arial" w:eastAsia="Arial" w:hAnsi="Arial"/>
                <w:sz w:val="18"/>
                <w:szCs w:val="18"/>
                <w:color w:val="auto"/>
              </w:rPr>
              <w:t>8,145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7,865</w:t>
            </w: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Payroll—properties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Ground rent</w:t>
            </w:r>
          </w:p>
        </w:tc>
        <w:tc>
          <w:tcPr>
            <w:tcW w:w="580" w:type="dxa"/>
            <w:vAlign w:val="bottom"/>
          </w:tcPr>
          <w:p>
            <w:pPr>
              <w:jc w:val="right"/>
              <w:spacing w:after="0"/>
              <w:rPr>
                <w:sz w:val="20"/>
                <w:szCs w:val="20"/>
                <w:color w:val="auto"/>
              </w:rPr>
            </w:pPr>
            <w:r>
              <w:rPr>
                <w:rFonts w:ascii="Arial" w:cs="Arial" w:eastAsia="Arial" w:hAnsi="Arial"/>
                <w:sz w:val="18"/>
                <w:szCs w:val="18"/>
                <w:color w:val="auto"/>
              </w:rPr>
              <w:t>5,389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5,096</w:t>
            </w: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14,209</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$91,614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$82,289</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$71,767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95631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56310" cy="2984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MORTGAGE NOTES RECEIVABLE</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Mortgage notes receivable of $42.9 million are due over various terms from March 2005 to May 2021 and have a weighted average interest rate of 11.25%. Under the terms of certain of these mortgages, we will receive additional interest based upon the gross income of the secured properties and, upon sale of the properties, we will share in the appreciation of the properties. The carrying value of mortgage notes receivable was reduced in 2004 with an allowance for collectibility of $4.4 million. For one mortgagee note, the mortgage can accrue up to an additional $3.1 million of unpaid interest under the mortgage.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 2002, we redeemed the minority partner’s interest in Santana Row in exchange for a $2.6 million investment in a partnership. We made a</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$5.9 million loan to the partnership in January 2001 that was due February 28, 2003 but was not repaid on the due date. The loan was renegotiated with an interest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rate of 6.0%. The loan is secured by an office building in San Francisco, California and is due to mature on March 31, 2005. Interest on the loan is current through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and based in part on the value of the underlying collateral, we believe the loan is collectible and as such, no reserve has been established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time.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REAL ESTATE PARTNERSHIP</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$42 million and $98 million, respectively, of equity capital to acquire properties through June 2006. Initially Clarion contributed $5.3 million in cash to the Partnership, and we contributed Plaza del Mercado, a shopping center in Montgomery County, Maryland, which we acquired in 2003, at a contribution value of approximately $20.6 million. Concurrently with the contribution of Plaza del Mercado, the Partnership obtained a $13.3 million, 10-year loan secured by the property, and we received proceeds of $18.6 million. We are the manager of the Partnership and its properties, earning fees for acquisitions, management, leasing, and financing. We also have the opportunity to receive performance-based earnings through our Partnership interest. In 2004, the Partnership acquired three shopping centers in the East for $55.2 million. We account for our interest in the Partnership using the equity method, as described in “Note 1. Summary of Significant Accounting Policies – Variable Interest Entities.” In total, at December 31, 2004, the partnership had $47.2 million of mortgage notes outstanding.</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are the summarized financial results from inception (July 1, 2004) to December 31, 2004 and the financial position of the Partnership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Period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240" w:type="dxa"/>
            <w:vAlign w:val="bottom"/>
            <w:gridSpan w:val="5"/>
          </w:tcPr>
          <w:p>
            <w:pPr>
              <w:ind w:left="2080"/>
              <w:spacing w:after="0"/>
              <w:rPr>
                <w:sz w:val="20"/>
                <w:szCs w:val="20"/>
                <w:color w:val="auto"/>
              </w:rPr>
            </w:pPr>
            <w:r>
              <w:rPr>
                <w:rFonts w:ascii="Arial" w:cs="Arial" w:eastAsia="Arial" w:hAnsi="Arial"/>
                <w:sz w:val="14"/>
                <w:szCs w:val="14"/>
                <w:b w:val="1"/>
                <w:bCs w:val="1"/>
                <w:color w:val="auto"/>
                <w:w w:val="90"/>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expense</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240" w:type="dxa"/>
            <w:vAlign w:val="bottom"/>
            <w:gridSpan w:val="5"/>
          </w:tcPr>
          <w:p>
            <w:pPr>
              <w:ind w:left="2080"/>
              <w:spacing w:after="0"/>
              <w:rPr>
                <w:sz w:val="20"/>
                <w:szCs w:val="20"/>
                <w:color w:val="auto"/>
              </w:rPr>
            </w:pPr>
            <w:r>
              <w:rPr>
                <w:rFonts w:ascii="Arial" w:cs="Arial" w:eastAsia="Arial" w:hAnsi="Arial"/>
                <w:sz w:val="14"/>
                <w:szCs w:val="14"/>
                <w:b w:val="1"/>
                <w:bCs w:val="1"/>
                <w:color w:val="auto"/>
                <w:w w:val="90"/>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Real estate at cost</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assets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Mortgages payable</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liabilities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Partners’ capital</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partners’ capital</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-2876550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-2876550</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-2876550</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-1169670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-1169670</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-1169670</wp:posOffset>
            </wp:positionV>
            <wp:extent cx="3873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loans secured by Plaza del Mercado, Campus Plaza and Pleasant Shops, we are the guarantor for the obligations of the joint venture, which are commonly referred to as “non-recourse carve-outs.” We are not guaranteeing repayment of the debt itself. The Partnership indemnifies us for any loss we incur under these guarantees.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FAIR VALUE OF FINANCIAL INSTRUMENTS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disclosure of estimated fair value was determined by us,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2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estimate the fair value of our financial instruments using the following methods and assumptions: (1) quoted market prices, when available, are used to estimate the fair value of investments in marketable debt and equity securities; (2) quoted market prices were used to estimate the fair value of our marketable convertible subordinated debentures; (3) discounted cash flow analyses are used to estimate the fair value of mortgage notes receivable and payable, using our estimate of current interest rates for similar notes in 2004, the carrying amount on the balance sheet was used to approximate fair value for mortgage notes receivable since these notes are for specific deals, some contain participation provisions based on the property performance and also are convertible into ownership of the properties; (4) carrying amounts on the balance sheet approximate fair value for cash, accounts payable, accrued expenses and short term borrowings. Notes receivable from officers are excluded from fair value estimation since they have been issued in connection with employee stock ownership programs.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jc w:val="right"/>
              <w:ind w:right="296"/>
              <w:spacing w:after="0"/>
              <w:rPr>
                <w:sz w:val="20"/>
                <w:szCs w:val="20"/>
                <w:color w:val="auto"/>
              </w:rPr>
            </w:pPr>
            <w:r>
              <w:rPr>
                <w:rFonts w:ascii="Arial" w:cs="Arial" w:eastAsia="Arial" w:hAnsi="Arial"/>
                <w:sz w:val="14"/>
                <w:szCs w:val="14"/>
                <w:b w:val="1"/>
                <w:bCs w:val="1"/>
                <w:color w:val="auto"/>
              </w:rPr>
              <w:t>December 31, 2003</w:t>
            </w:r>
          </w:p>
        </w:tc>
      </w:tr>
      <w:tr>
        <w:trPr>
          <w:trHeight w:val="95"/>
        </w:trPr>
        <w:tc>
          <w:tcPr>
            <w:tcW w:w="7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237"/>
        </w:trPr>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74"/>
        </w:trPr>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Fair Value</w:t>
            </w:r>
          </w:p>
        </w:tc>
      </w:tr>
      <w:tr>
        <w:trPr>
          <w:trHeight w:val="95"/>
        </w:trPr>
        <w:tc>
          <w:tcPr>
            <w:tcW w:w="7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250"/>
        </w:trPr>
        <w:tc>
          <w:tcPr>
            <w:tcW w:w="7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&amp;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34,968</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8,919</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receivable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Mortgages and notes payable</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576,936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600,431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616,194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640,957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568,121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613,529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532,750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592,300</w:t>
            </w: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NOTES PAYABLE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notes payable consist of the following, as of December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Principal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Principal</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49"/>
        </w:trPr>
        <w:tc>
          <w:tcPr>
            <w:tcW w:w="1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Balance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5"/>
              </w:rPr>
              <w:t>Balance</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Original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79"/>
              </w:rPr>
              <w:t>as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9"/>
              </w:rPr>
              <w:t>as of</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Interest Rate</w:t>
            </w:r>
          </w:p>
        </w:tc>
        <w:tc>
          <w:tcPr>
            <w:tcW w:w="192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Debt</w:t>
            </w:r>
          </w:p>
        </w:tc>
        <w:tc>
          <w:tcPr>
            <w:tcW w:w="32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9"/>
              </w:rPr>
              <w:t>as of</w:t>
            </w:r>
          </w:p>
        </w:tc>
        <w:tc>
          <w:tcPr>
            <w:tcW w:w="1920" w:type="dxa"/>
            <w:vAlign w:val="bottom"/>
          </w:tcPr>
          <w:p>
            <w:pPr>
              <w:spacing w:after="0"/>
              <w:rPr>
                <w:sz w:val="12"/>
                <w:szCs w:val="12"/>
                <w:color w:val="auto"/>
              </w:rPr>
            </w:pPr>
          </w:p>
        </w:tc>
      </w:tr>
      <w:tr>
        <w:trPr>
          <w:trHeight w:val="174"/>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Description of Debt</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Issued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2003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December 31, 2004</w:t>
            </w:r>
          </w:p>
        </w:tc>
        <w:tc>
          <w:tcPr>
            <w:tcW w:w="1920" w:type="dxa"/>
            <w:vAlign w:val="bottom"/>
          </w:tcPr>
          <w:p>
            <w:pPr>
              <w:jc w:val="right"/>
              <w:ind w:right="455"/>
              <w:spacing w:after="0"/>
              <w:rPr>
                <w:sz w:val="20"/>
                <w:szCs w:val="20"/>
                <w:color w:val="auto"/>
              </w:rPr>
            </w:pPr>
            <w:r>
              <w:rPr>
                <w:rFonts w:ascii="Arial" w:cs="Arial" w:eastAsia="Arial" w:hAnsi="Arial"/>
                <w:sz w:val="14"/>
                <w:szCs w:val="14"/>
                <w:b w:val="1"/>
                <w:bCs w:val="1"/>
                <w:color w:val="auto"/>
              </w:rPr>
              <w:t>Maturity Date</w:t>
            </w:r>
          </w:p>
        </w:tc>
      </w:tr>
      <w:tr>
        <w:trPr>
          <w:trHeight w:val="95"/>
        </w:trPr>
        <w:tc>
          <w:tcPr>
            <w:tcW w:w="14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r>
      <w:tr>
        <w:trPr>
          <w:trHeight w:val="250"/>
        </w:trPr>
        <w:tc>
          <w:tcPr>
            <w:tcW w:w="14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b w:val="1"/>
                <w:bCs w:val="1"/>
                <w:color w:val="auto"/>
                <w:w w:val="86"/>
              </w:rPr>
              <w:t>(Dollars 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Perring Plaza Renovation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2,128</w:t>
            </w:r>
          </w:p>
        </w:tc>
        <w:tc>
          <w:tcPr>
            <w:tcW w:w="3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1,977</w:t>
            </w:r>
          </w:p>
        </w:tc>
        <w:tc>
          <w:tcPr>
            <w:tcW w:w="2260" w:type="dxa"/>
            <w:vAlign w:val="bottom"/>
            <w:gridSpan w:val="4"/>
          </w:tcPr>
          <w:p>
            <w:pPr>
              <w:jc w:val="right"/>
              <w:ind w:right="340"/>
              <w:spacing w:after="0"/>
              <w:rPr>
                <w:sz w:val="20"/>
                <w:szCs w:val="20"/>
                <w:color w:val="auto"/>
              </w:rPr>
            </w:pPr>
            <w:r>
              <w:rPr>
                <w:rFonts w:ascii="Arial" w:cs="Arial" w:eastAsia="Arial" w:hAnsi="Arial"/>
                <w:sz w:val="18"/>
                <w:szCs w:val="18"/>
                <w:color w:val="auto"/>
              </w:rPr>
              <w:t>10.00%</w:t>
            </w:r>
          </w:p>
        </w:tc>
        <w:tc>
          <w:tcPr>
            <w:tcW w:w="1920" w:type="dxa"/>
            <w:vAlign w:val="bottom"/>
          </w:tcPr>
          <w:p>
            <w:pPr>
              <w:jc w:val="right"/>
              <w:spacing w:after="0"/>
              <w:rPr>
                <w:sz w:val="20"/>
                <w:szCs w:val="20"/>
                <w:color w:val="auto"/>
              </w:rPr>
            </w:pPr>
            <w:r>
              <w:rPr>
                <w:rFonts w:ascii="Arial" w:cs="Arial" w:eastAsia="Arial" w:hAnsi="Arial"/>
                <w:sz w:val="18"/>
                <w:szCs w:val="18"/>
                <w:color w:val="auto"/>
              </w:rPr>
              <w:t>January 31, 2013</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Various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Revolving credit facilities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99,750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LIBOR + 0.75%</w:t>
            </w:r>
          </w:p>
        </w:tc>
        <w:tc>
          <w:tcPr>
            <w:tcW w:w="1920" w:type="dxa"/>
            <w:vAlign w:val="bottom"/>
          </w:tcPr>
          <w:p>
            <w:pPr>
              <w:jc w:val="right"/>
              <w:spacing w:after="0"/>
              <w:rPr>
                <w:sz w:val="20"/>
                <w:szCs w:val="20"/>
                <w:color w:val="auto"/>
              </w:rPr>
            </w:pPr>
            <w:r>
              <w:rPr>
                <w:rFonts w:ascii="Arial" w:cs="Arial" w:eastAsia="Arial" w:hAnsi="Arial"/>
                <w:sz w:val="18"/>
                <w:szCs w:val="18"/>
                <w:color w:val="auto"/>
              </w:rPr>
              <w:t>October 8, 2006</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note with banks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LIBOR + 0.95%</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8, 2006</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Term note with banks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LIBOR + 0.95%</w:t>
            </w:r>
          </w:p>
        </w:tc>
        <w:tc>
          <w:tcPr>
            <w:tcW w:w="1920" w:type="dxa"/>
            <w:vAlign w:val="bottom"/>
          </w:tcPr>
          <w:p>
            <w:pPr>
              <w:jc w:val="right"/>
              <w:spacing w:after="0"/>
              <w:rPr>
                <w:sz w:val="20"/>
                <w:szCs w:val="20"/>
                <w:color w:val="auto"/>
              </w:rPr>
            </w:pPr>
            <w:r>
              <w:rPr>
                <w:rFonts w:ascii="Arial" w:cs="Arial" w:eastAsia="Arial" w:hAnsi="Arial"/>
                <w:sz w:val="18"/>
                <w:szCs w:val="18"/>
                <w:color w:val="auto"/>
              </w:rPr>
              <w:t>October 8, 2008</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Escondido (Municipal Bonds)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2016</w:t>
            </w: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color w:val="auto"/>
              </w:rPr>
              <w:t>Loehmann’s Redemption Note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8,629</w:t>
            </w:r>
          </w:p>
        </w:tc>
        <w:tc>
          <w:tcPr>
            <w:tcW w:w="2260" w:type="dxa"/>
            <w:vAlign w:val="bottom"/>
            <w:gridSpan w:val="4"/>
          </w:tcPr>
          <w:p>
            <w:pPr>
              <w:jc w:val="right"/>
              <w:ind w:right="340"/>
              <w:spacing w:after="0"/>
              <w:rPr>
                <w:sz w:val="20"/>
                <w:szCs w:val="20"/>
                <w:color w:val="auto"/>
              </w:rPr>
            </w:pPr>
            <w:r>
              <w:rPr>
                <w:rFonts w:ascii="Arial" w:cs="Arial" w:eastAsia="Arial" w:hAnsi="Arial"/>
                <w:sz w:val="18"/>
                <w:szCs w:val="18"/>
                <w:color w:val="auto"/>
              </w:rPr>
              <w:t>2.34%</w:t>
            </w:r>
          </w:p>
        </w:tc>
        <w:tc>
          <w:tcPr>
            <w:tcW w:w="1920" w:type="dxa"/>
            <w:vAlign w:val="bottom"/>
          </w:tcPr>
          <w:p>
            <w:pPr>
              <w:jc w:val="right"/>
              <w:spacing w:after="0"/>
              <w:rPr>
                <w:sz w:val="20"/>
                <w:szCs w:val="20"/>
                <w:color w:val="auto"/>
              </w:rPr>
            </w:pPr>
            <w:r>
              <w:rPr>
                <w:rFonts w:ascii="Arial" w:cs="Arial" w:eastAsia="Arial" w:hAnsi="Arial"/>
                <w:sz w:val="18"/>
                <w:szCs w:val="18"/>
                <w:color w:val="auto"/>
              </w:rPr>
              <w:t>September 27, 2006</w:t>
            </w:r>
          </w:p>
        </w:tc>
      </w:tr>
      <w:tr>
        <w:trPr>
          <w:trHeight w:val="102"/>
        </w:trPr>
        <w:tc>
          <w:tcPr>
            <w:tcW w:w="14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tcPr>
          <w:p>
            <w:pPr>
              <w:spacing w:after="0"/>
              <w:rPr>
                <w:sz w:val="8"/>
                <w:szCs w:val="8"/>
                <w:color w:val="auto"/>
              </w:rPr>
            </w:pPr>
          </w:p>
        </w:tc>
      </w:tr>
      <w:tr>
        <w:trPr>
          <w:trHeight w:val="216"/>
        </w:trPr>
        <w:tc>
          <w:tcPr>
            <w:tcW w:w="3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Notes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361,323</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132"/>
        </w:trPr>
        <w:tc>
          <w:tcPr>
            <w:tcW w:w="1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-29210</wp:posOffset>
            </wp:positionV>
            <wp:extent cx="50990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a $550 million unsecured credit facility consisting of a $150 million five-year term loan, a $100 million three-year term loan, and a $300 million three-year revolving credit facility, with a one-year extension option. The term loans currently bear interest at LIBOR plus 95 basis points, while the revolving facility currently bears interest at LIBOR plus 75 basis points. The spread over LIBOR is subject to adjustment based on our credit rating.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color w:val="auto"/>
        </w:rPr>
        <w:t>In January 2004, to hedge our exposure to interest rate fluctuations on the $150 million five-year term loan, we entered into an interest rate swap, which fixed the LIBOR portion of the interest rate on the term loan at 2.401% through October 2006. The interest rate on the term loan as of December 31, 2003 was</w:t>
      </w:r>
    </w:p>
    <w:p>
      <w:pPr>
        <w:ind w:right="100"/>
        <w:spacing w:after="0" w:line="261" w:lineRule="auto"/>
        <w:rPr>
          <w:sz w:val="20"/>
          <w:szCs w:val="20"/>
          <w:color w:val="auto"/>
        </w:rPr>
      </w:pPr>
      <w:r>
        <w:rPr>
          <w:rFonts w:ascii="Arial" w:cs="Arial" w:eastAsia="Arial" w:hAnsi="Arial"/>
          <w:sz w:val="18"/>
          <w:szCs w:val="18"/>
          <w:color w:val="auto"/>
        </w:rPr>
        <w:t>2.1%, based on LIBOR plus 95 basis points. The current interest rate, taking into account the swap, is 3.351% (2.401% plus 0.95%) on notional amounts totaling $150 million.</w:t>
      </w:r>
    </w:p>
    <w:p>
      <w:pPr>
        <w:spacing w:after="0" w:line="12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maximum amount drawn under these revolving credit facilities during 2004, 2003 and 2002 was $165.0 million, $215.0 million and $225.0 million, respectively. In 2004, 2003 and 2002, the weighted average interest rate on borrowings was 2.2%, 3.4% and 5.0%, respectively, and the average amount outstanding was $74.4 million, $96.9 million and $189.1 million, respectively. The facility requires us to comply with various financial covenants, including the maintenance of a minimum shareholders’ equity and a maximum ratio of debt to net worth. At December 31, 2004 we were in compliance with all loan covenants.</w:t>
      </w:r>
    </w:p>
    <w:p>
      <w:pPr>
        <w:spacing w:after="0" w:line="12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On September 27, 2004 we issued a note payable in the amount of $8.6 million. The note balance was paid in full on February 1, 2005. See “Note 8. Commitments and Contingencies.”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more detailed description of our derivative instruments is contained below in “Item 7A. Quantitative and Qualitative Disclosures about Market Risk.”</w:t>
      </w:r>
    </w:p>
    <w:p>
      <w:pPr>
        <w:spacing w:after="0" w:line="181"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have determined that our hedged derivatives qualify as effective cash-flow hedges under SFAS No. 133, resulting in our recording all changes in the fair value of the hedged derivatives in other comprehensive income. Amounts recorded in other comprehensive income will be reclassified into earnings in the period in which earnings are affected by the hedged cash flows. To adjust the hedged derivatives to their fair value, we recorded unrealized gains to other comprehensive income of $2.4 million and $3.6 million during the years ended December 31, 2004 and 2003, respectively. The estimated amount, included in accumulated other comprehensive income as of December 31, 2004, expected to be reclassified into earnings within the next twelve months to offset the variability of cash flows during this period, is not material.</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assess, both at inception and on an on-going basis, the effectiveness of all hedges in offsetting cash flows of hedged items. Hedge ineffectiveness did not have a material impact on earnings and we do not anticipate that it will have a material effect in the future. The fair values of the obligations under the hedged derivatives are included in prepaid expenses and other assets on the accompanying Consolidated Balance Sheets.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7</w:t>
      </w:r>
      <w:r>
        <w:rPr>
          <w:rFonts w:ascii="Arial" w:cs="Arial" w:eastAsia="Arial" w:hAnsi="Arial"/>
          <w:sz w:val="18"/>
          <w:szCs w:val="18"/>
          <w:color w:val="auto"/>
        </w:rPr>
        <w:t>. SENIOR NOTES AND DEBENTURES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Unsecured senior notes and debentures at December 31, 2004 and 2003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r>
      <w:tr>
        <w:trPr>
          <w:trHeight w:val="95"/>
        </w:trPr>
        <w:tc>
          <w:tcPr>
            <w:tcW w:w="48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80" w:type="dxa"/>
            <w:vAlign w:val="bottom"/>
          </w:tcPr>
          <w:p>
            <w:pPr>
              <w:spacing w:after="0"/>
              <w:rPr>
                <w:sz w:val="21"/>
                <w:szCs w:val="21"/>
                <w:color w:val="auto"/>
              </w:rPr>
            </w:pPr>
          </w:p>
        </w:tc>
        <w:tc>
          <w:tcPr>
            <w:tcW w:w="9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6.74%</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due March 10, 2004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6.625% Notes due December 1, 2005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6.99%</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due March 10, 2006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6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6.82%</w:t>
            </w:r>
          </w:p>
        </w:tc>
        <w:tc>
          <w:tcPr>
            <w:tcW w:w="9120" w:type="dxa"/>
            <w:vAlign w:val="bottom"/>
          </w:tcPr>
          <w:p>
            <w:pPr>
              <w:ind w:left="20"/>
              <w:spacing w:after="0"/>
              <w:rPr>
                <w:sz w:val="20"/>
                <w:szCs w:val="20"/>
                <w:color w:val="auto"/>
              </w:rPr>
            </w:pPr>
            <w:r>
              <w:rPr>
                <w:rFonts w:ascii="Arial" w:cs="Arial" w:eastAsia="Arial" w:hAnsi="Arial"/>
                <w:sz w:val="18"/>
                <w:szCs w:val="18"/>
                <w:color w:val="auto"/>
              </w:rPr>
              <w:t>Medium-term notes due August 1, 2027, redeemable at par by holder August 1, 2007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r>
      <w:tr>
        <w:trPr>
          <w:trHeight w:val="216"/>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November 15, 2007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150,000</w:t>
            </w:r>
          </w:p>
        </w:tc>
        <w:tc>
          <w:tcPr>
            <w:tcW w:w="6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7.48%</w:t>
            </w:r>
          </w:p>
        </w:tc>
        <w:tc>
          <w:tcPr>
            <w:tcW w:w="9120" w:type="dxa"/>
            <w:vAlign w:val="bottom"/>
          </w:tcPr>
          <w:p>
            <w:pPr>
              <w:ind w:left="20"/>
              <w:spacing w:after="0"/>
              <w:rPr>
                <w:sz w:val="20"/>
                <w:szCs w:val="20"/>
                <w:color w:val="auto"/>
              </w:rPr>
            </w:pPr>
            <w:r>
              <w:rPr>
                <w:rFonts w:ascii="Arial" w:cs="Arial" w:eastAsia="Arial" w:hAnsi="Arial"/>
                <w:sz w:val="18"/>
                <w:szCs w:val="18"/>
                <w:color w:val="auto"/>
              </w:rPr>
              <w:t>Debentures due August 15, 2026, redeemable at par by holder August 15, 2008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8.75%</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December 1, 2009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175,000</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4.5% Notes due February 15, 2011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48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8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8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570,500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535,000</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Less: unamortized debt discount</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(2,250)</w:t>
            </w:r>
          </w:p>
        </w:tc>
      </w:tr>
      <w:tr>
        <w:trPr>
          <w:trHeight w:val="102"/>
        </w:trPr>
        <w:tc>
          <w:tcPr>
            <w:tcW w:w="48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8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8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568,121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532,750</w:t>
            </w:r>
          </w:p>
        </w:tc>
        <w:tc>
          <w:tcPr>
            <w:tcW w:w="60" w:type="dxa"/>
            <w:vAlign w:val="bottom"/>
            <w:shd w:val="clear" w:color="auto" w:fill="CCEEFF"/>
          </w:tcPr>
          <w:p>
            <w:pPr>
              <w:spacing w:after="0"/>
              <w:rPr>
                <w:sz w:val="18"/>
                <w:szCs w:val="18"/>
                <w:color w:val="auto"/>
              </w:rPr>
            </w:pPr>
          </w:p>
        </w:tc>
      </w:tr>
      <w:tr>
        <w:trPr>
          <w:trHeight w:val="132"/>
        </w:trPr>
        <w:tc>
          <w:tcPr>
            <w:tcW w:w="48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80" w:type="dxa"/>
            <w:vAlign w:val="bottom"/>
          </w:tcPr>
          <w:p>
            <w:pPr>
              <w:spacing w:after="0"/>
              <w:rPr>
                <w:sz w:val="24"/>
                <w:szCs w:val="24"/>
                <w:color w:val="auto"/>
              </w:rPr>
            </w:pPr>
          </w:p>
        </w:tc>
        <w:tc>
          <w:tcPr>
            <w:tcW w:w="9120" w:type="dxa"/>
            <w:vAlign w:val="bottom"/>
          </w:tcPr>
          <w:p>
            <w:pPr>
              <w:ind w:left="506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-325755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45847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These loan agreements contain various covenants, including limitations on the amount of debt and minimum debt service coverage ratios. We are in compliance with all covenants. No principal is due on these notes prior to maturity.</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2002, we filed a $500 million shelf registration statement, declared effective on November 6, 2002, with the Securities and Exchange Commission which allows the issuance of debt securities, preferred shares and common shares. As of December 31, 2004, $225 million was available under our shelf registration.</w:t>
      </w:r>
    </w:p>
    <w:p>
      <w:pPr>
        <w:spacing w:after="0" w:line="12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On January 26, 2004, we issued $75 million of fixed rate notes, which mature in February 2011 and bear interest at 4.50%. The proceeds of this note offering were used to pay down our revolving credit facility by $50 million and the remainder was used for general corporate purposes.</w:t>
      </w:r>
    </w:p>
    <w:p>
      <w:pPr>
        <w:spacing w:after="0" w:line="7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paid off our 6.74% Medium Term Notes on their due date of March 10, 2004 for their full principal balance of $39.5 million plus accrued interest of $1.2 million.</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DIVIDENDS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14, 2004 the Trustees declared a quarterly cash dividend of $0.505 per common share, payable January 17, 2005 to common shareholders of record January 3, 2005. The total dividend declared per common share for 2004 was $1.975.</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Also on December 14, 2004 the Trustees declared a quarterly cash dividend of $0.53125 per share on its Series B Cumulative Redeemable Preferred Shares, payable on January 31, 2005 to shareholders of record on January 17, 2005, respectively.</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the year ended December 31, 2004, $0.10 of dividends paid per common share represented a capital gain and $0.11 of dividends paid per Series B preferred share represented a capital gain. For the year ended December 31, 2003, $0.29 of dividends paid per common share represent a capital gain while $0.36 of dividends per Series B preferred share and $0.21 of dividends paid per Series A preferred share represented a capital gain.</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COMMITMENTS AND CONTINGENCIES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18"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are committed to invest approximately $11.0 million in restaurant joint ventures at Santana Row, of which $8.1 million has been invested as of December 31, 2004. These restaurant joint ventures are accounted for using the equity method as described in “Note 1. Summary of Significant Accounting Policies—Variable Interest Entities.”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December 31, 2004, our estimated maximum liability upon exercise of the put option would range from approximately $34 million to $38 million. In conjunction with the construction of the apartments at the property that were completed in 2003, 8.03% of the third party’s interest in Congressional Plaza was re-allocated to us, effective January 1, 2004, thereby lowering the third party’s ownership percentage from 37.50% to its current level of 29.47%, as a result of our having funded approximately $7 million of the third party’s share of the redevelopment cost.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of various other partnership agreements for entities, which own shopping center properties with a cost of approximately $88.5 million, the partners have the right to exchange their operating units for cash or the same number of our common shares, at our option. In 2004 we paid $399,000 to redeem 9,767 of these operating units and issued 203,130 of our common shares in non-cash transactions to redeem the same amount of units. As of December 31, 2004, a total of 449,325 operating units are outstanding.</w:t>
      </w:r>
    </w:p>
    <w:p>
      <w:pPr>
        <w:spacing w:after="0" w:line="13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September 27, 2004, in a non-cash transaction, 190,000 operating units were redeemed by the issuance of a promissory note in the amount of $8.6 million. In connection with the issuance of that note, we issued to one of our subsidiaries 190,000 of our common shares, having a value of $8.6 million, which have been pledged as security for that note. On February 1, 2005 the shares were sold and the note balance of $8.6 million was paid in full.</w:t>
      </w:r>
    </w:p>
    <w:p>
      <w:pPr>
        <w:spacing w:after="0" w:line="93"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$795,000, and the letter of credit remains outstanding. Our obligation under the Agreement is estimated to range from $1.6 million to $3.0 million. During the years ended December 31, 2004 and 2003, we funded approximately $434,000 and $360,000, respectively. In anticipation of further shortfalls of incremental tax revenues to the City, $700,000 remains accrued as of December 31, 2004 to cover additional payments we may be obligated to make as part of the project costs. Prior to the expiration of the Agreement on September 30, 2014, we could be required to provide funding beyond the $700,000 currently accrued. We do not anticipate, however, that our obligation would exceed $600,000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three leases in which the lessor has a put option, which would require us to purchase the properties during the remaining lease term. If the lessor were to exercise this option in 2005, the purchase price would be approximately $63 million. 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2004 in connection with renovation and development projects, the Trust has contractual obligations of approximately $50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2004:</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560" w:type="dxa"/>
            <w:vAlign w:val="bottom"/>
            <w:gridSpan w:val="3"/>
          </w:tcPr>
          <w:p>
            <w:pPr>
              <w:ind w:left="5720"/>
              <w:spacing w:after="0"/>
              <w:rPr>
                <w:sz w:val="20"/>
                <w:szCs w:val="20"/>
                <w:color w:val="auto"/>
              </w:rPr>
            </w:pPr>
            <w:r>
              <w:rPr>
                <w:rFonts w:ascii="Arial" w:cs="Arial" w:eastAsia="Arial" w:hAnsi="Arial"/>
                <w:sz w:val="14"/>
                <w:szCs w:val="14"/>
                <w:b w:val="1"/>
                <w:bCs w:val="1"/>
                <w:color w:val="auto"/>
                <w:w w:val="84"/>
              </w:rPr>
              <w:t>(In thousands)</w:t>
            </w: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5840" w:type="dxa"/>
            <w:vAlign w:val="bottom"/>
            <w:gridSpan w:val="2"/>
            <w:shd w:val="clear" w:color="auto" w:fill="CCEEFF"/>
          </w:tcPr>
          <w:p>
            <w:pPr>
              <w:ind w:left="57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2006</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4,376</w:t>
            </w: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2008</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4,409</w:t>
            </w: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Thereafter</w:t>
            </w:r>
          </w:p>
        </w:tc>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265,143</w:t>
            </w: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57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287,034</w:t>
            </w:r>
          </w:p>
        </w:tc>
      </w:tr>
      <w:tr>
        <w:trPr>
          <w:trHeight w:val="129"/>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r>
      <w:tr>
        <w:trPr>
          <w:trHeight w:val="471"/>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840" w:type="dxa"/>
            <w:vAlign w:val="bottom"/>
            <w:gridSpan w:val="2"/>
          </w:tcPr>
          <w:p>
            <w:pPr>
              <w:ind w:left="1820"/>
              <w:spacing w:after="0"/>
              <w:rPr>
                <w:sz w:val="20"/>
                <w:szCs w:val="20"/>
                <w:color w:val="auto"/>
              </w:rPr>
            </w:pPr>
            <w:r>
              <w:rPr>
                <w:rFonts w:ascii="Arial" w:cs="Arial" w:eastAsia="Arial" w:hAnsi="Arial"/>
                <w:sz w:val="18"/>
                <w:szCs w:val="18"/>
                <w:color w:val="auto"/>
              </w:rPr>
              <w:t>F-22</w:t>
            </w: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-325755</wp:posOffset>
            </wp:positionV>
            <wp:extent cx="53594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SHAREHOLDERS’ EQUITY</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May 1999, we reorganized as a Maryland real estate investment trust by amending and restating our declaration of trust and bylaws. The Amended Declaration of Trust changed the number of authorized shares of common and preferred shares from unlimited to 100,000,000 and 15,000,000, respectively. In addition, all common shares of beneficial interest, no par value, which were issued and outstanding were changed to common shares of beneficial interest, $0.01 par value per share and all Series A Cumulative Redeemable Preferred Shares of beneficial interest, no par value, which were issued and outstanding were changed to Series A Cumulative Redeemable Preferred Shares of beneficial interest, $0.01 par value per share.</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November 2001, we issued 5.4 million 8.5% Series B Cumulative Redeemable Preferred Shares at $25 per share in a public offering. The Series B Preferred Shares are not redeemable prior to November 27, 2006. On or after that date, the Preferred Shares may be redeemed, in whole or in part, at our option, at a redemption price of $25 per share plus all accrued and unpaid dividends. Dividends on the Preferred Shares are payable quarterly in arrears on the last day of January, April, July and October.</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June 12, 2002, we issued 2.2 million common shares at $25.9825 per share ($27.35 gross, before a 5.00% underwriters discount and selling concession) netting $56.6 million in cash proceeds after all expenses of the offering.</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May 14, 2003, we issued 3.2 million common shares at $30.457 per share ($31.48 gross, before an aggregate 3.25% underwriters discount and selling concession) netting $98.4 million in cash proceeds, after all expenses of the offering.</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April 7, 2004, we issued 2.2 million common shares at a net price of $45.33 per share (after taking into account underwriters discount and commissions) netting approximately $99 million in cash proceeds before other expenses of the offering. The proceeds were used to repay borrowings outstanding under our revolving credit facility that were drawn to acquire Westgate Mall and for general corporate purposes.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 Dividend Reinvestment Plan, whereby shareholders may use their dividends and optional cash payments to purchase shares. In 2004, 2003 and 2002, 82,391 shares, 109,835 shares and 134,247 shares, respectively, were issued under the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1999, the Trustees authorized a share repurchase program for calendar year 2000 of up to an aggregate of 4 million of our common shares.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2000, a total of 1,325,900 shares were repurchased, at a cost of $25.2 million. We did not repurchase shares in 2004, 2003 or 2002.</w:t>
      </w:r>
    </w:p>
    <w:p>
      <w:pPr>
        <w:spacing w:after="0" w:line="15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2004, 2003 and 2002, 84,617 common shares, 138,568 common shares and 98,092 common shares, respectively, were awarded to key employees, including our former Chief Executive Officer, under various incentive compensation programs designed to directly link a significant portion of their current and long term compensation to the prosperity of the Trust and its shareholders. The shares vest over terms from 3 to 5 years. Vesting of common shares awarded to the former Chief Executive Officer was accelerated in 2002 pursuant to his contractual arrangement. We recorded compensation expense of $3.5 million, $1.3 million and $4.4 million for 2004, 2003 and 2002, respectively, under our 2001 Long Term Incentive Plan. The weighted-average grant-date fair value of stock awarded in 2004 was $42.94.</w:t>
      </w:r>
    </w:p>
    <w:p>
      <w:pPr>
        <w:spacing w:after="0" w:line="13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February 2002 and February 2003, we granted Performance Awards of 30,000 and 120,000, respectively, to certain officers and employees of the Trust. Pursuant to the terms of these awards, 20% of the Performance Shares will vest for any calendar year in which we exceed certain performance targets for the same period. Any performance awards, which remain unvested after 2011 and 2012, respectively, will be forfeited. We employ variable accounting for these Performance Awards.</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2004 Incentive Bonus Plan, vice presidents and certain key employees receive part of their bonus in our common shares, which vest over three years. Consequently, on February 15, 2005, 7,711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were awarded under this plan. In addition, on February 15, 2004, 64,732 restricted shares, which will vest over three years, were awarded to the Trust’s officers and certain key employees. We also granted 3,363 restricted shares on February 15, 2005 to our Trustees. All of the restricted share awards were made under the 2001 Plan.</w:t>
      </w:r>
    </w:p>
    <w:p>
      <w:pPr>
        <w:spacing w:after="0" w:line="12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Tax loans with a balance of $300,000 in 2004 and 2003 and $1.8 million in 2002 have been made in connection with restricted share grants to certain of our officers and in connection with the Share Purchase Plans. The loans bear interest at the 90-day LIBOR rate plus 75 basis points. No tax loans were repaid in 2004.</w:t>
      </w:r>
    </w:p>
    <w:p>
      <w:pPr>
        <w:spacing w:after="0" w:line="4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March 1999, we entered into an Amended and Restated Rights Agreement with American Stock Transfer and Trust Company, pursuant to which (i) the expiration date of our shareholder rights plan was extended for an additional ten years to April 24, 2009, (ii) the beneficial ownership percentage at which a person becomes an “Acquiring Person” under the plan was reduced from 20% to 15%, and (iii) certain other amendments were made. On October 29, 2003, we further amended the Amended and Restated Rights Agreement to increase the beneficial ownership percentage at which a person becomes an “Acquiring Person” under the plan from 15% to 20% and to require that the Trust’s Board of Trustees review the plan on a periodic basis.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11</w:t>
      </w:r>
      <w:r>
        <w:rPr>
          <w:rFonts w:ascii="Arial" w:cs="Arial" w:eastAsia="Arial" w:hAnsi="Arial"/>
          <w:sz w:val="18"/>
          <w:szCs w:val="18"/>
          <w:color w:val="auto"/>
        </w:rPr>
        <w:t>. STOCK OPTION PLAN</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1993 Long Term Incentive Plan (“Plan”) authorized the grant of options and other stock based awards for up to 5.5 million shares. Options granted under the Plan have ten year terms and vest in one to five years. The Plan expired in May 2003.</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May 2001 our shareholders’ approved the 2001 Long Term Incentive Plan (“2001 Plan”) which authorized an additional 1,750,000 shares for future option and other stock based awards.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option price to acquire shares under the 2001 Plan and previous plans is required to be at least the fair market value at the date of grant. As a result of the exercise of options, we had outstanding from our officers and employees notes for $1.8 million, $3.3 million and $2.5 million at December 31, 2004, 2003 and 2002, respectively. Notes bear interest at LIBOR plus a market-rate spread with the rate adjusted annually. The notes are collateralized by the shares with recourse to the borrower and have five-year terms. Option awards made in 2001 and later do not provide for employees to be able to exercise their options with a loan from the Trust.</w:t>
      </w:r>
    </w:p>
    <w:p>
      <w:pPr>
        <w:spacing w:after="0" w:line="1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SFAS No. 123, “Accounting for Stock-Based Compensation” requires pro forma information regarding net income and earnings per share as if we accounted for our stock options under the fair value method of SFAS No. 123. Where at the date of grant, either the numbers of shares or exercise prices are not known; we record compensation expense in accordance with variable accounting. The fair value for options issued in 2004, 2003 and 2002 has been estimated as $1.1 million, $582,000 and $536,000, respectively, as of the date of grant, using a Black Scholes model with the following weighted-average assumptions for 2004, 2003 and 2002, respectively: risk-free interest rates of 4.5%, 3.2% and 4.5%; volatility factors of the expected market price of our shares of 20%, 16% and 20%; and a weighted average expected life of the option of 5.3 years, 6.0 years and 6.9 years. Our assumed weighted average dividend yield used to estimate the fair value of the options issued was 4.62% in 2004.</w:t>
      </w:r>
    </w:p>
    <w:p>
      <w:pPr>
        <w:spacing w:after="0" w:line="10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stock option activity for the years ended December 31,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spacing w:after="0"/>
              <w:rPr>
                <w:sz w:val="20"/>
                <w:szCs w:val="20"/>
                <w:color w:val="auto"/>
              </w:rPr>
            </w:pPr>
            <w:r>
              <w:rPr>
                <w:rFonts w:ascii="Arial" w:cs="Arial" w:eastAsia="Arial" w:hAnsi="Arial"/>
                <w:sz w:val="14"/>
                <w:szCs w:val="14"/>
                <w:b w:val="1"/>
                <w:bCs w:val="1"/>
                <w:color w:val="auto"/>
              </w:rPr>
              <w:t>Shares Under Option</w:t>
            </w:r>
          </w:p>
        </w:tc>
        <w:tc>
          <w:tcPr>
            <w:tcW w:w="1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gridSpan w:val="4"/>
          </w:tcPr>
          <w:p>
            <w:pPr>
              <w:ind w:left="220"/>
              <w:spacing w:after="0"/>
              <w:rPr>
                <w:sz w:val="20"/>
                <w:szCs w:val="20"/>
                <w:color w:val="auto"/>
              </w:rPr>
            </w:pPr>
            <w:r>
              <w:rPr>
                <w:rFonts w:ascii="Arial" w:cs="Arial" w:eastAsia="Arial" w:hAnsi="Arial"/>
                <w:sz w:val="14"/>
                <w:szCs w:val="14"/>
                <w:b w:val="1"/>
                <w:bCs w:val="1"/>
                <w:color w:val="auto"/>
              </w:rPr>
              <w:t>(in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2001</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3,756,381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ind w:left="420"/>
              <w:spacing w:after="0"/>
              <w:rPr>
                <w:sz w:val="20"/>
                <w:szCs w:val="20"/>
                <w:color w:val="auto"/>
              </w:rPr>
            </w:pPr>
            <w:r>
              <w:rPr>
                <w:rFonts w:ascii="Arial" w:cs="Arial" w:eastAsia="Arial" w:hAnsi="Arial"/>
                <w:sz w:val="18"/>
                <w:szCs w:val="18"/>
                <w:color w:val="auto"/>
              </w:rPr>
              <w:t>Options granted 2002</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435,500</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Options exercised 2002</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(951,971)</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3"/>
          </w:tcPr>
          <w:p>
            <w:pPr>
              <w:ind w:left="420"/>
              <w:spacing w:after="0"/>
              <w:rPr>
                <w:sz w:val="20"/>
                <w:szCs w:val="20"/>
                <w:color w:val="auto"/>
              </w:rPr>
            </w:pPr>
            <w:r>
              <w:rPr>
                <w:rFonts w:ascii="Arial" w:cs="Arial" w:eastAsia="Arial" w:hAnsi="Arial"/>
                <w:sz w:val="18"/>
                <w:szCs w:val="18"/>
                <w:color w:val="auto"/>
              </w:rPr>
              <w:t>Options forfeited 2002</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192"/>
              <w:spacing w:after="0"/>
              <w:rPr>
                <w:sz w:val="20"/>
                <w:szCs w:val="20"/>
                <w:color w:val="auto"/>
              </w:rPr>
            </w:pPr>
            <w:r>
              <w:rPr>
                <w:rFonts w:ascii="Arial" w:cs="Arial" w:eastAsia="Arial" w:hAnsi="Arial"/>
                <w:sz w:val="18"/>
                <w:szCs w:val="18"/>
                <w:color w:val="auto"/>
              </w:rPr>
              <w:t>(19,168)</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3,220,742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ind w:left="420"/>
              <w:spacing w:after="0"/>
              <w:rPr>
                <w:sz w:val="20"/>
                <w:szCs w:val="20"/>
                <w:color w:val="auto"/>
              </w:rPr>
            </w:pPr>
            <w:r>
              <w:rPr>
                <w:rFonts w:ascii="Arial" w:cs="Arial" w:eastAsia="Arial" w:hAnsi="Arial"/>
                <w:sz w:val="18"/>
                <w:szCs w:val="18"/>
                <w:color w:val="auto"/>
              </w:rPr>
              <w:t>Options granted 2003</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419,500</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Options exercised 2003</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(2,124,869)</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3"/>
          </w:tcPr>
          <w:p>
            <w:pPr>
              <w:ind w:left="420"/>
              <w:spacing w:after="0"/>
              <w:rPr>
                <w:sz w:val="20"/>
                <w:szCs w:val="20"/>
                <w:color w:val="auto"/>
              </w:rPr>
            </w:pPr>
            <w:r>
              <w:rPr>
                <w:rFonts w:ascii="Arial" w:cs="Arial" w:eastAsia="Arial" w:hAnsi="Arial"/>
                <w:sz w:val="18"/>
                <w:szCs w:val="18"/>
                <w:color w:val="auto"/>
              </w:rPr>
              <w:t>Options forfeited 2003</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192"/>
              <w:spacing w:after="0"/>
              <w:rPr>
                <w:sz w:val="20"/>
                <w:szCs w:val="20"/>
                <w:color w:val="auto"/>
              </w:rPr>
            </w:pPr>
            <w:r>
              <w:rPr>
                <w:rFonts w:ascii="Arial" w:cs="Arial" w:eastAsia="Arial" w:hAnsi="Arial"/>
                <w:sz w:val="18"/>
                <w:szCs w:val="18"/>
                <w:color w:val="auto"/>
              </w:rPr>
              <w:t>(53,333)</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1,462,040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ind w:left="420"/>
              <w:spacing w:after="0"/>
              <w:rPr>
                <w:sz w:val="20"/>
                <w:szCs w:val="20"/>
                <w:color w:val="auto"/>
              </w:rPr>
            </w:pPr>
            <w:r>
              <w:rPr>
                <w:rFonts w:ascii="Arial" w:cs="Arial" w:eastAsia="Arial" w:hAnsi="Arial"/>
                <w:sz w:val="18"/>
                <w:szCs w:val="18"/>
                <w:color w:val="auto"/>
              </w:rPr>
              <w:t>Options granted 2004</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Options exercised 2004</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(348,868)</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3"/>
          </w:tcPr>
          <w:p>
            <w:pPr>
              <w:ind w:left="420"/>
              <w:spacing w:after="0"/>
              <w:rPr>
                <w:sz w:val="20"/>
                <w:szCs w:val="20"/>
                <w:color w:val="auto"/>
              </w:rPr>
            </w:pPr>
            <w:r>
              <w:rPr>
                <w:rFonts w:ascii="Arial" w:cs="Arial" w:eastAsia="Arial" w:hAnsi="Arial"/>
                <w:sz w:val="18"/>
                <w:szCs w:val="18"/>
                <w:color w:val="auto"/>
              </w:rPr>
              <w:t>Options forfeited 2004</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192"/>
              <w:spacing w:after="0"/>
              <w:rPr>
                <w:sz w:val="20"/>
                <w:szCs w:val="20"/>
                <w:color w:val="auto"/>
              </w:rPr>
            </w:pPr>
            <w:r>
              <w:rPr>
                <w:rFonts w:ascii="Arial" w:cs="Arial" w:eastAsia="Arial" w:hAnsi="Arial"/>
                <w:sz w:val="18"/>
                <w:szCs w:val="18"/>
                <w:color w:val="auto"/>
              </w:rPr>
              <w:t>(69,331)</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1,231,341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exercisable at December 31, 2004</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846,496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Options exercisable at December 31, 2003</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931,929</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exercisable at December 31, 2002</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2,475,297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00" w:type="dxa"/>
            <w:vAlign w:val="bottom"/>
            <w:gridSpan w:val="7"/>
          </w:tcPr>
          <w:p>
            <w:pPr>
              <w:spacing w:after="0"/>
              <w:rPr>
                <w:sz w:val="20"/>
                <w:szCs w:val="20"/>
                <w:color w:val="auto"/>
              </w:rPr>
            </w:pPr>
            <w:r>
              <w:rPr>
                <w:rFonts w:ascii="Arial" w:cs="Arial" w:eastAsia="Arial" w:hAnsi="Arial"/>
                <w:sz w:val="18"/>
                <w:szCs w:val="18"/>
                <w:color w:val="auto"/>
                <w:w w:val="94"/>
              </w:rPr>
              <w:t>Information about options outstanding at December 31, 2004, is summarized below:</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3"/>
          </w:tcPr>
          <w:p>
            <w:pPr>
              <w:ind w:left="400"/>
              <w:spacing w:after="0"/>
              <w:rPr>
                <w:sz w:val="20"/>
                <w:szCs w:val="20"/>
                <w:color w:val="auto"/>
              </w:rPr>
            </w:pPr>
            <w:r>
              <w:rPr>
                <w:rFonts w:ascii="Arial" w:cs="Arial" w:eastAsia="Arial" w:hAnsi="Arial"/>
                <w:sz w:val="14"/>
                <w:szCs w:val="14"/>
                <w:b w:val="1"/>
                <w:bCs w:val="1"/>
                <w:color w:val="auto"/>
              </w:rPr>
              <w:t>Options Outstanding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6"/>
          </w:tcPr>
          <w:p>
            <w:pPr>
              <w:ind w:left="32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Weighted-</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Average</w:t>
            </w:r>
          </w:p>
        </w:tc>
        <w:tc>
          <w:tcPr>
            <w:tcW w:w="880" w:type="dxa"/>
            <w:vAlign w:val="bottom"/>
          </w:tcPr>
          <w:p>
            <w:pPr>
              <w:spacing w:after="0"/>
              <w:rPr>
                <w:sz w:val="12"/>
                <w:szCs w:val="12"/>
                <w:color w:val="auto"/>
              </w:rPr>
            </w:pPr>
          </w:p>
        </w:tc>
        <w:tc>
          <w:tcPr>
            <w:tcW w:w="14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4"/>
              </w:rPr>
              <w:t>Range of Exercise Prices</w:t>
            </w: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Outstanding</w:t>
            </w:r>
          </w:p>
        </w:tc>
        <w:tc>
          <w:tcPr>
            <w:tcW w:w="600" w:type="dxa"/>
            <w:vAlign w:val="bottom"/>
          </w:tcPr>
          <w:p>
            <w:pPr>
              <w:spacing w:after="0"/>
              <w:rPr>
                <w:sz w:val="15"/>
                <w:szCs w:val="15"/>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Life (years)</w:t>
            </w:r>
          </w:p>
        </w:tc>
        <w:tc>
          <w:tcPr>
            <w:tcW w:w="34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Exercise Price</w:t>
            </w:r>
          </w:p>
        </w:tc>
        <w:tc>
          <w:tcPr>
            <w:tcW w:w="880" w:type="dxa"/>
            <w:vAlign w:val="bottom"/>
          </w:tcPr>
          <w:p>
            <w:pPr>
              <w:spacing w:after="0"/>
              <w:rPr>
                <w:sz w:val="15"/>
                <w:szCs w:val="15"/>
                <w:color w:val="auto"/>
              </w:rPr>
            </w:pPr>
          </w:p>
        </w:tc>
        <w:tc>
          <w:tcPr>
            <w:tcW w:w="14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4"/>
              </w:rPr>
              <w:t>Exercisable</w:t>
            </w:r>
          </w:p>
        </w:tc>
        <w:tc>
          <w:tcPr>
            <w:tcW w:w="240" w:type="dxa"/>
            <w:vAlign w:val="bottom"/>
          </w:tcPr>
          <w:p>
            <w:pPr>
              <w:spacing w:after="0"/>
              <w:rPr>
                <w:sz w:val="15"/>
                <w:szCs w:val="15"/>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1440"/>
              <w:spacing w:after="0"/>
              <w:rPr>
                <w:sz w:val="20"/>
                <w:szCs w:val="20"/>
                <w:color w:val="auto"/>
              </w:rPr>
            </w:pPr>
            <w:r>
              <w:rPr>
                <w:rFonts w:ascii="Arial" w:cs="Arial" w:eastAsia="Arial" w:hAnsi="Arial"/>
                <w:sz w:val="18"/>
                <w:szCs w:val="18"/>
                <w:color w:val="auto"/>
                <w:w w:val="88"/>
              </w:rPr>
              <w:t>$18.00–$26.99</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656,577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w:t>
            </w:r>
          </w:p>
        </w:tc>
        <w:tc>
          <w:tcPr>
            <w:tcW w:w="232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625,244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20" w:type="dxa"/>
            <w:vAlign w:val="bottom"/>
            <w:gridSpan w:val="2"/>
          </w:tcPr>
          <w:p>
            <w:pPr>
              <w:jc w:val="center"/>
              <w:ind w:right="1440"/>
              <w:spacing w:after="0"/>
              <w:rPr>
                <w:sz w:val="20"/>
                <w:szCs w:val="20"/>
                <w:color w:val="auto"/>
              </w:rPr>
            </w:pPr>
            <w:r>
              <w:rPr>
                <w:rFonts w:ascii="Arial" w:cs="Arial" w:eastAsia="Arial" w:hAnsi="Arial"/>
                <w:sz w:val="18"/>
                <w:szCs w:val="18"/>
                <w:color w:val="auto"/>
                <w:w w:val="88"/>
              </w:rPr>
              <w:t>$27.00–$51.65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574,764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32.58</w:t>
            </w:r>
          </w:p>
        </w:tc>
        <w:tc>
          <w:tcPr>
            <w:tcW w:w="2320" w:type="dxa"/>
            <w:vAlign w:val="bottom"/>
            <w:gridSpan w:val="4"/>
          </w:tcPr>
          <w:p>
            <w:pPr>
              <w:jc w:val="right"/>
              <w:ind w:right="760"/>
              <w:spacing w:after="0"/>
              <w:rPr>
                <w:sz w:val="20"/>
                <w:szCs w:val="20"/>
                <w:color w:val="auto"/>
              </w:rPr>
            </w:pPr>
            <w:r>
              <w:rPr>
                <w:rFonts w:ascii="Arial" w:cs="Arial" w:eastAsia="Arial" w:hAnsi="Arial"/>
                <w:sz w:val="18"/>
                <w:szCs w:val="18"/>
                <w:color w:val="auto"/>
              </w:rPr>
              <w:t>221,252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1440"/>
              <w:spacing w:after="0"/>
              <w:rPr>
                <w:sz w:val="20"/>
                <w:szCs w:val="20"/>
                <w:color w:val="auto"/>
              </w:rPr>
            </w:pPr>
            <w:r>
              <w:rPr>
                <w:rFonts w:ascii="Arial" w:cs="Arial" w:eastAsia="Arial" w:hAnsi="Arial"/>
                <w:sz w:val="18"/>
                <w:szCs w:val="18"/>
                <w:color w:val="auto"/>
                <w:w w:val="88"/>
              </w:rPr>
              <w:t>$18.00–$51.65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1,231,341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27.34</w:t>
            </w:r>
          </w:p>
        </w:tc>
        <w:tc>
          <w:tcPr>
            <w:tcW w:w="232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846,496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-2102485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-2102485</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average remaining contractual life of options outstanding at December 31, 2004, 2003 and 2002 was 6.7 years, 6.3 years and 5.4 years,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per option for options granted in 2004, 2003 and 2002 was $6.13, $1.32 and $1.23, respectively.</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w:t>
      </w:r>
      <w:r>
        <w:rPr>
          <w:rFonts w:ascii="Arial" w:cs="Arial" w:eastAsia="Arial" w:hAnsi="Arial"/>
          <w:sz w:val="18"/>
          <w:szCs w:val="18"/>
          <w:color w:val="auto"/>
        </w:rPr>
        <w:t>. SAVINGS AND RETIREMENT PLANS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a savings and retirement plan in accordance with the provisions of Section 401(k) of the Internal Revenue Code. For employees who choose to contribute, their contributions range, at their discretion, from 1% to 20% of compensation up to a maximum of $11,000. Under the plan, we contribute out of our current net income, 50% of each employee’s first 5% of contributions. In addition, we may make discretionary contributions within the limits of deductibility set forth by the Code. Our employees are immediately eligible to become plan participants. Effective as of January 1, 2005 employees are eligible to receive matching contributions immediately on their participation, however, these matching payments will not vest until their first anniversary of employment. Our expense for the years ended December 31, 2004, 2003 and 2002 was $252,000, $237,000 and $239,000, respectively.</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nonqualified deferred compensation plan for our officers and certain other employees was established in 1994. The plan allows the participants to defer future income until the earlier of age 65 or termination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employment. As of December 31, 2004, we are liable to participants for approximately $3.9 million under this plan. Although this is an unfunded plan, we have purchased certain investments with which to match this obligation. Our obligation under this plan and the related investments are both included in the accompanying financial statements.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w:t>
      </w:r>
      <w:r>
        <w:rPr>
          <w:rFonts w:ascii="Arial" w:cs="Arial" w:eastAsia="Arial" w:hAnsi="Arial"/>
          <w:sz w:val="18"/>
          <w:szCs w:val="18"/>
          <w:color w:val="auto"/>
        </w:rPr>
        <w:t>. INTEREST EXPENSE</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incurred interest totaling $90.2 million, $88.7 million and $88.6 million in 2004, 2003 and 2002, respectively, of which $5.1 million, $13.5 million, and $23.5 million respectively, was capitalized. Interest paid was $69.8 million in 2004, $85.7 million in 2003 and $86.2 million in 2002.</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CHANGE IN BUSINESS PLAN</w:t>
      </w:r>
    </w:p>
    <w:p>
      <w:pPr>
        <w:spacing w:after="0" w:line="83"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In 2002, we adopted a new business plan which returned our primary focus to our traditional business of acquiring and redeveloping community and neighborhood shopping centers that are anchored by supermarkets, drug stores, or high volume, value oriented retailers that provide consumer necessities. Concurrent with the adoption of the business plan, we adopted a management succession plan and restructured our management team.</w:t>
      </w:r>
    </w:p>
    <w:p>
      <w:pPr>
        <w:spacing w:after="0" w:line="9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connection with this change in our business plan, we recorded a charge of $18.2 million in 2002. This charge included a restructuring charge of $8.5 million made up of $6.9 million of severance and other compensation costs for several of our senior officers related to the management restructuring, as well as the write-off of $1.6 million of our development costs. All charges against the reserve, totaling $8.5 million, were expended during 2002. An additional component of the restructuring charge was an impairment loss of $9.6 million representing the estimated loss on the abandonment of development projects held for sale, primarily the Tanasbourne development project located in Washington County, Oregon, thereby adjusting the value of these assets to their estimated fair value. The Tanasbourne land was sold in 2003 for approximately $9.7 million resulting in a gain of $1.9 million.</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 As a result of this restructuring, we recorded a charge of $13.8 million in the fourth quarter of 2002 for payments and benefits to Mr. Guttman pursuant to his contractual arrangements with the Trust and for other transition related costs, which we would not otherwise have incurred. Of this amount, $0.8 million had not been paid as of December 31, 2003 and $0.3 million remains to be expended as of December 31, 2004.</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15</w:t>
      </w:r>
      <w:r>
        <w:rPr>
          <w:rFonts w:ascii="Arial" w:cs="Arial" w:eastAsia="Arial" w:hAnsi="Arial"/>
          <w:sz w:val="18"/>
          <w:szCs w:val="18"/>
          <w:color w:val="auto"/>
        </w:rPr>
        <w:t>. SUBSEQUENT EVENTS</w:t>
      </w:r>
    </w:p>
    <w:p>
      <w:pPr>
        <w:spacing w:after="0" w:line="8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On March 2, 2005, we acquired Assembly Square, an approximately 330,000 square foot enclosed mall that is currently being redeveloped into a power center, and an adjacent 220,000 square foot retail/industrial complex for $64 million. The properties are located in the City of Somerville, Massachusetts. The acquisition was financed through available cash and borrowings under our revolving credit facility.</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Trust expects to invest an additional $38 million to complete the redevelopment of the mall into a power center, with stabilization anticipated within 12 months. The acquisition of Assembly Square also includes zoning entitlements to add four mixed-use buildings on 3.5 acres, which will include approximately 41,000 square feet of retail space, 51,000 square feet of office and 239 residential units.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10-acre parcel, which comprises approximately 220,000 square feet of improvements, is currently 100% leased to a mix of quasi-retail and industrial uses. This parcel also includes an option to purchase adjacent land parcels from the Somerville Redevelopment Authority, all of which are zoned for dense, mixed-use development.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16. </w:t>
      </w:r>
      <w:r>
        <w:rPr>
          <w:rFonts w:ascii="Arial" w:cs="Arial" w:eastAsia="Arial" w:hAnsi="Arial"/>
          <w:sz w:val="18"/>
          <w:szCs w:val="18"/>
          <w:color w:val="auto"/>
        </w:rPr>
        <w:t>SEGMENT INFORMATION</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 Based on changes in our property management structure in 2004, we determined that our portfolio should be divided into two operating regions (East and West), rather than three (Northeast, Mid-Atlantic and West as previously reported).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9"/>
          </w:tcPr>
          <w:p>
            <w:pPr>
              <w:ind w:left="20"/>
              <w:spacing w:after="0"/>
              <w:rPr>
                <w:sz w:val="20"/>
                <w:szCs w:val="20"/>
                <w:color w:val="auto"/>
              </w:rPr>
            </w:pPr>
            <w:r>
              <w:rPr>
                <w:rFonts w:ascii="Arial" w:cs="Arial" w:eastAsia="Arial" w:hAnsi="Arial"/>
                <w:sz w:val="14"/>
                <w:szCs w:val="14"/>
                <w:b w:val="1"/>
                <w:bCs w:val="1"/>
                <w:color w:val="auto"/>
              </w:rPr>
              <w:t>Year ended December 31, 2004</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East</w:t>
            </w:r>
          </w:p>
        </w:tc>
        <w:tc>
          <w:tcPr>
            <w:tcW w:w="120" w:type="dxa"/>
            <w:vAlign w:val="bottom"/>
          </w:tcPr>
          <w:p>
            <w:pPr>
              <w:spacing w:after="0"/>
              <w:rPr>
                <w:sz w:val="22"/>
                <w:szCs w:val="22"/>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West</w:t>
            </w:r>
          </w:p>
        </w:tc>
        <w:tc>
          <w:tcPr>
            <w:tcW w:w="12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2"/>
                <w:szCs w:val="22"/>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80,016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371,856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property income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9,003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Rental expenses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(61,109)</w:t>
            </w:r>
          </w:p>
        </w:tc>
        <w:tc>
          <w:tcPr>
            <w:tcW w:w="12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(30,505)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(31,930)</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54,224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264,364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(18,164)</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(63,191)</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(24,940)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(1,578)</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interest income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2"/>
              </w:rPr>
              <w:t>(85,058)</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(85,058)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w w:val="86"/>
              </w:rPr>
              <w:t>205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29,394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84"/>
              </w:rPr>
              <w:t>($104,595)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1,264,135</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$ 911,136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9"/>
          </w:tcPr>
          <w:p>
            <w:pPr>
              <w:ind w:left="20"/>
              <w:spacing w:after="0"/>
              <w:rPr>
                <w:sz w:val="20"/>
                <w:szCs w:val="20"/>
                <w:color w:val="auto"/>
              </w:rPr>
            </w:pPr>
            <w:r>
              <w:rPr>
                <w:rFonts w:ascii="Arial" w:cs="Arial" w:eastAsia="Arial" w:hAnsi="Arial"/>
                <w:sz w:val="14"/>
                <w:szCs w:val="14"/>
                <w:b w:val="1"/>
                <w:bCs w:val="1"/>
                <w:color w:val="auto"/>
              </w:rPr>
              <w:t>Year ended December 31, 2003</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4"/>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East</w:t>
            </w:r>
          </w:p>
        </w:tc>
        <w:tc>
          <w:tcPr>
            <w:tcW w:w="120" w:type="dxa"/>
            <w:vAlign w:val="bottom"/>
          </w:tcPr>
          <w:p>
            <w:pPr>
              <w:spacing w:after="0"/>
              <w:rPr>
                <w:sz w:val="22"/>
                <w:szCs w:val="22"/>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West</w:t>
            </w:r>
          </w:p>
        </w:tc>
        <w:tc>
          <w:tcPr>
            <w:tcW w:w="12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2"/>
                <w:szCs w:val="22"/>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gridSpan w:val="3"/>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64,087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property income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10,407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Rental expenses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(56,983)</w:t>
            </w:r>
          </w:p>
        </w:tc>
        <w:tc>
          <w:tcPr>
            <w:tcW w:w="12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(25,306)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(29,531)</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38,435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236,152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(11,820)</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(56,686)</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(16,772)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(74,468)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(75,232)</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21,990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w w:val="74"/>
              </w:rPr>
              <w:t>($</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88,062)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1,309,803</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$751,717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2,141,185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300" w:type="dxa"/>
            <w:vAlign w:val="bottom"/>
            <w:gridSpan w:val="2"/>
          </w:tcPr>
          <w:p>
            <w:pPr>
              <w:jc w:val="right"/>
              <w:ind w:right="1360"/>
              <w:spacing w:after="0"/>
              <w:rPr>
                <w:sz w:val="20"/>
                <w:szCs w:val="20"/>
                <w:color w:val="auto"/>
              </w:rPr>
            </w:pPr>
            <w:r>
              <w:rPr>
                <w:rFonts w:ascii="Arial" w:cs="Arial" w:eastAsia="Arial" w:hAnsi="Arial"/>
                <w:sz w:val="18"/>
                <w:szCs w:val="18"/>
                <w:color w:val="auto"/>
              </w:rPr>
              <w:t>F-27</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-3275965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-3275965</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-3275965</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-3275965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-3275965</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-3275965</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-3275965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-3275965</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-3275965</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-3275965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-3275965</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-3275965</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-463550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-463550</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-463550</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-463550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-463550</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-463550</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-463550</wp:posOffset>
            </wp:positionV>
            <wp:extent cx="49276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-463550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-463550</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-463550</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Year ended December 31, 2002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22"/>
                <w:szCs w:val="22"/>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West</w:t>
            </w:r>
          </w:p>
        </w:tc>
        <w:tc>
          <w:tcPr>
            <w:tcW w:w="140" w:type="dxa"/>
            <w:vAlign w:val="bottom"/>
          </w:tcPr>
          <w:p>
            <w:pPr>
              <w:spacing w:after="0"/>
              <w:rPr>
                <w:sz w:val="22"/>
                <w:szCs w:val="22"/>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property income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Rental expenses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(53,967)</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(17,800)</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(13,790)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(53,848)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interest income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(65,004)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Restructuring expense</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(22,269)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4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($101,874)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1,206,665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738,221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1,996,662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320" w:type="dxa"/>
            <w:vAlign w:val="bottom"/>
            <w:gridSpan w:val="5"/>
          </w:tcPr>
          <w:p>
            <w:pPr>
              <w:jc w:val="right"/>
              <w:ind w:right="800"/>
              <w:spacing w:after="0"/>
              <w:rPr>
                <w:sz w:val="20"/>
                <w:szCs w:val="20"/>
                <w:color w:val="auto"/>
              </w:rPr>
            </w:pPr>
            <w:r>
              <w:rPr>
                <w:rFonts w:ascii="Arial" w:cs="Arial" w:eastAsia="Arial" w:hAnsi="Arial"/>
                <w:sz w:val="18"/>
                <w:szCs w:val="18"/>
                <w:color w:val="auto"/>
              </w:rPr>
              <w:t>There are no transactions between geographic areas.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300" w:type="dxa"/>
            <w:vAlign w:val="bottom"/>
            <w:gridSpan w:val="2"/>
          </w:tcPr>
          <w:p>
            <w:pPr>
              <w:jc w:val="right"/>
              <w:ind w:right="1360"/>
              <w:spacing w:after="0"/>
              <w:rPr>
                <w:sz w:val="20"/>
                <w:szCs w:val="20"/>
                <w:color w:val="auto"/>
              </w:rPr>
            </w:pPr>
            <w:r>
              <w:rPr>
                <w:rFonts w:ascii="Arial" w:cs="Arial" w:eastAsia="Arial" w:hAnsi="Arial"/>
                <w:sz w:val="18"/>
                <w:szCs w:val="18"/>
                <w:color w:val="auto"/>
              </w:rPr>
              <w:t>F-28</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-694690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-694690</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-694690</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-694690</wp:posOffset>
            </wp:positionV>
            <wp:extent cx="45847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-694690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-694690</wp:posOffset>
            </wp:positionV>
            <wp:extent cx="215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-694690</wp:posOffset>
            </wp:positionV>
            <wp:extent cx="3873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-694690</wp:posOffset>
            </wp:positionV>
            <wp:extent cx="53594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17</w:t>
      </w:r>
      <w:r>
        <w:rPr>
          <w:rFonts w:ascii="Arial" w:cs="Arial" w:eastAsia="Arial" w:hAnsi="Arial"/>
          <w:sz w:val="18"/>
          <w:szCs w:val="18"/>
          <w:color w:val="auto"/>
        </w:rPr>
        <w:t>. QUARTERLY DATA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summary represents the results of operations for each quarter in 2004 and 2003: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First</w:t>
            </w:r>
          </w:p>
        </w:tc>
        <w:tc>
          <w:tcPr>
            <w:tcW w:w="3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Second</w:t>
            </w:r>
          </w:p>
        </w:tc>
        <w:tc>
          <w:tcPr>
            <w:tcW w:w="34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Fourth</w:t>
            </w:r>
          </w:p>
        </w:tc>
      </w:tr>
      <w:tr>
        <w:trPr>
          <w:trHeight w:val="174"/>
        </w:trPr>
        <w:tc>
          <w:tcPr>
            <w:tcW w:w="808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3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34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Quarter</w:t>
            </w:r>
          </w:p>
        </w:tc>
        <w:tc>
          <w:tcPr>
            <w:tcW w:w="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Quarter</w:t>
            </w:r>
          </w:p>
        </w:tc>
      </w:tr>
      <w:tr>
        <w:trPr>
          <w:trHeight w:val="95"/>
        </w:trPr>
        <w:tc>
          <w:tcPr>
            <w:tcW w:w="8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8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gridSpan w:val="5"/>
          </w:tcPr>
          <w:p>
            <w:pPr>
              <w:spacing w:after="0"/>
              <w:rPr>
                <w:sz w:val="20"/>
                <w:szCs w:val="20"/>
                <w:color w:val="auto"/>
              </w:rPr>
            </w:pPr>
            <w:r>
              <w:rPr>
                <w:rFonts w:ascii="Arial" w:cs="Arial" w:eastAsia="Arial" w:hAnsi="Arial"/>
                <w:sz w:val="14"/>
                <w:szCs w:val="14"/>
                <w:b w:val="1"/>
                <w:bCs w:val="1"/>
                <w:color w:val="auto"/>
                <w:w w:val="85"/>
              </w:rPr>
              <w:t>(In thousands, except per share data)</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Rental income (1)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$89,861</w:t>
            </w:r>
          </w:p>
        </w:tc>
        <w:tc>
          <w:tcPr>
            <w:tcW w:w="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$93,505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$93,942</w:t>
            </w: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$94,548</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18,660</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21,918</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Net income available for common shareholders</w:t>
            </w:r>
          </w:p>
        </w:tc>
        <w:tc>
          <w:tcPr>
            <w:tcW w:w="580" w:type="dxa"/>
            <w:vAlign w:val="bottom"/>
          </w:tcPr>
          <w:p>
            <w:pPr>
              <w:jc w:val="right"/>
              <w:spacing w:after="0"/>
              <w:rPr>
                <w:sz w:val="20"/>
                <w:szCs w:val="20"/>
                <w:color w:val="auto"/>
              </w:rPr>
            </w:pPr>
            <w:r>
              <w:rPr>
                <w:rFonts w:ascii="Arial" w:cs="Arial" w:eastAsia="Arial" w:hAnsi="Arial"/>
                <w:sz w:val="18"/>
                <w:szCs w:val="18"/>
                <w:color w:val="auto"/>
              </w:rPr>
              <w:t>14,377</w:t>
            </w:r>
          </w:p>
        </w:tc>
        <w:tc>
          <w:tcPr>
            <w:tcW w:w="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23,463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15,791</w:t>
            </w: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19,049</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Earnings per common share—diluted</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0.36</w:t>
            </w:r>
          </w:p>
        </w:tc>
      </w:tr>
      <w:tr>
        <w:trPr>
          <w:trHeight w:val="278"/>
        </w:trPr>
        <w:tc>
          <w:tcPr>
            <w:tcW w:w="808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First</w:t>
            </w: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Second</w:t>
            </w:r>
          </w:p>
        </w:tc>
        <w:tc>
          <w:tcPr>
            <w:tcW w:w="340" w:type="dxa"/>
            <w:vAlign w:val="bottom"/>
          </w:tcPr>
          <w:p>
            <w:pPr>
              <w:spacing w:after="0"/>
              <w:rPr>
                <w:sz w:val="24"/>
                <w:szCs w:val="2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Fourth</w:t>
            </w:r>
          </w:p>
        </w:tc>
      </w:tr>
      <w:tr>
        <w:trPr>
          <w:trHeight w:val="174"/>
        </w:trPr>
        <w:tc>
          <w:tcPr>
            <w:tcW w:w="808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3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34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Quarter</w:t>
            </w:r>
          </w:p>
        </w:tc>
        <w:tc>
          <w:tcPr>
            <w:tcW w:w="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Quarter</w:t>
            </w:r>
          </w:p>
        </w:tc>
      </w:tr>
      <w:tr>
        <w:trPr>
          <w:trHeight w:val="95"/>
        </w:trPr>
        <w:tc>
          <w:tcPr>
            <w:tcW w:w="8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8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gridSpan w:val="5"/>
          </w:tcPr>
          <w:p>
            <w:pPr>
              <w:spacing w:after="0"/>
              <w:rPr>
                <w:sz w:val="20"/>
                <w:szCs w:val="20"/>
                <w:color w:val="auto"/>
              </w:rPr>
            </w:pPr>
            <w:r>
              <w:rPr>
                <w:rFonts w:ascii="Arial" w:cs="Arial" w:eastAsia="Arial" w:hAnsi="Arial"/>
                <w:sz w:val="14"/>
                <w:szCs w:val="14"/>
                <w:b w:val="1"/>
                <w:bCs w:val="1"/>
                <w:color w:val="auto"/>
                <w:w w:val="85"/>
              </w:rPr>
              <w:t>(In thousands, except per share data)</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Rental income (1)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$80,026</w:t>
            </w:r>
          </w:p>
        </w:tc>
        <w:tc>
          <w:tcPr>
            <w:tcW w:w="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$80,601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$82,027</w:t>
            </w: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$95,402</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24,595</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35,400</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Net income available for common shareholders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11,520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21,726</w:t>
            </w: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32,531</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Earnings per common share—diluted</w:t>
            </w: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40" w:right="200" w:hanging="432"/>
        <w:spacing w:after="0" w:line="268" w:lineRule="auto"/>
        <w:tabs>
          <w:tab w:leader="none" w:pos="3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required by SFAS No. 144, revenue has been reduced to reflect the results of discontinued operations. Total revenue from these discontinued assets, by quarter, is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Second</w:t>
            </w:r>
          </w:p>
        </w:tc>
        <w:tc>
          <w:tcPr>
            <w:tcW w:w="34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rPr>
              <w:t>Fourth</w:t>
            </w:r>
          </w:p>
        </w:tc>
      </w:tr>
      <w:tr>
        <w:trPr>
          <w:trHeight w:val="174"/>
        </w:trPr>
        <w:tc>
          <w:tcPr>
            <w:tcW w:w="43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Quarter</w:t>
            </w:r>
          </w:p>
        </w:tc>
      </w:tr>
      <w:tr>
        <w:trPr>
          <w:trHeight w:val="95"/>
        </w:trPr>
        <w:tc>
          <w:tcPr>
            <w:tcW w:w="43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43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2004 revenue from discontinued operations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2003 revenue from discontinued operations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1,637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1,788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1,680</w:t>
            </w:r>
          </w:p>
        </w:tc>
      </w:tr>
      <w:tr>
        <w:trPr>
          <w:trHeight w:val="356"/>
        </w:trPr>
        <w:tc>
          <w:tcPr>
            <w:tcW w:w="4300" w:type="dxa"/>
            <w:vAlign w:val="bottom"/>
          </w:tcPr>
          <w:p>
            <w:pPr>
              <w:spacing w:after="0"/>
              <w:rPr>
                <w:sz w:val="24"/>
                <w:szCs w:val="24"/>
                <w:color w:val="auto"/>
              </w:rPr>
            </w:pPr>
          </w:p>
        </w:tc>
        <w:tc>
          <w:tcPr>
            <w:tcW w:w="4360" w:type="dxa"/>
            <w:vAlign w:val="bottom"/>
            <w:gridSpan w:val="2"/>
          </w:tcPr>
          <w:p>
            <w:pPr>
              <w:jc w:val="right"/>
              <w:ind w:right="2712"/>
              <w:spacing w:after="0"/>
              <w:rPr>
                <w:sz w:val="20"/>
                <w:szCs w:val="20"/>
                <w:color w:val="auto"/>
              </w:rPr>
            </w:pPr>
            <w:r>
              <w:rPr>
                <w:rFonts w:ascii="Arial" w:cs="Arial" w:eastAsia="Arial" w:hAnsi="Arial"/>
                <w:sz w:val="18"/>
                <w:szCs w:val="18"/>
                <w:color w:val="auto"/>
              </w:rPr>
              <w:t>F-29</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2004</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COLUMN A</w:t>
            </w:r>
          </w:p>
        </w:tc>
        <w:tc>
          <w:tcPr>
            <w:tcW w:w="3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COLUMN B</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COLUMN C</w:t>
            </w:r>
          </w:p>
        </w:tc>
        <w:tc>
          <w:tcPr>
            <w:tcW w:w="4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COLUMN 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COLUMN 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COLUMN F</w:t>
            </w:r>
          </w:p>
        </w:tc>
        <w:tc>
          <w:tcPr>
            <w:tcW w:w="40" w:type="dxa"/>
            <w:vAlign w:val="bottom"/>
          </w:tcPr>
          <w:p>
            <w:pPr>
              <w:spacing w:after="0"/>
              <w:rPr>
                <w:sz w:val="15"/>
                <w:szCs w:val="15"/>
                <w:color w:val="auto"/>
              </w:rPr>
            </w:pP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rPr>
              <w:t>COLUMN G COLUMN H COLUMN 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3"/>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89"/>
              </w:rPr>
              <w:t>Initial cost to company</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40" w:type="dxa"/>
            <w:vAlign w:val="bottom"/>
            <w:gridSpan w:val="9"/>
          </w:tcPr>
          <w:p>
            <w:pPr>
              <w:jc w:val="center"/>
              <w:spacing w:after="0"/>
              <w:rPr>
                <w:sz w:val="20"/>
                <w:szCs w:val="20"/>
                <w:color w:val="auto"/>
              </w:rPr>
            </w:pPr>
            <w:r>
              <w:rPr>
                <w:rFonts w:ascii="Arial" w:cs="Arial" w:eastAsia="Arial" w:hAnsi="Arial"/>
                <w:sz w:val="14"/>
                <w:szCs w:val="14"/>
                <w:b w:val="1"/>
                <w:bCs w:val="1"/>
                <w:color w:val="auto"/>
                <w:w w:val="86"/>
              </w:rPr>
              <w:t>Gross amount at which carried at close of period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Life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Capitalized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9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Subsequent to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Date of</w:t>
            </w:r>
          </w:p>
        </w:tc>
        <w:tc>
          <w:tcPr>
            <w:tcW w:w="4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Descriptions</w:t>
            </w: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Encumbrance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Improvements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Acquisition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ind w:left="120"/>
              <w:spacing w:after="0"/>
              <w:rPr>
                <w:sz w:val="20"/>
                <w:szCs w:val="20"/>
                <w:color w:val="auto"/>
              </w:rPr>
            </w:pPr>
            <w:r>
              <w:rPr>
                <w:rFonts w:ascii="Arial" w:cs="Arial" w:eastAsia="Arial" w:hAnsi="Arial"/>
                <w:sz w:val="14"/>
                <w:szCs w:val="14"/>
                <w:b w:val="1"/>
                <w:bCs w:val="1"/>
                <w:color w:val="auto"/>
              </w:rPr>
              <w:t>Land</w:t>
            </w:r>
          </w:p>
        </w:tc>
        <w:tc>
          <w:tcPr>
            <w:tcW w:w="96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Improvements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and Amortization Construction</w:t>
            </w:r>
          </w:p>
        </w:tc>
        <w:tc>
          <w:tcPr>
            <w:tcW w:w="4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Acquired</w:t>
            </w:r>
          </w:p>
        </w:tc>
        <w:tc>
          <w:tcPr>
            <w:tcW w:w="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2"/>
              </w:rPr>
              <w:t>is computed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ALLWOOD (New</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Jersey)</w:t>
            </w: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NJ $</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3,489,000</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6"/>
              </w:rPr>
              <w:t>$3,920,000</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377,289</w:t>
            </w:r>
          </w:p>
        </w:tc>
        <w:tc>
          <w:tcPr>
            <w:tcW w:w="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ind w:left="480"/>
              <w:spacing w:after="0" w:line="159" w:lineRule="exact"/>
              <w:rPr>
                <w:sz w:val="20"/>
                <w:szCs w:val="20"/>
                <w:color w:val="auto"/>
              </w:rPr>
            </w:pPr>
            <w:r>
              <w:rPr>
                <w:rFonts w:ascii="Arial" w:cs="Arial" w:eastAsia="Arial" w:hAnsi="Arial"/>
                <w:sz w:val="14"/>
                <w:szCs w:val="14"/>
                <w:color w:val="auto"/>
              </w:rPr>
              <w:t>—  $</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4,297,289</w:t>
            </w:r>
          </w:p>
        </w:tc>
        <w:tc>
          <w:tcPr>
            <w:tcW w:w="2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4,297,289</w:t>
            </w:r>
          </w:p>
        </w:tc>
        <w:tc>
          <w:tcPr>
            <w:tcW w:w="1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2,076,866</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1958</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12/12/88</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ANDORRA</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(Pennsylvania)</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PA</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2,432,000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12,346,000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7,636,450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2,432,107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19,982,450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22,414,557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8,850,640</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1953</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01/12/88</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ARIZONA</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BUILDINGS (2)</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AZ</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1,334,000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9,104,000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612,960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1,346,419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9,716,960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11,063,379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1,894,046</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1995-1998</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05/07/98</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BALA CYNWYD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(Pennsylvania)</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PA</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3,565,000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14,466,000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7,083,818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3,565,500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21,549,318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25,114,818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7,279,940</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1955</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09/22/93</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BARRACKS ROAD</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(Virginia)</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VA</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43,727,000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4,363,000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16,459,000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19,399,243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4,362,713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35,858,243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40,220,956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23,299,374</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1958</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12/31/85</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BETHESDA ROW</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(Maryland)</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MD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12,576,000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9,114,000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20,821,000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53,098,800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7,415,873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73,906,800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81,322,673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15,361,609</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1945-2000</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12/31/93</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4"/>
              </w:rPr>
              <w:t>35-50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BLUESTAR (New</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Jersey)</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NJ</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26,626,000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29,922,000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9,933,366</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39,855,366</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39,855,366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18,101,835</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1959</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12/12/88</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BRICK PLAZA (New</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Jersey)</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NJ</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32,533,000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24,715,000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30,557,235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3,788,189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51,484,235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55,272,424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22,762,776</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1958</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12/28/89</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91"/>
              </w:rPr>
              <w:t>BRISTOL (Connecticut)</w:t>
            </w:r>
          </w:p>
        </w:tc>
        <w:tc>
          <w:tcPr>
            <w:tcW w:w="4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CT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3,856,000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15,959,000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2,339,280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3,856,302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18,298,280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22,154,582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5,564,187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9/22/95</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BRUNSWICK (New</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Jersey)</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NJ</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11,084,000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12,456,000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11,214,342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ind w:left="480"/>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23,670,342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23,670,342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9,184,064</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1957</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12/12/88</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7"/>
              </w:rPr>
              <w:t>CALIFORNIA RETAIL</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BUILDINGS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ind w:left="200"/>
              <w:spacing w:after="0" w:line="138" w:lineRule="exact"/>
              <w:rPr>
                <w:sz w:val="20"/>
                <w:szCs w:val="20"/>
                <w:color w:val="auto"/>
              </w:rPr>
            </w:pPr>
            <w:r>
              <w:rPr>
                <w:rFonts w:ascii="Arial" w:cs="Arial" w:eastAsia="Arial" w:hAnsi="Arial"/>
                <w:sz w:val="14"/>
                <w:szCs w:val="14"/>
                <w:color w:val="auto"/>
              </w:rPr>
              <w:t>SANTA</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MONICA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60" w:type="dxa"/>
            <w:vAlign w:val="bottom"/>
            <w:gridSpan w:val="4"/>
          </w:tcPr>
          <w:p>
            <w:pPr>
              <w:ind w:left="660"/>
              <w:spacing w:after="0" w:line="15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CA</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22,645,000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12,709,000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38,312,434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22,644,437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51,021,434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73,665,871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10,222,403</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1888-2000</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1996-2000</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SAN DIEGO (4)</w:t>
            </w:r>
          </w:p>
        </w:tc>
        <w:tc>
          <w:tcPr>
            <w:tcW w:w="4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CA</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3,844,000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1,352,000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7,150,523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3,843,617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8,502,523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12,346,140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1,516,738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1888-1995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1996-1997</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ind w:left="200"/>
              <w:spacing w:after="0" w:line="138" w:lineRule="exact"/>
              <w:rPr>
                <w:sz w:val="20"/>
                <w:szCs w:val="20"/>
                <w:color w:val="auto"/>
              </w:rPr>
            </w:pPr>
            <w:r>
              <w:rPr>
                <w:rFonts w:ascii="Arial" w:cs="Arial" w:eastAsia="Arial" w:hAnsi="Arial"/>
                <w:sz w:val="14"/>
                <w:szCs w:val="14"/>
                <w:color w:val="auto"/>
              </w:rPr>
              <w:t>150 POST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STREET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(San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3"/>
          </w:tcPr>
          <w:p>
            <w:pPr>
              <w:ind w:left="420"/>
              <w:spacing w:after="0" w:line="159" w:lineRule="exact"/>
              <w:rPr>
                <w:sz w:val="20"/>
                <w:szCs w:val="20"/>
                <w:color w:val="auto"/>
              </w:rPr>
            </w:pPr>
            <w:r>
              <w:rPr>
                <w:rFonts w:ascii="Arial" w:cs="Arial" w:eastAsia="Arial" w:hAnsi="Arial"/>
                <w:sz w:val="14"/>
                <w:szCs w:val="14"/>
                <w:color w:val="auto"/>
              </w:rPr>
              <w:t>Francisco)</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CA</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11,685,000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9,181,000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12,546,359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11,685,000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21,727,359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33,412,359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4,305,424</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1908</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10/23/97</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(5)</w:t>
            </w:r>
          </w:p>
        </w:tc>
        <w:tc>
          <w:tcPr>
            <w:tcW w:w="4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CA</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19,496,000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25,752,000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7,244,742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14,678,024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32,996,742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47,674,766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4,852,197</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var</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1996-1999</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5"/>
          </w:tcPr>
          <w:p>
            <w:pPr>
              <w:spacing w:after="0" w:line="149" w:lineRule="exact"/>
              <w:rPr>
                <w:sz w:val="20"/>
                <w:szCs w:val="20"/>
                <w:color w:val="auto"/>
              </w:rPr>
            </w:pPr>
            <w:r>
              <w:rPr>
                <w:rFonts w:ascii="Arial" w:cs="Arial" w:eastAsia="Arial" w:hAnsi="Arial"/>
                <w:sz w:val="14"/>
                <w:szCs w:val="14"/>
                <w:color w:val="auto"/>
                <w:w w:val="91"/>
              </w:rPr>
              <w:t>CLIFTON (New Jersey)</w:t>
            </w:r>
          </w:p>
        </w:tc>
        <w:tc>
          <w:tcPr>
            <w:tcW w:w="4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NJ</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3,244,000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3,646,000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1,403,646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5,049,646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5,049,646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2,510,233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12/12/88</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CONGRESSIONAL</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w w:val="98"/>
              </w:rPr>
              <w:t>PLAZA (Maryland)</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MD</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2,793,000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7,424,000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57,952,315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1,019,875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65,376,315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66,396,190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26,286,633</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1965</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04/01/65</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CONNECTICUT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RETAIL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BUILDINGS (2)</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CT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8,064,000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6,866,000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1,066,723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8,063,958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7,932,723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15,996,681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2,087,788</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1900-1991</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1994-1996</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COURTHOUSE</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CENTER</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(Maryland)</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MD</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1,750,000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1,869,000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3,968,195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1,750,000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5,837,195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7,587,195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613,852</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1975</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12/17/97</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CROSSROADS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(Illinois)</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IL</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4,635,000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11,611,000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6,039,438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4,634,570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17,650,438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22,285,008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6,662,764</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1959</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07/19/93</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DEDHAM PLAZA</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(Massachusetts)</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MA</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12,369,000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12,918,000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4,439,869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12,368,893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17,357,869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29,726,762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6,216,680</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1959</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12/31/93</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EASTGATE (North</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Carolina)</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NC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1,608,000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5,775,000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9,331,309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1,607,610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15,106,309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16,713,919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7,499,792</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1963</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12/18/86</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ELLISBURG CIRCLE</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(New Jersey)</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NJ</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4,028,000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11,309,000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13,584,964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4,012,782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24,893,964</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28,906,746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11,923,920</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1959</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10/16/92</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ESCONDIDO</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PROMENADE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(California)</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CA</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11,505,000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12,147,000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1,442,315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11,504,980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13,589,315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25,094,295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3,247,678</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1987</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12/31/96</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FALLS PLAZA</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 xml:space="preserve">22 </w:t>
            </w:r>
            <w:r>
              <w:rPr>
                <w:rFonts w:ascii="Arial" w:cs="Arial" w:eastAsia="Arial" w:hAnsi="Arial"/>
                <w:sz w:val="22"/>
                <w:szCs w:val="22"/>
                <w:color w:val="auto"/>
                <w:w w:val="90"/>
                <w:vertAlign w:val="superscript"/>
              </w:rPr>
              <w:t>3</w:t>
            </w:r>
            <w:r>
              <w:rPr>
                <w:rFonts w:ascii="Arial" w:cs="Arial" w:eastAsia="Arial" w:hAnsi="Arial"/>
                <w:sz w:val="14"/>
                <w:szCs w:val="14"/>
                <w:color w:val="auto"/>
                <w:w w:val="90"/>
              </w:rPr>
              <w:t>/4 years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(Virginia)</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VA</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1,260,000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735,000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6,152,665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1,260,216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6,887,665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8,147,881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2,718,124</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1962</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09/30/67</w:t>
            </w:r>
          </w:p>
        </w:tc>
        <w:tc>
          <w:tcPr>
            <w:tcW w:w="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FALLS PLAZA—East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(Virginia)</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VA</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538,000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535,000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2,282,617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559,252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2,796,365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3,355,617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2,691,814</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1960</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10/05/72</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FEASTERVILLE</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(Pennsylvania)</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PA</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1,431,000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1,600,000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8,628,665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1,430,781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10,228,665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11,659,446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5,786,844</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1958</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07/23/80</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FEDERAL PLAZA</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(Maryland)</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MD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35,127,000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10,216,000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17,895,000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33,981,202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10,216,206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51,876,202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62,092,408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21,502,991</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1970</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06/29/89</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FINLEY SQUARE</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(Illinois)</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IL</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9,252,000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9,544,000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10,089,786</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9,251,776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19,633,786</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28,885,562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6,812,403</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1974</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04/27/95</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FLORIDA RETAIL</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BUILDINGS (2)</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FL</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5,206,000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1,631,000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332,406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5,206,073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1,963,406</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7,169,479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433,399</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1920</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02/28/96</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FLOURTOWN</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(Pennsylvania)</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PA</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1,345,000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3,943,000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3,874,162</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1,345,075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7,817,162</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9,162,237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4,425,544</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1957</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04/25/80</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FRESH MEADOWS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(New York)</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NY</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24,625,000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25,255,000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15,301,526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24,626,889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40,556,526</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65,183,415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9,725,433</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1946-1949</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12/05/97</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FRIENDSHIP CTR</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(District of</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Columbia)</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DC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12,696,000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20,803,000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(190,317)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12,696,367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20,612,683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33,309,050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1,975,855</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1998</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09/21/01</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GAITHERSBURG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SQUARE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(Maryland)</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MD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7,701,000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5,271,000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10,984,565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6,012,077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17,944,488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23,956,565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8,363,055</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1966</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04/22/93</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GARDEN MARKET</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(Illinois)</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IL</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2,677,000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4,829,000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3,657,825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2,677,200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8,486,825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11,164,025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2,576,744</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1958</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07/28/94</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GOVERNOR PLAZA</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(Maryland)</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MD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2,068,000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4,905,000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11,939,862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2,068,227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16,844,862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18,913,089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10,365,146</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1963</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10/01/85</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GRATIOT PLAZA</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 xml:space="preserve">25 </w:t>
            </w:r>
            <w:r>
              <w:rPr>
                <w:rFonts w:ascii="Arial" w:cs="Arial" w:eastAsia="Arial" w:hAnsi="Arial"/>
                <w:sz w:val="22"/>
                <w:szCs w:val="22"/>
                <w:color w:val="auto"/>
                <w:w w:val="90"/>
                <w:vertAlign w:val="superscript"/>
              </w:rPr>
              <w:t>3</w:t>
            </w:r>
            <w:r>
              <w:rPr>
                <w:rFonts w:ascii="Arial" w:cs="Arial" w:eastAsia="Arial" w:hAnsi="Arial"/>
                <w:sz w:val="14"/>
                <w:szCs w:val="14"/>
                <w:color w:val="auto"/>
                <w:w w:val="90"/>
              </w:rPr>
              <w:t>/4 years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(Michigan)</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MI</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525,000</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1,601,000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15,889,487</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525,316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17,490,487</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18,015,803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6,500,900</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1964</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03/29/73</w:t>
            </w:r>
          </w:p>
        </w:tc>
        <w:tc>
          <w:tcPr>
            <w:tcW w:w="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GREENLAWN (New</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York)</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NY</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2,294,000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3,864,000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5,808,859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2,294,400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9,672,859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11,967,259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1,657,879</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1975</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01/05/00</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HAMILTON (New</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Jersey)</w:t>
            </w:r>
          </w:p>
        </w:tc>
        <w:tc>
          <w:tcPr>
            <w:tcW w:w="42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NJ</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4,809,000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5,405,000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2,989,984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8,394,984</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8,394,984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4,560,611</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1961</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12/12/88</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gridSpan w:val="5"/>
          </w:tcPr>
          <w:p>
            <w:pPr>
              <w:spacing w:after="0" w:line="138" w:lineRule="exact"/>
              <w:rPr>
                <w:sz w:val="20"/>
                <w:szCs w:val="20"/>
                <w:color w:val="auto"/>
              </w:rPr>
            </w:pPr>
            <w:r>
              <w:rPr>
                <w:rFonts w:ascii="Arial" w:cs="Arial" w:eastAsia="Arial" w:hAnsi="Arial"/>
                <w:sz w:val="14"/>
                <w:szCs w:val="14"/>
                <w:color w:val="auto"/>
              </w:rPr>
              <w:t>HAUPPAUGE (New</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York)</w:t>
            </w:r>
          </w:p>
        </w:tc>
        <w:tc>
          <w:tcPr>
            <w:tcW w:w="4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NY</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16,484,000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8,791,000</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15,262,000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2,549,154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8,791,315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17,811,154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26,602,469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3,308,873</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1963</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08/06/98</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6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HUNTINGTON (New</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4"/>
                <w:szCs w:val="14"/>
                <w:color w:val="auto"/>
              </w:rPr>
              <w:t>NY</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14,244,000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16,008,000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6,675,038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22,683,038</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22,683,038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11,801,798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12/12/88</w:t>
            </w: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ectPr>
          <w:pgSz w:w="11900" w:h="16900" w:orient="portrait"/>
          <w:cols w:equalWidth="0" w:num="1">
            <w:col w:w="11360"/>
          </w:cols>
          <w:pgMar w:left="240" w:top="459" w:right="299" w:bottom="0" w:gutter="0" w:footer="0" w:header="0"/>
        </w:sectPr>
      </w:pPr>
    </w:p>
    <w:bookmarkStart w:id="75" w:name="page76"/>
    <w:bookmarkEnd w:id="75"/>
    <w:p>
      <w:pPr>
        <w:ind w:left="220"/>
        <w:spacing w:after="0"/>
        <w:rPr>
          <w:sz w:val="20"/>
          <w:szCs w:val="20"/>
          <w:color w:val="auto"/>
        </w:rPr>
      </w:pPr>
      <w:r>
        <w:rPr>
          <w:rFonts w:ascii="Arial" w:cs="Arial" w:eastAsia="Arial" w:hAnsi="Arial"/>
          <w:sz w:val="14"/>
          <w:szCs w:val="14"/>
          <w:color w:val="auto"/>
        </w:rPr>
        <w:t>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9150" cy="946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6915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7"/>
        </w:trPr>
        <w:tc>
          <w:tcPr>
            <w:tcW w:w="1340" w:type="dxa"/>
            <w:vAlign w:val="bottom"/>
          </w:tcPr>
          <w:p>
            <w:pPr>
              <w:spacing w:after="0" w:line="137" w:lineRule="exact"/>
              <w:rPr>
                <w:sz w:val="20"/>
                <w:szCs w:val="20"/>
                <w:color w:val="auto"/>
              </w:rPr>
            </w:pPr>
            <w:r>
              <w:rPr>
                <w:rFonts w:ascii="Arial" w:cs="Arial" w:eastAsia="Arial" w:hAnsi="Arial"/>
                <w:sz w:val="14"/>
                <w:szCs w:val="14"/>
                <w:color w:val="auto"/>
              </w:rPr>
              <w:t>IDYLWOOD PLAZA</w:t>
            </w:r>
          </w:p>
        </w:tc>
        <w:tc>
          <w:tcPr>
            <w:tcW w:w="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2"/>
        </w:trPr>
        <w:tc>
          <w:tcPr>
            <w:tcW w:w="1340" w:type="dxa"/>
            <w:vAlign w:val="bottom"/>
          </w:tcPr>
          <w:p>
            <w:pPr>
              <w:ind w:left="220"/>
              <w:spacing w:after="0"/>
              <w:rPr>
                <w:sz w:val="20"/>
                <w:szCs w:val="20"/>
                <w:color w:val="auto"/>
              </w:rPr>
            </w:pPr>
            <w:r>
              <w:rPr>
                <w:rFonts w:ascii="Arial" w:cs="Arial" w:eastAsia="Arial" w:hAnsi="Arial"/>
                <w:sz w:val="14"/>
                <w:szCs w:val="14"/>
                <w:color w:val="auto"/>
              </w:rPr>
              <w:t>(Virginia)</w:t>
            </w:r>
          </w:p>
        </w:tc>
        <w:tc>
          <w:tcPr>
            <w:tcW w:w="620" w:type="dxa"/>
            <w:vAlign w:val="bottom"/>
          </w:tcPr>
          <w:p>
            <w:pPr>
              <w:ind w:left="120"/>
              <w:spacing w:after="0"/>
              <w:rPr>
                <w:sz w:val="20"/>
                <w:szCs w:val="20"/>
                <w:color w:val="auto"/>
              </w:rPr>
            </w:pPr>
            <w:r>
              <w:rPr>
                <w:rFonts w:ascii="Arial" w:cs="Arial" w:eastAsia="Arial" w:hAnsi="Arial"/>
                <w:sz w:val="14"/>
                <w:szCs w:val="14"/>
                <w:color w:val="auto"/>
              </w:rPr>
              <w:t>VA</w:t>
            </w:r>
          </w:p>
        </w:tc>
        <w:tc>
          <w:tcPr>
            <w:tcW w:w="1380" w:type="dxa"/>
            <w:vAlign w:val="bottom"/>
          </w:tcPr>
          <w:p>
            <w:pPr>
              <w:ind w:left="320"/>
              <w:spacing w:after="0"/>
              <w:rPr>
                <w:sz w:val="20"/>
                <w:szCs w:val="20"/>
                <w:color w:val="auto"/>
              </w:rPr>
            </w:pPr>
            <w:r>
              <w:rPr>
                <w:rFonts w:ascii="Arial" w:cs="Arial" w:eastAsia="Arial" w:hAnsi="Arial"/>
                <w:sz w:val="14"/>
                <w:szCs w:val="14"/>
                <w:color w:val="auto"/>
                <w:w w:val="86"/>
              </w:rPr>
              <w:t>—4,308,000</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10,026,000</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691,487</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4,307,775</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10,717,487</w:t>
            </w:r>
          </w:p>
        </w:tc>
        <w:tc>
          <w:tcPr>
            <w:tcW w:w="1020" w:type="dxa"/>
            <w:vAlign w:val="bottom"/>
          </w:tcPr>
          <w:p>
            <w:pPr>
              <w:jc w:val="right"/>
              <w:ind w:right="192"/>
              <w:spacing w:after="0"/>
              <w:rPr>
                <w:sz w:val="20"/>
                <w:szCs w:val="20"/>
                <w:color w:val="auto"/>
              </w:rPr>
            </w:pPr>
            <w:r>
              <w:rPr>
                <w:rFonts w:ascii="Arial" w:cs="Arial" w:eastAsia="Arial" w:hAnsi="Arial"/>
                <w:sz w:val="14"/>
                <w:szCs w:val="14"/>
                <w:color w:val="auto"/>
              </w:rPr>
              <w:t>15,025,262</w:t>
            </w:r>
          </w:p>
        </w:tc>
        <w:tc>
          <w:tcPr>
            <w:tcW w:w="1080" w:type="dxa"/>
            <w:vAlign w:val="bottom"/>
          </w:tcPr>
          <w:p>
            <w:pPr>
              <w:jc w:val="right"/>
              <w:ind w:right="212"/>
              <w:spacing w:after="0"/>
              <w:rPr>
                <w:sz w:val="20"/>
                <w:szCs w:val="20"/>
                <w:color w:val="auto"/>
              </w:rPr>
            </w:pPr>
            <w:r>
              <w:rPr>
                <w:rFonts w:ascii="Arial" w:cs="Arial" w:eastAsia="Arial" w:hAnsi="Arial"/>
                <w:sz w:val="14"/>
                <w:szCs w:val="14"/>
                <w:color w:val="auto"/>
              </w:rPr>
              <w:t>3,415,973</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1991</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04/15/94</w:t>
            </w:r>
          </w:p>
        </w:tc>
        <w:tc>
          <w:tcPr>
            <w:tcW w:w="620" w:type="dxa"/>
            <w:vAlign w:val="bottom"/>
          </w:tcPr>
          <w:p>
            <w:pPr>
              <w:ind w:left="160"/>
              <w:spacing w:after="0"/>
              <w:rPr>
                <w:sz w:val="20"/>
                <w:szCs w:val="20"/>
                <w:color w:val="auto"/>
              </w:rPr>
            </w:pPr>
            <w:r>
              <w:rPr>
                <w:rFonts w:ascii="Arial" w:cs="Arial" w:eastAsia="Arial" w:hAnsi="Arial"/>
                <w:sz w:val="14"/>
                <w:szCs w:val="14"/>
                <w:color w:val="auto"/>
                <w:w w:val="81"/>
              </w:rPr>
              <w:t>35 years</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00"/>
          </w:cols>
          <w:pgMar w:left="300" w:top="128"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COLUMN A</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8"/>
              </w:rPr>
              <w:t>COLUMN B</w:t>
            </w:r>
          </w:p>
        </w:tc>
        <w:tc>
          <w:tcPr>
            <w:tcW w:w="40" w:type="dxa"/>
            <w:vAlign w:val="bottom"/>
          </w:tcPr>
          <w:p>
            <w:pPr>
              <w:spacing w:after="0"/>
              <w:rPr>
                <w:sz w:val="15"/>
                <w:szCs w:val="15"/>
                <w:color w:val="auto"/>
              </w:rPr>
            </w:pPr>
          </w:p>
        </w:tc>
        <w:tc>
          <w:tcPr>
            <w:tcW w:w="164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COLUMN C</w:t>
            </w:r>
          </w:p>
        </w:tc>
        <w:tc>
          <w:tcPr>
            <w:tcW w:w="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COLUMN 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COLUMN 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COLUMN 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rPr>
              <w:t>COLUMN G COLUMN H COLUMN 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6"/>
              </w:rPr>
              <w:t>Initial cost to company</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40" w:type="dxa"/>
            <w:vAlign w:val="bottom"/>
            <w:gridSpan w:val="9"/>
          </w:tcPr>
          <w:p>
            <w:pPr>
              <w:jc w:val="right"/>
              <w:spacing w:after="0"/>
              <w:rPr>
                <w:sz w:val="20"/>
                <w:szCs w:val="20"/>
                <w:color w:val="auto"/>
              </w:rPr>
            </w:pPr>
            <w:r>
              <w:rPr>
                <w:rFonts w:ascii="Arial" w:cs="Arial" w:eastAsia="Arial" w:hAnsi="Arial"/>
                <w:sz w:val="14"/>
                <w:szCs w:val="14"/>
                <w:b w:val="1"/>
                <w:bCs w:val="1"/>
                <w:color w:val="auto"/>
                <w:w w:val="86"/>
              </w:rPr>
              <w:t>Gross amount at which carried at close of period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Life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Capitalized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Subsequent to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Depreciation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Date of</w:t>
            </w:r>
          </w:p>
        </w:tc>
        <w:tc>
          <w:tcPr>
            <w:tcW w:w="4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Descriptions</w:t>
            </w:r>
          </w:p>
        </w:tc>
        <w:tc>
          <w:tcPr>
            <w:tcW w:w="2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Encumbrance</w:t>
            </w:r>
          </w:p>
        </w:tc>
        <w:tc>
          <w:tcPr>
            <w:tcW w:w="40" w:type="dxa"/>
            <w:vAlign w:val="bottom"/>
          </w:tcPr>
          <w:p>
            <w:pPr>
              <w:spacing w:after="0"/>
              <w:rPr>
                <w:sz w:val="15"/>
                <w:szCs w:val="15"/>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Land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5"/>
              </w:rPr>
              <w:t>Improvements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Acquisition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Land</w:t>
            </w:r>
          </w:p>
        </w:tc>
        <w:tc>
          <w:tcPr>
            <w:tcW w:w="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Improvements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184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and Amortization Construction</w:t>
            </w:r>
          </w:p>
        </w:tc>
        <w:tc>
          <w:tcPr>
            <w:tcW w:w="4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Acquired</w:t>
            </w:r>
          </w:p>
        </w:tc>
        <w:tc>
          <w:tcPr>
            <w:tcW w:w="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2"/>
              </w:rPr>
              <w:t>is computed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KINGS COURT</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(California)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10,714,000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1,003,523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11,717,523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11,717,523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2,791,278</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1960</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08/24/98</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LANCASTER</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(Pennsylvania)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PA</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4,907,000</w:t>
            </w:r>
          </w:p>
        </w:tc>
        <w:tc>
          <w:tcPr>
            <w:tcW w:w="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2,103,000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8,649,393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10,752,393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10,752,393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4,619,355</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1958</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04/24/80</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LANGHORNE</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SQUARE</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(Pennsylvania)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720,000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2,974,000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14,163,541</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720,000</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17,137,541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17,857,541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7,465,035</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1966</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01/31/85</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5"/>
          </w:tcPr>
          <w:p>
            <w:pPr>
              <w:spacing w:after="0" w:line="149" w:lineRule="exact"/>
              <w:rPr>
                <w:sz w:val="20"/>
                <w:szCs w:val="20"/>
                <w:color w:val="auto"/>
              </w:rPr>
            </w:pPr>
            <w:r>
              <w:rPr>
                <w:rFonts w:ascii="Arial" w:cs="Arial" w:eastAsia="Arial" w:hAnsi="Arial"/>
                <w:sz w:val="14"/>
                <w:szCs w:val="14"/>
                <w:color w:val="auto"/>
                <w:w w:val="97"/>
              </w:rPr>
              <w:t>LAUREL (Maryland)</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7,458,000</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22,525,000</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16,257,196</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7,458,514</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38,782,196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46,240,710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21,532,681</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1956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08/15/86</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LAWRENCE PARK</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(Pennsylvania)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30,994,000</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5,723,000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7,160,000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13,175,928</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5,734,209</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20,324,928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26,059,137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15,999,587</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1972</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07/23/80</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w w:val="97"/>
              </w:rPr>
              <w:t>LEESBURG PLAZA</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(Virginia)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9,900,000</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8,184,000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10,722,000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2,769,705</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8,184,400</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13,491,705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21,676,105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1,946,022</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1967</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09/15/98</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LOEHMANN'S</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w w:val="97"/>
              </w:rPr>
              <w:t>PLAZA (Virginia)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1,237,000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15,096,000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24,157,926</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1,248,257</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39,242,669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40,490,926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14,273,721</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1971</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07/21/83</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MERCER MALL</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(New Jersey)</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NJ</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59,780,000</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4,488,340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70,076,308</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12,675,122</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4,927,634</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82,312,136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87,239,770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3,713,956</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2003</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10/14/03</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4"/>
              </w:rPr>
              <w:t>25-50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MID PIKE PLAZA</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(Maryland)</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10,041,000</w:t>
            </w: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10,335,000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6,910,210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17,245,210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17,245,210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8,327,586</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1963</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05/18/82</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MOUNT VERNON</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w w:val="97"/>
              </w:rPr>
              <w:t>PLAZA (Virginia)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12,829,000</w:t>
            </w:r>
          </w:p>
        </w:tc>
        <w:tc>
          <w:tcPr>
            <w:tcW w:w="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19,400,734</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2,698,091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22,098,825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22,098,825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1,009,077</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2003</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03/31/03</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4"/>
              </w:rPr>
              <w:t>NEW YORK RETAIL</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BUILDINGS (3)</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NY</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5,891,000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6,051,000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12,038,265</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6,196,618</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17,783,647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23,980,265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3,175,904</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1937-1987</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12/16/97</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NORTHEAST</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(Pennsylvania)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PA</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1,152,000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10,596,000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10,199,254</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1,152,825</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20,794,429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21,947,254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12,216,226</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1959</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08/30/83</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NORTH LAKE</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COMMONS</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(Illinois)</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IL</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2,782,000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8,604,000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1,655,906</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2,782,495</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10,259,411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13,041,906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3,228,148</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1989</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04/27/94</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OLD KEENE MILL</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0"/>
              </w:rPr>
              <w:t xml:space="preserve">33 </w:t>
            </w:r>
            <w:r>
              <w:rPr>
                <w:rFonts w:ascii="Arial" w:cs="Arial" w:eastAsia="Arial" w:hAnsi="Arial"/>
                <w:sz w:val="22"/>
                <w:szCs w:val="22"/>
                <w:color w:val="auto"/>
                <w:w w:val="90"/>
                <w:vertAlign w:val="superscript"/>
              </w:rPr>
              <w:t>1</w:t>
            </w:r>
            <w:r>
              <w:rPr>
                <w:rFonts w:ascii="Arial" w:cs="Arial" w:eastAsia="Arial" w:hAnsi="Arial"/>
                <w:sz w:val="14"/>
                <w:szCs w:val="14"/>
                <w:color w:val="auto"/>
                <w:w w:val="90"/>
              </w:rPr>
              <w:t>/3 years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(Virginia)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638,000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998,000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3,522,764</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638,234</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4,520,530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5,158,764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3,839,681</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1968</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06/15/76</w:t>
            </w: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OLD TOWN</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CENTER</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(California)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3,420,000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2,765,000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27,601,609</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3,420,000</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30,366,609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33,786,609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6,851,097</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1997-1998</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10/22/97</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w w:val="92"/>
              </w:rPr>
              <w:t>PAN AM SHOPPING</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CENTER</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(Virginia)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8,694,000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12,929,000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4,663,085</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8,694,500</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17,591,585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26,286,085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6,935,123</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1979</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02/05/93</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PENTAGON ROW</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(Virginia)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2,955,000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84,379,550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87,334,550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87,334,550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9,807,961</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1999-2002</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PERRING PLAZA</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(Maryland)</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2,800,000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6,461,000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16,813,800</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2,800,000</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23,274,800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26,074,800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12,311,534</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1963</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10/01/85</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PIKE 7 (Virginia)</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9,709,000</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22,799,000</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1,096,897</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9,708,997</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23,895,900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33,604,897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5,806,760</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1968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03/31/97</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QUEEN ANNE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PLAZA</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w w:val="99"/>
              </w:rPr>
              <w:t>(Massachusetts)</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MA</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3,319,000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8,457,000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3,028,713</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3,319,148</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11,485,713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14,804,861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4,616,053</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1967</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12/23/94</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4"/>
              </w:rPr>
              <w:t>QUINCE ORCHARD</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PLAZA</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(Maryland)</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3,197,000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7,949,000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8,652,043</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2,928,242</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16,869,801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19,798,043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7,514,249</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1975</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04/22/93</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w w:val="97"/>
              </w:rPr>
              <w:t>ROCKVILLE TOWN</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SQUARE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(Maryland) (A)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2,697,588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2,697,588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2005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ROLLINGWOOD</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6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w w:val="93"/>
              </w:rPr>
              <w:t>APTS. (Maryland) MD</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552,000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2,246,000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3,926,817</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572,160</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6,152,657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6,724,817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6,083,158</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1960</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01/15/71</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RUTGERS (New</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Jersey)</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NJ</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12,840,000</w:t>
            </w:r>
          </w:p>
        </w:tc>
        <w:tc>
          <w:tcPr>
            <w:tcW w:w="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14,429,000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1,556,175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15,985,175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15,985,175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7,579,319</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1973</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12/12/88</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SAM'S PARK &amp;</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w w:val="95"/>
              </w:rPr>
              <w:t>SHOP (District of</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Columbia)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DC</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4,840,000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6,319,000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941,538</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4,840,000</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7,260,538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12,100,538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2,103,681</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1930</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12/01/95</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SANTANA ROW</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(California)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41,969,000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1,161,000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459,923,650</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41,968,500</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461,085,150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503,053,650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19,794,736</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1999-2005</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03/05/97</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SAUGUS</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w w:val="99"/>
              </w:rPr>
              <w:t>(Massachusetts)</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4,383,000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8,291,000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754,656</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4,383,000</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9,045,656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13,428,656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2,241,172</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1976</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10/01/96</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SHAW'S PLAZA</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w w:val="99"/>
              </w:rPr>
              <w:t>(Massachusetts)</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MA</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348,000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3,675,000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363</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348,034</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3,675,363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4,023,397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26,239</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1990</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10/12/04</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SHIRLINGTON</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(Virginia)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9,761,000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14,808,000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4,883,340</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5,797,978</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23,654,362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29,452,340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5,980,549</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1940</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12/21/95</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SOUTH VALLEY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SHOPPING</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CENTER</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(Virginia)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9,043,035</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5,082,062</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760,022</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9,043,035</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5,842,084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14,885,119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276,112</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2003</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03/21/03</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TEXAS RETAIL</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BUILDINGS (9)</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TX</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189,000</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14,680,000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1,976,000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47,329,364</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14,679,954</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49,305,410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63,985,364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4,754,837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var</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1998-1999</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5"/>
          </w:tcPr>
          <w:p>
            <w:pPr>
              <w:spacing w:after="0" w:line="149" w:lineRule="exact"/>
              <w:rPr>
                <w:sz w:val="20"/>
                <w:szCs w:val="20"/>
                <w:color w:val="auto"/>
              </w:rPr>
            </w:pPr>
            <w:r>
              <w:rPr>
                <w:rFonts w:ascii="Arial" w:cs="Arial" w:eastAsia="Arial" w:hAnsi="Arial"/>
                <w:sz w:val="14"/>
                <w:szCs w:val="14"/>
                <w:color w:val="auto"/>
              </w:rPr>
              <w:t>TOWER (Virginia)</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7,170,000</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10,518,000</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1,091,585</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7,128,653</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11,650,932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18,779,585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2,316,285</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1953-1960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08/24/98</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97"/>
              </w:rPr>
              <w:t>TROY (New Jersey)</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NJ</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3,126,000</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5,193,000</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12,226,519</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3,125,728</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17,419,519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20,545,247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12,824,904</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1966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07/23/80</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w w:val="99"/>
              </w:rPr>
              <w:t>TYSONS STATION</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(Virginia)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6,633,000</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388,000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453,000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2,515,895</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474,542</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2,882,353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3,356,895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2,615,428</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1954</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01/17/78</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17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WESTGATE MALL</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(California)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6,319,000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107,284,000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145,197</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6,318,562</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107,429,635</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113,748,197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1,949,760</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1960-1966</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03/31/04</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WILDWOOD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0"/>
              </w:rPr>
              <w:t xml:space="preserve">33 </w:t>
            </w:r>
            <w:r>
              <w:rPr>
                <w:rFonts w:ascii="Arial" w:cs="Arial" w:eastAsia="Arial" w:hAnsi="Arial"/>
                <w:sz w:val="22"/>
                <w:szCs w:val="22"/>
                <w:color w:val="auto"/>
                <w:w w:val="90"/>
                <w:vertAlign w:val="superscript"/>
              </w:rPr>
              <w:t>1</w:t>
            </w:r>
            <w:r>
              <w:rPr>
                <w:rFonts w:ascii="Arial" w:cs="Arial" w:eastAsia="Arial" w:hAnsi="Arial"/>
                <w:sz w:val="14"/>
                <w:szCs w:val="14"/>
                <w:color w:val="auto"/>
                <w:w w:val="90"/>
              </w:rPr>
              <w:t>/3 years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(Maryland)</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27,243,000</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9,111,000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1,061,000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7,313,790</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9,110,822</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8,374,790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17,485,612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6,299,006</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1958</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05/05/69</w:t>
            </w: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WILLOW GROVE</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(Pennsylvania)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1,499,000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6,643,000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18,177,867</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1,498,560</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24,820,867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26,319,427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13,891,939</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1953</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11/20/84</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tcPr>
          <w:p>
            <w:pPr>
              <w:spacing w:after="0" w:line="138" w:lineRule="exact"/>
              <w:rPr>
                <w:sz w:val="20"/>
                <w:szCs w:val="20"/>
                <w:color w:val="auto"/>
              </w:rPr>
            </w:pPr>
            <w:r>
              <w:rPr>
                <w:rFonts w:ascii="Arial" w:cs="Arial" w:eastAsia="Arial" w:hAnsi="Arial"/>
                <w:sz w:val="14"/>
                <w:szCs w:val="14"/>
                <w:color w:val="auto"/>
              </w:rPr>
              <w:t>WILLOW LAWN</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(Virginia)</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3,192,000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7,723,000</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50,350,316</w:t>
            </w: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7,790,283</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53,475,033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61,265,316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30,123,606</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1957</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12/05/83</w:t>
            </w:r>
          </w:p>
        </w:tc>
        <w:tc>
          <w:tcPr>
            <w:tcW w:w="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WYNNEWOOD</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(Pennsylvania)</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31,586,000</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8,055,000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13,759,000</w:t>
            </w:r>
          </w:p>
        </w:tc>
        <w:tc>
          <w:tcPr>
            <w:tcW w:w="9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13,499,267</w:t>
            </w:r>
          </w:p>
        </w:tc>
        <w:tc>
          <w:tcPr>
            <w:tcW w:w="8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8,055,000</w:t>
            </w:r>
          </w:p>
        </w:tc>
        <w:tc>
          <w:tcPr>
            <w:tcW w:w="9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27,258,267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35,313,267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7,551,509</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1948</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10/29/96</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TOTALS</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$ 410,885,000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$417,867,375</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  904,130,104</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$1,349,883,470</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$ 412,898,678</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2,253,377,239</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2,666,275,917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595,338,099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-29210</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-29210</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-29210</wp:posOffset>
            </wp:positionV>
            <wp:extent cx="356298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562985" cy="29845"/>
                    </a:xfrm>
                    <a:prstGeom prst="rect">
                      <a:avLst/>
                    </a:prstGeom>
                    <a:noFill/>
                  </pic:spPr>
                </pic:pic>
              </a:graphicData>
            </a:graphic>
          </wp:anchor>
        </w:drawing>
      </w:r>
    </w:p>
    <w:p>
      <w:pPr>
        <w:spacing w:after="0" w:line="74"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Investments in Rockville Town Square relate to predevelopment expenditures in anticipation of acquiring retail space.</w:t>
      </w:r>
    </w:p>
    <w:p>
      <w:pPr>
        <w:sectPr>
          <w:pgSz w:w="11900" w:h="16838" w:orient="portrait"/>
          <w:cols w:equalWidth="0" w:num="1">
            <w:col w:w="11320"/>
          </w:cols>
          <w:pgMar w:left="240" w:top="459" w:right="339" w:bottom="0" w:gutter="0" w:footer="0" w:header="0"/>
        </w:sectPr>
      </w:pP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320"/>
          </w:cols>
          <w:pgMar w:left="240" w:top="459" w:right="339" w:bottom="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DEPRECIATION—CONTINUED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2004</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Total Cost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2,104,304,000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ind w:left="420"/>
              <w:spacing w:after="0"/>
              <w:rPr>
                <w:sz w:val="20"/>
                <w:szCs w:val="20"/>
                <w:color w:val="auto"/>
              </w:rPr>
            </w:pPr>
            <w:r>
              <w:rPr>
                <w:rFonts w:ascii="Arial" w:cs="Arial" w:eastAsia="Arial" w:hAnsi="Arial"/>
                <w:sz w:val="18"/>
                <w:szCs w:val="18"/>
                <w:color w:val="auto"/>
              </w:rPr>
              <w:t>Additions during period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ind w:left="860"/>
              <w:spacing w:after="0"/>
              <w:rPr>
                <w:sz w:val="20"/>
                <w:szCs w:val="20"/>
                <w:color w:val="auto"/>
              </w:rPr>
            </w:pPr>
            <w:r>
              <w:rPr>
                <w:rFonts w:ascii="Arial" w:cs="Arial" w:eastAsia="Arial" w:hAnsi="Arial"/>
                <w:sz w:val="18"/>
                <w:szCs w:val="18"/>
                <w:color w:val="auto"/>
              </w:rPr>
              <w:t>Improvements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265,531,000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 during period—disposition of property and miscellaneous retirements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(63,009,000)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2,306,826,000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ind w:left="420"/>
              <w:spacing w:after="0"/>
              <w:rPr>
                <w:sz w:val="20"/>
                <w:szCs w:val="20"/>
                <w:color w:val="auto"/>
              </w:rPr>
            </w:pPr>
            <w:r>
              <w:rPr>
                <w:rFonts w:ascii="Arial" w:cs="Arial" w:eastAsia="Arial" w:hAnsi="Arial"/>
                <w:sz w:val="18"/>
                <w:szCs w:val="18"/>
                <w:color w:val="auto"/>
              </w:rPr>
              <w:t>Additions during period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ind w:left="860"/>
              <w:spacing w:after="0"/>
              <w:rPr>
                <w:sz w:val="20"/>
                <w:szCs w:val="20"/>
                <w:color w:val="auto"/>
              </w:rPr>
            </w:pPr>
            <w:r>
              <w:rPr>
                <w:rFonts w:ascii="Arial" w:cs="Arial" w:eastAsia="Arial" w:hAnsi="Arial"/>
                <w:sz w:val="18"/>
                <w:szCs w:val="18"/>
                <w:color w:val="auto"/>
              </w:rPr>
              <w:t>Improvements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64,849,000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 during period—disposition of property and miscellaneous retirements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(29,014,000)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2,470,150,000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ind w:left="420"/>
              <w:spacing w:after="0"/>
              <w:rPr>
                <w:sz w:val="20"/>
                <w:szCs w:val="20"/>
                <w:color w:val="auto"/>
              </w:rPr>
            </w:pPr>
            <w:r>
              <w:rPr>
                <w:rFonts w:ascii="Arial" w:cs="Arial" w:eastAsia="Arial" w:hAnsi="Arial"/>
                <w:sz w:val="18"/>
                <w:szCs w:val="18"/>
                <w:color w:val="auto"/>
              </w:rPr>
              <w:t>Additions during period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ind w:left="860"/>
              <w:spacing w:after="0"/>
              <w:rPr>
                <w:sz w:val="20"/>
                <w:szCs w:val="20"/>
                <w:color w:val="auto"/>
              </w:rPr>
            </w:pPr>
            <w:r>
              <w:rPr>
                <w:rFonts w:ascii="Arial" w:cs="Arial" w:eastAsia="Arial" w:hAnsi="Arial"/>
                <w:sz w:val="18"/>
                <w:szCs w:val="18"/>
                <w:color w:val="auto"/>
              </w:rPr>
              <w:t>Improvements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131,986,000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 during period—disposition of property and miscellaneous retirements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(53,926,000)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2,666,276,000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-172720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-172720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-172720</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5540" w:right="3260" w:hanging="5532"/>
        <w:spacing w:after="0" w:line="440" w:lineRule="auto"/>
        <w:tabs>
          <w:tab w:leader="none" w:pos="4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Federal tax purposes, the aggregate cost basis is approximately $2,366,332,000 as of December 31, 2004. F-32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DEPRECIATION—CONTINUED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2004</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Accumulated Depreciation and Amortization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395,767,000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Additions during period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Deductions during period—disposition of property, miscellaneous retirements and acquisition of minority interest</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(4,366,000)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450,697,000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Additions during period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Deductions during period—disposition of property, miscellaneous retirements and acquisition of minority interest</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(4,645,000)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514,177,000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Additions during period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Deductions during period—disposition of property, miscellaneous retirements and acquisition of minority interest</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(1,390,000)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595,338,000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240" w:type="dxa"/>
            <w:vAlign w:val="bottom"/>
          </w:tcPr>
          <w:p>
            <w:pPr>
              <w:ind w:left="5520"/>
              <w:spacing w:after="0"/>
              <w:rPr>
                <w:sz w:val="20"/>
                <w:szCs w:val="20"/>
                <w:color w:val="auto"/>
              </w:rPr>
            </w:pPr>
            <w:r>
              <w:rPr>
                <w:rFonts w:ascii="Arial" w:cs="Arial" w:eastAsia="Arial" w:hAnsi="Arial"/>
                <w:sz w:val="18"/>
                <w:szCs w:val="18"/>
                <w:color w:val="auto"/>
              </w:rPr>
              <w:t>F-33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-325755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-325755</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0"/>
              </w:rPr>
              <w:t>Column A</w:t>
            </w:r>
          </w:p>
        </w:tc>
        <w:tc>
          <w:tcPr>
            <w:tcW w:w="1640" w:type="dxa"/>
            <w:vAlign w:val="bottom"/>
          </w:tcPr>
          <w:p>
            <w:pPr>
              <w:ind w:left="540"/>
              <w:spacing w:after="0"/>
              <w:rPr>
                <w:sz w:val="20"/>
                <w:szCs w:val="20"/>
                <w:color w:val="auto"/>
              </w:rPr>
            </w:pPr>
            <w:r>
              <w:rPr>
                <w:rFonts w:ascii="Arial" w:cs="Arial" w:eastAsia="Arial" w:hAnsi="Arial"/>
                <w:sz w:val="14"/>
                <w:szCs w:val="14"/>
                <w:b w:val="1"/>
                <w:bCs w:val="1"/>
                <w:color w:val="auto"/>
              </w:rPr>
              <w:t>Column B</w:t>
            </w: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Column C</w:t>
            </w:r>
          </w:p>
        </w:tc>
        <w:tc>
          <w:tcPr>
            <w:tcW w:w="2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Column D</w:t>
            </w: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Column 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Column F</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Column 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Periodic Payment</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Face 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86"/>
              </w:rPr>
              <w:t>Description of Lien</w:t>
            </w:r>
          </w:p>
        </w:tc>
        <w:tc>
          <w:tcPr>
            <w:tcW w:w="1640" w:type="dxa"/>
            <w:vAlign w:val="bottom"/>
          </w:tcPr>
          <w:p>
            <w:pPr>
              <w:ind w:left="460"/>
              <w:spacing w:after="0"/>
              <w:rPr>
                <w:sz w:val="20"/>
                <w:szCs w:val="20"/>
                <w:color w:val="auto"/>
              </w:rPr>
            </w:pPr>
            <w:r>
              <w:rPr>
                <w:rFonts w:ascii="Arial" w:cs="Arial" w:eastAsia="Arial" w:hAnsi="Arial"/>
                <w:sz w:val="14"/>
                <w:szCs w:val="14"/>
                <w:b w:val="1"/>
                <w:bCs w:val="1"/>
                <w:color w:val="auto"/>
              </w:rPr>
              <w:t>Interest Rate</w:t>
            </w: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2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5"/>
              </w:rPr>
              <w:t>Terms</w:t>
            </w: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Liens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of Mortgages</w:t>
            </w:r>
          </w:p>
        </w:tc>
        <w:tc>
          <w:tcPr>
            <w:tcW w:w="22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Mortgages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7"/>
              </w:rPr>
              <w:t>Leasehold mortgage on office building in</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6.00%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2005</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only monthly;</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$5,876,000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5,876,000(2)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San Francisco, CA</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88"/>
              </w:rPr>
              <w:t>balloon payment due at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maturity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Mortgage on Hotel in</w:t>
            </w:r>
          </w:p>
        </w:tc>
        <w:tc>
          <w:tcPr>
            <w:tcW w:w="1640" w:type="dxa"/>
            <w:vAlign w:val="bottom"/>
          </w:tcPr>
          <w:p>
            <w:pPr>
              <w:spacing w:after="0"/>
              <w:rPr>
                <w:sz w:val="20"/>
                <w:szCs w:val="20"/>
                <w:color w:val="auto"/>
              </w:rPr>
            </w:pPr>
            <w:r>
              <w:rPr>
                <w:rFonts w:ascii="Arial" w:cs="Arial" w:eastAsia="Arial" w:hAnsi="Arial"/>
                <w:sz w:val="18"/>
                <w:szCs w:val="18"/>
                <w:color w:val="auto"/>
              </w:rPr>
              <w:t>12% to 15%</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May 2011</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16,449,000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11,928,000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gridSpan w:val="7"/>
          </w:tcPr>
          <w:p>
            <w:pPr>
              <w:spacing w:after="0"/>
              <w:rPr>
                <w:sz w:val="20"/>
                <w:szCs w:val="20"/>
                <w:color w:val="auto"/>
              </w:rPr>
            </w:pPr>
            <w:r>
              <w:rPr>
                <w:rFonts w:ascii="Arial" w:cs="Arial" w:eastAsia="Arial" w:hAnsi="Arial"/>
                <w:sz w:val="18"/>
                <w:szCs w:val="18"/>
                <w:color w:val="auto"/>
              </w:rPr>
              <w:t>San Jose, CA</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8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Mortgage on retail buildings in</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5"/>
              </w:rPr>
              <w:t>Greater of prime plus</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2021</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only monthly;</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15,855,000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15,855,000(4)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Philadelphia, PA</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 or 10%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88"/>
              </w:rPr>
              <w:t>balloon payment due at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maturity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Mortgage on retail buildings in</w:t>
            </w:r>
          </w:p>
        </w:tc>
        <w:tc>
          <w:tcPr>
            <w:tcW w:w="1640" w:type="dxa"/>
            <w:vAlign w:val="bottom"/>
          </w:tcPr>
          <w:p>
            <w:pPr>
              <w:spacing w:after="0"/>
              <w:rPr>
                <w:sz w:val="20"/>
                <w:szCs w:val="20"/>
                <w:color w:val="auto"/>
              </w:rPr>
            </w:pPr>
            <w:r>
              <w:rPr>
                <w:rFonts w:ascii="Arial" w:cs="Arial" w:eastAsia="Arial" w:hAnsi="Arial"/>
                <w:sz w:val="18"/>
                <w:szCs w:val="18"/>
                <w:color w:val="auto"/>
                <w:w w:val="91"/>
              </w:rPr>
              <w:t>10% plus participation</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May 2021</w:t>
            </w:r>
          </w:p>
        </w:tc>
        <w:tc>
          <w:tcPr>
            <w:tcW w:w="2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9"/>
              </w:rPr>
              <w:t>Interest only; balloon</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9,250,000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9,250,000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7"/>
          </w:tcPr>
          <w:p>
            <w:pPr>
              <w:spacing w:after="0"/>
              <w:rPr>
                <w:sz w:val="20"/>
                <w:szCs w:val="20"/>
                <w:color w:val="auto"/>
              </w:rPr>
            </w:pPr>
            <w:r>
              <w:rPr>
                <w:rFonts w:ascii="Arial" w:cs="Arial" w:eastAsia="Arial" w:hAnsi="Arial"/>
                <w:sz w:val="18"/>
                <w:szCs w:val="18"/>
                <w:color w:val="auto"/>
              </w:rPr>
              <w:t>Philadelphia, PA</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payment due at</w:t>
            </w:r>
          </w:p>
        </w:tc>
        <w:tc>
          <w:tcPr>
            <w:tcW w:w="220" w:type="dxa"/>
            <w:vAlign w:val="bottom"/>
          </w:tcPr>
          <w:p>
            <w:pPr>
              <w:spacing w:after="0"/>
              <w:rPr>
                <w:sz w:val="18"/>
                <w:szCs w:val="18"/>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maturity</w:t>
            </w:r>
          </w:p>
        </w:tc>
        <w:tc>
          <w:tcPr>
            <w:tcW w:w="2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$47,430,000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42,909,000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-172720</wp:posOffset>
            </wp:positionV>
            <wp:extent cx="13849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849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For Federal tax purposes, the aggregate tax basis is approximately $47,430,000 as of December 31, 2004. No payments are delinquent on these mortgages.</w:t>
      </w:r>
    </w:p>
    <w:p>
      <w:pPr>
        <w:spacing w:after="0" w:line="49" w:lineRule="exact"/>
        <w:rPr>
          <w:rFonts w:ascii="Arial" w:cs="Arial" w:eastAsia="Arial" w:hAnsi="Arial"/>
          <w:sz w:val="15"/>
          <w:szCs w:val="15"/>
          <w:color w:val="auto"/>
        </w:rPr>
      </w:pPr>
    </w:p>
    <w:p>
      <w:pPr>
        <w:ind w:left="460" w:right="300" w:hanging="452"/>
        <w:spacing w:after="0" w:line="28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Loan receivable was originally due February 28, 2003 but was not repaid on the due date. The loan was renegotiated in 2004 and the interest rate on the note was decreased to 6% retroactive to July 1, 2003. Interest on the loan is current through December 31, 2004 and based in part on the value of the underlying collateral, we believe that the loan is collectible and as such, no reserve has been established at this time.</w:t>
      </w:r>
    </w:p>
    <w:p>
      <w:pPr>
        <w:spacing w:after="0" w:line="2" w:lineRule="exact"/>
        <w:rPr>
          <w:rFonts w:ascii="Arial" w:cs="Arial" w:eastAsia="Arial" w:hAnsi="Arial"/>
          <w:sz w:val="16"/>
          <w:szCs w:val="16"/>
          <w:color w:val="auto"/>
        </w:rPr>
      </w:pPr>
    </w:p>
    <w:p>
      <w:pPr>
        <w:ind w:left="460" w:right="40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May 2006, interest is payable from cash flow, if available. If cash flow is not sufficient to pay interest in full, mortgagee may borrow up to a maximum loan amount of $19,450,000. Any unpaid amounts due will accrue and bear interest at the same rate as the principal. After year five, current interest payments are required. After year seven, mortgagee is required to apply 50% of all available cash flow to repayment of principal. In 2004, an additional $1,950,000 of advances was made on this loan.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mortgage is available for up to $25,000,000.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99"/>
              </w:rPr>
              <w:t>FEDERAL REALTY INVESTMENT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99"/>
              </w:rPr>
              <w:t>SCHEDULE IV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97"/>
              </w:rPr>
              <w:t>MORTGAGE LOANS ON REAL ESTATE—CONTINUED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7"/>
              </w:rPr>
              <w:t>Three Years Ended December 31, 2004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9"/>
              </w:rPr>
              <w:t>Reconciliation of Carrying Amount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38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$ 35,607,000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Additions during period:</w:t>
            </w:r>
          </w:p>
        </w:tc>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loans</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Deductions during period:</w:t>
            </w:r>
          </w:p>
        </w:tc>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Collection and satisfaction of loans</w:t>
            </w:r>
          </w:p>
        </w:tc>
        <w:tc>
          <w:tcPr>
            <w:tcW w:w="8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(14,392,000)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69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$ 35,577,000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Additions during period:</w:t>
            </w:r>
          </w:p>
        </w:tc>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loans</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Deductions during period:</w:t>
            </w:r>
          </w:p>
        </w:tc>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Collection and satisfaction of loans</w:t>
            </w:r>
          </w:p>
        </w:tc>
        <w:tc>
          <w:tcPr>
            <w:tcW w:w="69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69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Additions during period:</w:t>
            </w:r>
          </w:p>
        </w:tc>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loans</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Deductions during period:</w:t>
            </w:r>
          </w:p>
        </w:tc>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Collection and satisfaction of loans</w:t>
            </w:r>
          </w:p>
        </w:tc>
        <w:tc>
          <w:tcPr>
            <w:tcW w:w="8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rPr>
              <w:t>Allowance for collectibility</w:t>
            </w:r>
          </w:p>
        </w:tc>
        <w:tc>
          <w:tcPr>
            <w:tcW w:w="8020" w:type="dxa"/>
            <w:vAlign w:val="bottom"/>
            <w:gridSpan w:val="3"/>
          </w:tcPr>
          <w:p>
            <w:pPr>
              <w:jc w:val="right"/>
              <w:ind w:right="20"/>
              <w:spacing w:after="0"/>
              <w:rPr>
                <w:sz w:val="20"/>
                <w:szCs w:val="20"/>
                <w:color w:val="auto"/>
              </w:rPr>
            </w:pPr>
            <w:r>
              <w:rPr>
                <w:rFonts w:ascii="Arial" w:cs="Arial" w:eastAsia="Arial" w:hAnsi="Arial"/>
                <w:sz w:val="18"/>
                <w:szCs w:val="18"/>
                <w:color w:val="auto"/>
              </w:rPr>
              <w:t>(4,521,000)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$ 42,909,000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color w:val="auto"/>
                <w:w w:val="91"/>
              </w:rPr>
              <w:t>F-35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-325755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-325755</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color w:val="auto"/>
        </w:rPr>
        <w:t xml:space="preserve">Quarterly Assessment. </w:t>
      </w:r>
      <w:r>
        <w:rPr>
          <w:rFonts w:ascii="Arial" w:cs="Arial" w:eastAsia="Arial" w:hAnsi="Arial"/>
          <w:sz w:val="16"/>
          <w:szCs w:val="16"/>
          <w:color w:val="auto"/>
        </w:rPr>
        <w:t>We carried out an assessment as of December 31, 2004 of the effectiveness of the design and operation of our disclosure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Principal Executive Officer and Principal Financial Officer Certifications. </w:t>
      </w:r>
      <w:r>
        <w:rPr>
          <w:rFonts w:ascii="Arial" w:cs="Arial" w:eastAsia="Arial" w:hAnsi="Arial"/>
          <w:sz w:val="18"/>
          <w:szCs w:val="18"/>
          <w:color w:val="auto"/>
        </w:rPr>
        <w:t>Included as Exhibits 31.1 and 31.2 to this Annual Report on Form 10-K are</w:t>
      </w:r>
      <w:r>
        <w:rPr>
          <w:rFonts w:ascii="Arial" w:cs="Arial" w:eastAsia="Arial" w:hAnsi="Arial"/>
          <w:sz w:val="18"/>
          <w:szCs w:val="18"/>
          <w:i w:val="1"/>
          <w:iCs w:val="1"/>
          <w:color w:val="auto"/>
        </w:rPr>
        <w:t xml:space="preserve"> </w:t>
      </w:r>
      <w:r>
        <w:rPr>
          <w:rFonts w:ascii="Arial" w:cs="Arial" w:eastAsia="Arial" w:hAnsi="Arial"/>
          <w:sz w:val="18"/>
          <w:szCs w:val="18"/>
          <w:color w:val="auto"/>
        </w:rPr>
        <w:t>forms of “Certification” of our principal executive officer and our principal financial officer. The forms of Certification are required in accordance with Section 302 of the Sarbanes-Oxley Act of 2002. This section of this Annual Report on Form 10-K that you currently are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maintain disclosure controls and procedures that are designed to ensure that information required to be disclosed</w:t>
      </w:r>
      <w:r>
        <w:rPr>
          <w:rFonts w:ascii="Arial" w:cs="Arial" w:eastAsia="Arial" w:hAnsi="Arial"/>
          <w:sz w:val="16"/>
          <w:szCs w:val="16"/>
          <w:i w:val="1"/>
          <w:iCs w:val="1"/>
          <w:color w:val="auto"/>
        </w:rPr>
        <w:t xml:space="preserve"> </w:t>
      </w:r>
      <w:r>
        <w:rPr>
          <w:rFonts w:ascii="Arial" w:cs="Arial" w:eastAsia="Arial" w:hAnsi="Arial"/>
          <w:sz w:val="16"/>
          <w:szCs w:val="16"/>
          <w:color w:val="auto"/>
        </w:rPr>
        <w:t>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Senior Vice President and 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quarterly report.</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Internal Control over Financial Reporting. </w:t>
      </w:r>
      <w:r>
        <w:rPr>
          <w:rFonts w:ascii="Arial" w:cs="Arial" w:eastAsia="Arial" w:hAnsi="Arial"/>
          <w:sz w:val="16"/>
          <w:szCs w:val="16"/>
          <w:color w:val="auto"/>
        </w:rPr>
        <w:t>Establishing and maintaining internal control over financial reporting is a process designed by, or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supervision of, our President and Chief Executive Officer and Senior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99"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pertain to the maintenance of records that accurately and fairly reflect the transactions and dispositions of our assets in reasonable detail;</w:t>
      </w:r>
    </w:p>
    <w:p>
      <w:pPr>
        <w:spacing w:after="0" w:line="126"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5"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Management, including our Chief Executive Officer and Chief Financial Officer, do not expect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controls and procedures or internal control over financial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11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Scope of the Evaluations. </w:t>
      </w:r>
      <w:r>
        <w:rPr>
          <w:rFonts w:ascii="Arial" w:cs="Arial" w:eastAsia="Arial" w:hAnsi="Arial"/>
          <w:sz w:val="16"/>
          <w:szCs w:val="16"/>
          <w:color w:val="auto"/>
        </w:rPr>
        <w:t>The evaluation by our Chief Executive Officer and our Chief Financial Officer of our disclosure controls and procedures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internal control over financial reporting included a review of procedures and our internal audit, as well as discussions with our Disclosure Committee, independent public accountants and others in our organization, as appropriate. In conducting this evaluation,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 independent auditors and also require us to report on related matters in this section of the Annual Report on Form 10-K. In the Public Company Accounting Oversight Board’s Auditing Standard No. 2, a “significant deficiency” is a “control deficiency,” or a combination of control deficiencies, that adversely affects the ability to initiate, authorize, record, process or report external financial data reliably in accordance with GAAP such that there is more than a remote likelihood that a misstatement of the annual or interim financial statements that is more than inconsequential will not be prevented or detected. A “control deficiency” exists when the design or operation of a control does not allow management or employees, in the normal course of performing their assigned functions, to prevent or detect misstatements on a timely basis. A “material weakness” is defined in Auditing Standard No. 2 as a significant deficiency, or a combination of significant deficiencies, that results in more than a remote likelihood that a material misstatement of the annual or interim financial statements will not be prevented or detected.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Periodic Evaluation and Conclusion of Disclosure Controls and Procedures</w:t>
      </w:r>
      <w:r>
        <w:rPr>
          <w:rFonts w:ascii="Arial" w:cs="Arial" w:eastAsia="Arial" w:hAnsi="Arial"/>
          <w:sz w:val="18"/>
          <w:szCs w:val="18"/>
          <w:color w:val="auto"/>
        </w:rPr>
        <w:t>. Our Chief Executive Officer and Chief Financial Officer have conducted an</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Periodic Evaluation and Conclusion of Internal Control over Financial Reporting. </w:t>
      </w:r>
      <w:r>
        <w:rPr>
          <w:rFonts w:ascii="Arial" w:cs="Arial" w:eastAsia="Arial" w:hAnsi="Arial"/>
          <w:sz w:val="18"/>
          <w:szCs w:val="18"/>
          <w:color w:val="auto"/>
        </w:rPr>
        <w:t>Our Chief Executive Officer and Chief Financial Officer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Statement of Our Management. </w:t>
      </w:r>
      <w:r>
        <w:rPr>
          <w:rFonts w:ascii="Arial" w:cs="Arial" w:eastAsia="Arial" w:hAnsi="Arial"/>
          <w:sz w:val="18"/>
          <w:szCs w:val="18"/>
          <w:color w:val="auto"/>
        </w:rPr>
        <w:t>Our management has issued a report on its assessment of the Trust’s internal control over financial reporting, which appears</w:t>
      </w:r>
      <w:r>
        <w:rPr>
          <w:rFonts w:ascii="Arial" w:cs="Arial" w:eastAsia="Arial" w:hAnsi="Arial"/>
          <w:sz w:val="18"/>
          <w:szCs w:val="18"/>
          <w:i w:val="1"/>
          <w:iCs w:val="1"/>
          <w:color w:val="auto"/>
        </w:rPr>
        <w:t xml:space="preserve"> </w:t>
      </w:r>
      <w:r>
        <w:rPr>
          <w:rFonts w:ascii="Arial" w:cs="Arial" w:eastAsia="Arial" w:hAnsi="Arial"/>
          <w:sz w:val="18"/>
          <w:szCs w:val="18"/>
          <w:color w:val="auto"/>
        </w:rPr>
        <w:t>on page F-2 of this Annual Report on Form 10-K.</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Statement of Our Independent Registered Public Accounting Firm. </w:t>
      </w:r>
      <w:r>
        <w:rPr>
          <w:rFonts w:ascii="Arial" w:cs="Arial" w:eastAsia="Arial" w:hAnsi="Arial"/>
          <w:sz w:val="18"/>
          <w:szCs w:val="18"/>
          <w:color w:val="auto"/>
        </w:rPr>
        <w:t>Grant Thornton LLP, our independent registered public accounting firm that audited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Annual Report on Form 10-K, has issued an attestation report on management’s assessment of the Trust’s internal control over financial reporting, which appears on page F-1 of this Annual Report on Form 10-K.</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during our fourth fiscal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2004 that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2005 Annual Meeting of Shareholders (the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Trustees and Executive Officers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The table in the Proxy Statement identifying our Trustees and Board committees under the caption “Election of Trustees” and the section of the Proxy Statement entitled “Executive Officers” are incorporated herein by reference.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 The information included under the section of the Proxy Statement entitled “Section 16(a) Beneficial Ownership Reporting Compliance” is incorporated herein by reference.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 We have adopted a Code of Ethics, which is applicable to our Chief Executive Officer and senior financial officers. The Code of Ethics is available in the Corporate Governance section of the Investor Information section of our website at www.federalrealty.com.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sections of the Proxy Statement entitled “Compensation of Executive Officers,” “Compensation Committee Interlocks and Insider Participation,” “Report of the Compensation Committee on Executive Compensation” and “Performance Graph” are incorporated herein by reference.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sections of the Proxy Statement entitled “Share Ownership” and “Equity Compensation Plan Information” are incorporated herein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right="1920" w:firstLine="456"/>
        <w:spacing w:after="0" w:line="375" w:lineRule="auto"/>
        <w:rPr>
          <w:sz w:val="20"/>
          <w:szCs w:val="20"/>
          <w:color w:val="auto"/>
        </w:rPr>
      </w:pPr>
      <w:r>
        <w:rPr>
          <w:rFonts w:ascii="Arial" w:cs="Arial" w:eastAsia="Arial" w:hAnsi="Arial"/>
          <w:sz w:val="18"/>
          <w:szCs w:val="18"/>
          <w:color w:val="auto"/>
        </w:rPr>
        <w:t xml:space="preserve">The section of the Proxy Statement entitled “Certain Relationship and Related Transactions” is incorporated herein by reference. </w:t>
      </w:r>
      <w:r>
        <w:rPr>
          <w:rFonts w:ascii="Arial" w:cs="Arial" w:eastAsia="Arial" w:hAnsi="Arial"/>
          <w:sz w:val="18"/>
          <w:szCs w:val="18"/>
          <w:b w:val="1"/>
          <w:bCs w:val="1"/>
          <w:color w:val="auto"/>
        </w:rPr>
        <w:t>Item 14. Principal Accountant Fees and Services</w:t>
      </w:r>
    </w:p>
    <w:p>
      <w:pPr>
        <w:spacing w:after="0" w:line="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sections of the Proxy Statement entitled “Ratification of Independent Accountants” and “Relationship with Independent Public Accountants” are incorporated herein by reference.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 of Independent Registered Public Accounting Firm—Grant Thornton LLP</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Balance Sheets—December 31, 2004 and 2003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Operations—Years Ended December 31, 2004, 2003 and 2002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Common Shareholders’ Equity—Years Ended December 31, 2004, 2003 and 2002</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Cash Flows—Years Ended December 31, 2004, 2003 and 2002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 to Consolidated Financial Statements (including selected quarterly data)</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Financial Statement Schedules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III. Schedule of Real Estate and Accumulated Depreciation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IV. Mortgage Loans on Real Estate</w:t>
      </w:r>
    </w:p>
    <w:p>
      <w:pPr>
        <w:spacing w:after="0" w:line="158" w:lineRule="exact"/>
        <w:rPr>
          <w:sz w:val="20"/>
          <w:szCs w:val="20"/>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80"/>
        <w:spacing w:after="0"/>
        <w:tabs>
          <w:tab w:leader="none" w:pos="12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3464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60325</wp:posOffset>
            </wp:positionV>
            <wp:extent cx="5746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3.1</w:t>
            </w: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Declaration of Trust of Federal Realty Investment Trust dated May 5, 1999 (previously filed as Exhibit 3.2 to the Trust’s Current Report on</w:t>
            </w:r>
          </w:p>
        </w:tc>
      </w:tr>
      <w:tr>
        <w:trPr>
          <w:trHeight w:val="222"/>
        </w:trPr>
        <w:tc>
          <w:tcPr>
            <w:tcW w:w="60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8-K filed on May 25, 1999 (File No. 1-07533) and incorporated herein by reference)</w:t>
            </w:r>
          </w:p>
        </w:tc>
      </w:tr>
      <w:tr>
        <w:trPr>
          <w:trHeight w:val="318"/>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3.2</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Amended and Restated Bylaws of Federal Realty Investment Trust last amended October 29, 2003 (previously filed as Exhibit 3.2 to the Trust’s</w:t>
            </w:r>
          </w:p>
        </w:tc>
      </w:tr>
      <w:tr>
        <w:trPr>
          <w:trHeight w:val="216"/>
        </w:trPr>
        <w:tc>
          <w:tcPr>
            <w:tcW w:w="60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Annual Report on Form 10-K for the year ended December 31, 2003 (File No. 1-07533) (the “2003 Form 10-K”) and incorporated herein by</w:t>
            </w:r>
          </w:p>
        </w:tc>
      </w:tr>
      <w:tr>
        <w:trPr>
          <w:trHeight w:val="222"/>
        </w:trPr>
        <w:tc>
          <w:tcPr>
            <w:tcW w:w="60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318"/>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4.1</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Specimen Common Share certificate (previously filed as Exhibit 4(i) to the Trust’s Annual Report on Form 10-K for the year ended December</w:t>
            </w:r>
          </w:p>
        </w:tc>
      </w:tr>
      <w:tr>
        <w:trPr>
          <w:trHeight w:val="222"/>
        </w:trPr>
        <w:tc>
          <w:tcPr>
            <w:tcW w:w="60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31, 1999 (File No. 1-07533) (the “1999 Form 10-K”) and incorporated herein by reference)</w:t>
            </w:r>
          </w:p>
        </w:tc>
      </w:tr>
      <w:tr>
        <w:trPr>
          <w:trHeight w:val="318"/>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4.2</w:t>
            </w: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 xml:space="preserve">Articles Supplementary relating to the 8 </w:t>
            </w:r>
            <w:r>
              <w:rPr>
                <w:rFonts w:ascii="Arial" w:cs="Arial" w:eastAsia="Arial" w:hAnsi="Arial"/>
                <w:sz w:val="22"/>
                <w:szCs w:val="22"/>
                <w:color w:val="auto"/>
                <w:w w:val="89"/>
                <w:vertAlign w:val="superscript"/>
              </w:rPr>
              <w:t>1</w:t>
            </w:r>
            <w:r>
              <w:rPr>
                <w:rFonts w:ascii="Arial" w:cs="Arial" w:eastAsia="Arial" w:hAnsi="Arial"/>
                <w:sz w:val="18"/>
                <w:szCs w:val="18"/>
                <w:color w:val="auto"/>
                <w:w w:val="89"/>
              </w:rPr>
              <w:t>/</w:t>
            </w:r>
            <w:r>
              <w:rPr>
                <w:rFonts w:ascii="Arial" w:cs="Arial" w:eastAsia="Arial" w:hAnsi="Arial"/>
                <w:sz w:val="13"/>
                <w:szCs w:val="13"/>
                <w:color w:val="auto"/>
                <w:w w:val="89"/>
              </w:rPr>
              <w:t>2</w:t>
            </w:r>
            <w:r>
              <w:rPr>
                <w:rFonts w:ascii="Arial" w:cs="Arial" w:eastAsia="Arial" w:hAnsi="Arial"/>
                <w:sz w:val="18"/>
                <w:szCs w:val="18"/>
                <w:color w:val="auto"/>
                <w:w w:val="89"/>
              </w:rPr>
              <w:t>% Series B Cumulative Redeemable Preferred Shares (previously filed as Exhibit 4.1 to the Trust’s</w:t>
            </w:r>
          </w:p>
        </w:tc>
      </w:tr>
      <w:tr>
        <w:trPr>
          <w:trHeight w:val="222"/>
        </w:trPr>
        <w:tc>
          <w:tcPr>
            <w:tcW w:w="60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Registration Statement on Form 8-A filed on November 26, 2001 (File No. 1-07533) (the “2001 Form 8-A”) and incorporated by reference)</w:t>
            </w:r>
          </w:p>
        </w:tc>
      </w:tr>
      <w:tr>
        <w:trPr>
          <w:trHeight w:val="365"/>
        </w:trPr>
        <w:tc>
          <w:tcPr>
            <w:tcW w:w="60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320" w:type="dxa"/>
            <w:vAlign w:val="bottom"/>
          </w:tcPr>
          <w:p>
            <w:pPr>
              <w:spacing w:after="0"/>
              <w:rPr>
                <w:sz w:val="14"/>
                <w:szCs w:val="14"/>
                <w:color w:val="auto"/>
              </w:rPr>
            </w:pPr>
          </w:p>
        </w:tc>
      </w:tr>
      <w:tr>
        <w:trPr>
          <w:trHeight w:val="174"/>
        </w:trPr>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No.</w:t>
            </w:r>
          </w:p>
        </w:tc>
        <w:tc>
          <w:tcPr>
            <w:tcW w:w="1082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320" w:type="dxa"/>
            <w:vAlign w:val="bottom"/>
          </w:tcPr>
          <w:p>
            <w:pPr>
              <w:spacing w:after="0"/>
              <w:rPr>
                <w:sz w:val="8"/>
                <w:szCs w:val="8"/>
                <w:color w:val="auto"/>
              </w:rPr>
            </w:pPr>
          </w:p>
        </w:tc>
      </w:tr>
      <w:tr>
        <w:trPr>
          <w:trHeight w:val="377"/>
        </w:trPr>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 xml:space="preserve">Specimen 8 </w:t>
            </w:r>
            <w:r>
              <w:rPr>
                <w:rFonts w:ascii="Arial" w:cs="Arial" w:eastAsia="Arial" w:hAnsi="Arial"/>
                <w:sz w:val="22"/>
                <w:szCs w:val="22"/>
                <w:color w:val="auto"/>
                <w:w w:val="93"/>
                <w:vertAlign w:val="superscript"/>
              </w:rPr>
              <w:t>1</w:t>
            </w:r>
            <w:r>
              <w:rPr>
                <w:rFonts w:ascii="Arial" w:cs="Arial" w:eastAsia="Arial" w:hAnsi="Arial"/>
                <w:sz w:val="18"/>
                <w:szCs w:val="18"/>
                <w:color w:val="auto"/>
                <w:w w:val="93"/>
              </w:rPr>
              <w:t>/</w:t>
            </w:r>
            <w:r>
              <w:rPr>
                <w:rFonts w:ascii="Arial" w:cs="Arial" w:eastAsia="Arial" w:hAnsi="Arial"/>
                <w:sz w:val="13"/>
                <w:szCs w:val="13"/>
                <w:color w:val="auto"/>
                <w:w w:val="93"/>
              </w:rPr>
              <w:t>2</w:t>
            </w:r>
            <w:r>
              <w:rPr>
                <w:rFonts w:ascii="Arial" w:cs="Arial" w:eastAsia="Arial" w:hAnsi="Arial"/>
                <w:sz w:val="18"/>
                <w:szCs w:val="18"/>
                <w:color w:val="auto"/>
                <w:w w:val="93"/>
              </w:rPr>
              <w:t>% Series B Cumulative Redeemable Preferred Share certificate (previously filed as Exhibit 4.2 to the 2001 Form 8-A and</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5"/>
              </w:rPr>
              <w:t>Amended and Restated Rights Agreement, dated March 11, 1999, between the Trust and American Stock Transfer &amp; Trust Company</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(previously filed as Exhibit 1 to the Trust’s Registration Statement on Form 8-A/A filed on March 11, 1999 (File No. 1-07533) and incorporated</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First Amendment to Amended and Restated Rights Agreement, dated as of November   , 2003, between the Trust and American Stock Transfer</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&amp; Trust Company (previously filed as Exhibit 4.5 to the 2003 Form 10-K and 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7"/>
              </w:rPr>
              <w:t xml:space="preserve">Indenture dated December 13, 1993 related to the Trust’s 7.48% Debentures due August 15, 2026; 6 </w:t>
            </w:r>
            <w:r>
              <w:rPr>
                <w:rFonts w:ascii="Arial" w:cs="Arial" w:eastAsia="Arial" w:hAnsi="Arial"/>
                <w:sz w:val="22"/>
                <w:szCs w:val="22"/>
                <w:color w:val="auto"/>
                <w:w w:val="87"/>
                <w:vertAlign w:val="superscript"/>
              </w:rPr>
              <w:t>5</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2005; 6.82% Medium Term</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Notes due August 1, 2027; and 6.99% Medium Term Notes due March 10, 2006 (previously filed as Exhibit 4(a) to the Trust’s Registration</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Statement on Form S-3 (File No. 33-51029), and amended on Form S-3 (File No. 33-63687), filed on December 13, 1993 is incorporated herein</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 xml:space="preserve">Indenture dated September 1, 1998 related to the Trust’s 8.75% Notes due December 1, 2009 and the Trust’s 6 </w:t>
            </w:r>
            <w:r>
              <w:rPr>
                <w:rFonts w:ascii="Arial" w:cs="Arial" w:eastAsia="Arial" w:hAnsi="Arial"/>
                <w:sz w:val="22"/>
                <w:szCs w:val="22"/>
                <w:color w:val="auto"/>
                <w:w w:val="89"/>
                <w:vertAlign w:val="superscript"/>
              </w:rPr>
              <w:t>1</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Notes due November 15,</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2007 and the Trust’s 4.50% Notes due 2011 (previously filed as Exhibit 4(a) to the Trust’s Registration Statement on Form S-3 (File No. 333-</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63619) filed on September 17, 1998 is 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6"/>
              </w:rPr>
              <w:t>Pursuant to Regulation S-K Item 601(b)(4)(iii), the Trust by this filing agrees, upon request, to furnish to the Securities and Exchange</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1983 Stock Option Plan and 1985 Non-Qualified Stock Option Plan of Federal Realty Investment Trust (previously filed</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5"/>
              </w:rPr>
              <w:t>as exhibits to the Trust’s Registration Statement in Form S-8 (File No. 33-55111), filed on August 17, 1994 and incorporated herein by</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4"/>
              </w:rPr>
              <w:t>1985 Non-Qualified Stock Option Plan (previously filed as a portion of Exhibit 10 to the Trust’s Annual Report on Form 10-K for the year</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ended December 31, 1985 (File No. 1-07533) and 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1991 Share Purchase Plan (previously filed as a portion of Exhibit 10 to the Trust’s Annual Report on Form 10-K for the year ended December</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31, 1990 (File No. 1-07533) and 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Amendment dated October 1, 1992 to Voting Trust Agreement dated as of March 3, 1989 by and between I. Wolford Berman and Dennis L.</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Berman (previously filed as an exhibit to the Trust’s Annual Report on Form 10-K for the year ended December 31, 1992 (File No. 1-07533)</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 filed</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7"/>
              </w:rPr>
              <w:t>as a portion of Exhibit 10 to the Trust’s Annual Report on Form 10-K for the year ended December 31, 1998 (File No. 1-07533) and</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Fiscal Agency Agreement dated as of October 28, 1993 between the Trust and Citibank, N.A. (previously filed as an exhibit to the Trust’s</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Quarterly Report on Form 10-Q for the quarter ended September 30, 1993 (File No. 1-07533) (the “1993 Form 10-Q”) and incorporated herein</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Form of Severance Agreement between the Trust and Certain of its Officers dated December 31, 1994 (previously filed as a portion of Exhibit</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10 to the Trust’s Annual Report on Form 10-K for the year ended December 31, 1994 (File No. 1-07533) and incorporated herein by reference)</w:t>
            </w:r>
          </w:p>
        </w:tc>
      </w:tr>
      <w:tr>
        <w:trPr>
          <w:trHeight w:val="365"/>
        </w:trPr>
        <w:tc>
          <w:tcPr>
            <w:tcW w:w="580" w:type="dxa"/>
            <w:vAlign w:val="bottom"/>
          </w:tcPr>
          <w:p>
            <w:pPr>
              <w:spacing w:after="0"/>
              <w:rPr>
                <w:sz w:val="24"/>
                <w:szCs w:val="24"/>
                <w:color w:val="auto"/>
              </w:rPr>
            </w:pPr>
          </w:p>
        </w:tc>
        <w:tc>
          <w:tcPr>
            <w:tcW w:w="10820" w:type="dxa"/>
            <w:vAlign w:val="bottom"/>
            <w:gridSpan w:val="3"/>
          </w:tcPr>
          <w:p>
            <w:pPr>
              <w:ind w:left="504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3464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60325</wp:posOffset>
            </wp:positionV>
            <wp:extent cx="5746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96" w:lineRule="exact"/>
        <w:rPr>
          <w:sz w:val="20"/>
          <w:szCs w:val="20"/>
          <w:color w:val="auto"/>
        </w:rPr>
      </w:pPr>
    </w:p>
    <w:p>
      <w:pPr>
        <w:jc w:val="both"/>
        <w:ind w:left="1080" w:right="320" w:hanging="860"/>
        <w:spacing w:after="0" w:line="259"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Performance Share Award Agreement dated as of February 9, 2000 between the Trust and Donald C. Wood (previously filed as a portion of Exhibit 10 to the Trust’s Annual Report on Form 10-K for the year ended December 31, 1999 (File No. 1-07533) (the “1999 Form 10-K”) and incorporated herein by reference)</w:t>
      </w:r>
    </w:p>
    <w:p>
      <w:pPr>
        <w:spacing w:after="0" w:line="86"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 Restricted Share Award Agreement dated as of February 9, 2000 between the Trust and Donald C. Wood (previously filed as a portion of Exhibit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 to the 1999 Form 10-K and incorporated herein by reference)</w:t>
      </w:r>
    </w:p>
    <w:p>
      <w:pPr>
        <w:spacing w:after="0" w:line="111" w:lineRule="exact"/>
        <w:rPr>
          <w:sz w:val="20"/>
          <w:szCs w:val="20"/>
          <w:color w:val="auto"/>
        </w:rPr>
      </w:pPr>
    </w:p>
    <w:p>
      <w:pPr>
        <w:ind w:left="1080" w:right="180" w:hanging="948"/>
        <w:spacing w:after="0" w:line="268" w:lineRule="auto"/>
        <w:tabs>
          <w:tab w:leader="none" w:pos="10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Severance Agreement between the Trust and Donald C. Wood dated February 22, 1999 (previously filed as a portion of Exhibit 10 to the 1999 Form 10-K and incorporated herein by reference)</w:t>
      </w:r>
    </w:p>
    <w:p>
      <w:pPr>
        <w:spacing w:after="0" w:line="78" w:lineRule="exact"/>
        <w:rPr>
          <w:sz w:val="20"/>
          <w:szCs w:val="20"/>
          <w:color w:val="auto"/>
        </w:rPr>
      </w:pPr>
    </w:p>
    <w:p>
      <w:pPr>
        <w:ind w:left="1080" w:right="180" w:hanging="941"/>
        <w:spacing w:after="0" w:line="268"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Executive Agreement between Federal Realty Investment Trust and Donald C. Wood dated February 22, 1999 (previously filed as a portion of Exhibit 10 to the 1999 Form 10-K and incorporated herein by reference)</w:t>
      </w:r>
    </w:p>
    <w:p>
      <w:pPr>
        <w:spacing w:after="0" w:line="78"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 Amendment to Executive Agreement between Federal Realty Investment Trust and Donald C. Wood dated February 16, 2005</w:t>
      </w:r>
    </w:p>
    <w:p>
      <w:pPr>
        <w:spacing w:after="0" w:line="117" w:lineRule="exact"/>
        <w:rPr>
          <w:sz w:val="20"/>
          <w:szCs w:val="20"/>
          <w:color w:val="auto"/>
        </w:rPr>
      </w:pPr>
    </w:p>
    <w:p>
      <w:pPr>
        <w:jc w:val="both"/>
        <w:ind w:left="1080" w:right="320" w:hanging="948"/>
        <w:spacing w:after="0" w:line="259"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 Amendment to Restricted Share Award Agreement dated December 8, 2000 the Trust and Donald C. Wood (previously filed as a portion of Exhibit 10 to the Trust’s Annual Report on Form 10-K for the year ended December 31, 2000 (File No. 1-07533) (the “2000 Form 10-K”) and incorporated herein by reference)</w:t>
      </w:r>
    </w:p>
    <w:p>
      <w:pPr>
        <w:spacing w:after="0" w:line="86"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 Split Dollar Life Insurance Agreement dated August 12, 1998 between the Trust and Donald C. Wood (previously filed as a portion of Exhibit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 to the 2000 Form 10-K and incorporated herein by reference)</w:t>
      </w:r>
    </w:p>
    <w:p>
      <w:pPr>
        <w:spacing w:after="0" w:line="111" w:lineRule="exact"/>
        <w:rPr>
          <w:sz w:val="20"/>
          <w:szCs w:val="20"/>
          <w:color w:val="auto"/>
        </w:rPr>
      </w:pPr>
    </w:p>
    <w:p>
      <w:pPr>
        <w:ind w:left="1080" w:right="320" w:hanging="948"/>
        <w:spacing w:after="0" w:line="259" w:lineRule="auto"/>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Restricted Share Award Agreement dated as of February 15, 2000 between the Trust and Jeffrey S. Berkes (previously filed as a portion of Exhibit 10 to the Trust’s Annual Report on Form 10-K for the year ended December 31, 2001 (File No. 1-07533) (the “2001 Form 10-K”) and incorporated herein by reference)</w:t>
      </w:r>
    </w:p>
    <w:p>
      <w:pPr>
        <w:spacing w:after="0" w:line="86"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 Severance Agreement between the Trust and Jeffrey S. Berkes dated March 1, 2000 (previously filed as a portion of Exhibit 10 to the 2001 Form</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10-K and incorporated herein by reference)</w:t>
      </w:r>
    </w:p>
    <w:p>
      <w:pPr>
        <w:spacing w:after="0" w:line="111"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 Amendment to Severance Agreement between Federal Realty Investment Trust and Jeff Berkes dated February 16, 2005</w:t>
      </w:r>
    </w:p>
    <w:p>
      <w:pPr>
        <w:spacing w:after="0" w:line="117" w:lineRule="exact"/>
        <w:rPr>
          <w:sz w:val="20"/>
          <w:szCs w:val="20"/>
          <w:color w:val="auto"/>
        </w:rPr>
      </w:pPr>
    </w:p>
    <w:p>
      <w:pPr>
        <w:jc w:val="both"/>
        <w:ind w:left="1080" w:right="400" w:hanging="948"/>
        <w:spacing w:after="0" w:line="259" w:lineRule="auto"/>
        <w:tabs>
          <w:tab w:leader="none" w:pos="10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 Severance Agreement dated March 1, 2002 between the Trust and Larry E. Finger (previously filed as a portion of Exhibit 10 to the Trust’s Annual Report on Form 10-K for the year ended December 31, 2002 (File No. 1-07533) (the “2002 Form 10-K”) and incorporated herein by reference)</w:t>
      </w:r>
    </w:p>
    <w:p>
      <w:pPr>
        <w:spacing w:after="0" w:line="86"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 Amendment to Severance Agreement between Federal Realty Investment Trust and Larry Finger dated February 16, 2005</w:t>
      </w:r>
    </w:p>
    <w:p>
      <w:pPr>
        <w:spacing w:after="0" w:line="117" w:lineRule="exact"/>
        <w:rPr>
          <w:sz w:val="20"/>
          <w:szCs w:val="20"/>
          <w:color w:val="auto"/>
        </w:rPr>
      </w:pPr>
    </w:p>
    <w:p>
      <w:pPr>
        <w:ind w:left="1080" w:right="260" w:hanging="948"/>
        <w:spacing w:after="0" w:line="268" w:lineRule="auto"/>
        <w:tabs>
          <w:tab w:leader="none" w:pos="10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 Combined Incentive and Non-Qualified Stock Option Agreement dated February 28, 2002 between the Trust and Larry E. Finger (previously filed as a portion of Exhibit 10 to the 2002 Form 10-K and incorporated herein by reference)</w:t>
      </w:r>
    </w:p>
    <w:p>
      <w:pPr>
        <w:spacing w:after="0" w:line="78"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 Performance Share Award Agreement between the Trust and Donald C. Wood dated February 28, 2002 (previously filed as a portion of Exhibit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 to the 2002 Form 10-K and incorporated herein by reference)</w:t>
      </w:r>
    </w:p>
    <w:p>
      <w:pPr>
        <w:spacing w:after="0" w:line="111"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 Performance Share Award Agreement between the Trust and Jeffrey S. Berkes dated February 28, 2002 (previously filed as a portion of Exhibit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 to the 2002 Form 10-K and incorporated herein by reference)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3464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60325</wp:posOffset>
            </wp:positionV>
            <wp:extent cx="5746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96"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 Amendment to Stock Option Agreement dated August 15, 2002 between the Trust and Dawn M. Becker (previously filed as a portion of Exhibit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 to the 2002 Form 10-K and incorporated herein by reference)</w:t>
      </w:r>
    </w:p>
    <w:p>
      <w:pPr>
        <w:spacing w:after="0" w:line="111" w:lineRule="exact"/>
        <w:rPr>
          <w:sz w:val="20"/>
          <w:szCs w:val="20"/>
          <w:color w:val="auto"/>
        </w:rPr>
      </w:pPr>
    </w:p>
    <w:p>
      <w:pPr>
        <w:ind w:left="1080" w:hanging="948"/>
        <w:spacing w:after="0" w:line="268" w:lineRule="auto"/>
        <w:tabs>
          <w:tab w:leader="none" w:pos="10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 Amendment to Stock Option Agreement dated August 15, 2002 between Federal Realty Investment Trust and Jeffrey S. Berkes (previously filed as Exhibit 10.31 to the 2002 Form 10-K and incorporated herein by reference)</w:t>
      </w:r>
    </w:p>
    <w:p>
      <w:pPr>
        <w:spacing w:after="0" w:line="78" w:lineRule="exact"/>
        <w:rPr>
          <w:sz w:val="20"/>
          <w:szCs w:val="20"/>
          <w:color w:val="auto"/>
        </w:rPr>
      </w:pPr>
    </w:p>
    <w:p>
      <w:pPr>
        <w:ind w:left="1080" w:right="340" w:hanging="948"/>
        <w:spacing w:after="0" w:line="268" w:lineRule="auto"/>
        <w:tabs>
          <w:tab w:leader="none" w:pos="10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2001 Long-Term Incentive Plan (previously filed as Exhibit 99.1 to the Trust’s S-8 Registration Number 333-60364 filed on May 7, 2001 and incorporated herein by reference)</w:t>
      </w:r>
    </w:p>
    <w:p>
      <w:pPr>
        <w:spacing w:after="0" w:line="78"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Health Coverage Continuation Agreement between Federal Realty Investment Trust and Don Wood dated February 16, 2005.</w:t>
      </w:r>
    </w:p>
    <w:p>
      <w:pPr>
        <w:spacing w:after="0" w:line="117"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5"/>
          <w:szCs w:val="15"/>
          <w:color w:val="auto"/>
        </w:rPr>
        <w:t>* Amendment to Severance Agreement between the Trust and Dawn Becker dated February 16, 2005.</w:t>
      </w:r>
    </w:p>
    <w:p>
      <w:pPr>
        <w:spacing w:after="0" w:line="117"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2001 Long-Term Incentive Plan</w:t>
      </w:r>
    </w:p>
    <w:p>
      <w:pPr>
        <w:spacing w:after="0" w:line="111" w:lineRule="exact"/>
        <w:rPr>
          <w:sz w:val="20"/>
          <w:szCs w:val="20"/>
          <w:color w:val="auto"/>
        </w:rPr>
      </w:pPr>
    </w:p>
    <w:p>
      <w:pPr>
        <w:ind w:left="1080" w:right="280" w:hanging="948"/>
        <w:spacing w:after="0" w:line="268" w:lineRule="auto"/>
        <w:tabs>
          <w:tab w:leader="none" w:pos="10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Form of Restricted Share Award Agreement for awards made under the Trust’s Annual Incentive Bonus Program for shares issued out of 2001 Long-Term Incentive Plan</w:t>
      </w:r>
    </w:p>
    <w:p>
      <w:pPr>
        <w:spacing w:after="0" w:line="78"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Form of Option Award Agreement for options awarded under 2001 Long-Term Incentive Plan</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Federal Realty Investment Trust</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 (filed herewith)</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Power of Attorney (included on signature page)</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w:t>
      </w:r>
    </w:p>
    <w:p>
      <w:pPr>
        <w:spacing w:after="0" w:line="158" w:lineRule="exact"/>
        <w:rPr>
          <w:sz w:val="20"/>
          <w:szCs w:val="20"/>
          <w:color w:val="auto"/>
        </w:rPr>
      </w:pPr>
    </w:p>
    <w:p>
      <w:pPr>
        <w:ind w:left="260" w:hanging="247"/>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15(a)(3) above</w:t>
      </w:r>
    </w:p>
    <w:p>
      <w:pPr>
        <w:spacing w:after="0" w:line="158" w:lineRule="exact"/>
        <w:rPr>
          <w:sz w:val="20"/>
          <w:szCs w:val="20"/>
          <w:color w:val="auto"/>
        </w:rPr>
      </w:pPr>
    </w:p>
    <w:p>
      <w:pPr>
        <w:ind w:left="260" w:hanging="247"/>
        <w:spacing w:after="0"/>
        <w:tabs>
          <w:tab w:leader="none" w:pos="26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Not Applicable</w:t>
      </w:r>
    </w:p>
    <w:p>
      <w:pPr>
        <w:spacing w:after="0" w:line="157" w:lineRule="exact"/>
        <w:rPr>
          <w:rFonts w:ascii="Arial" w:cs="Arial" w:eastAsia="Arial" w:hAnsi="Arial"/>
          <w:sz w:val="18"/>
          <w:szCs w:val="18"/>
          <w:color w:val="auto"/>
        </w:rPr>
      </w:pPr>
    </w:p>
    <w:p>
      <w:pPr>
        <w:ind w:left="5620" w:right="5100" w:hanging="5618"/>
        <w:spacing w:after="0" w:line="525" w:lineRule="auto"/>
        <w:rPr>
          <w:rFonts w:ascii="Arial" w:cs="Arial" w:eastAsia="Arial" w:hAnsi="Arial"/>
          <w:sz w:val="18"/>
          <w:szCs w:val="18"/>
          <w:color w:val="auto"/>
        </w:rPr>
      </w:pPr>
      <w:r>
        <w:rPr>
          <w:rFonts w:ascii="Arial" w:cs="Arial" w:eastAsia="Arial" w:hAnsi="Arial"/>
          <w:sz w:val="16"/>
          <w:szCs w:val="16"/>
          <w:color w:val="auto"/>
        </w:rPr>
        <w:t>* Management contract or compensatory plan to be filed under item 15(b) of Form 10-K. 51</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2nd day of March,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tabs>
          <w:tab w:leader="none" w:pos="820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Donald C. Wood</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920" w:type="dxa"/>
            <w:vAlign w:val="bottom"/>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4580" w:type="dxa"/>
            <w:vAlign w:val="bottom"/>
            <w:gridSpan w:val="4"/>
          </w:tcPr>
          <w:p>
            <w:pPr>
              <w:jc w:val="center"/>
              <w:ind w:right="340"/>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DONALD C. WOOD</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Trustee (Principal Executive</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March 2, 2005</w:t>
            </w:r>
          </w:p>
        </w:tc>
        <w:tc>
          <w:tcPr>
            <w:tcW w:w="0" w:type="dxa"/>
            <w:vAlign w:val="bottom"/>
          </w:tcPr>
          <w:p>
            <w:pPr>
              <w:spacing w:after="0"/>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500" w:type="dxa"/>
            <w:vAlign w:val="bottom"/>
          </w:tcPr>
          <w:p>
            <w:pPr>
              <w:spacing w:after="0"/>
              <w:rPr>
                <w:sz w:val="7"/>
                <w:szCs w:val="7"/>
                <w:color w:val="auto"/>
              </w:rPr>
            </w:pPr>
          </w:p>
        </w:tc>
        <w:tc>
          <w:tcPr>
            <w:tcW w:w="3080" w:type="dxa"/>
            <w:vAlign w:val="bottom"/>
            <w:gridSpan w:val="3"/>
            <w:vMerge w:val="restart"/>
          </w:tcPr>
          <w:p>
            <w:pPr>
              <w:jc w:val="center"/>
              <w:ind w:right="1480"/>
              <w:spacing w:after="0"/>
              <w:rPr>
                <w:sz w:val="20"/>
                <w:szCs w:val="20"/>
                <w:color w:val="auto"/>
              </w:rPr>
            </w:pPr>
            <w:r>
              <w:rPr>
                <w:rFonts w:ascii="Arial" w:cs="Arial" w:eastAsia="Arial" w:hAnsi="Arial"/>
                <w:sz w:val="14"/>
                <w:szCs w:val="14"/>
                <w:b w:val="1"/>
                <w:bCs w:val="1"/>
                <w:color w:val="auto"/>
                <w:w w:val="88"/>
              </w:rPr>
              <w:t>Donald C. Wood</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500" w:type="dxa"/>
            <w:vAlign w:val="bottom"/>
          </w:tcPr>
          <w:p>
            <w:pPr>
              <w:spacing w:after="0"/>
              <w:rPr>
                <w:sz w:val="15"/>
                <w:szCs w:val="15"/>
                <w:color w:val="auto"/>
              </w:rPr>
            </w:pPr>
          </w:p>
        </w:tc>
        <w:tc>
          <w:tcPr>
            <w:tcW w:w="30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500" w:type="dxa"/>
            <w:vAlign w:val="bottom"/>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gridSpan w:val="3"/>
          </w:tcPr>
          <w:p>
            <w:pPr>
              <w:jc w:val="center"/>
              <w:ind w:right="1500"/>
              <w:spacing w:after="0"/>
              <w:rPr>
                <w:sz w:val="20"/>
                <w:szCs w:val="20"/>
                <w:color w:val="auto"/>
              </w:rPr>
            </w:pPr>
            <w:r>
              <w:rPr>
                <w:rFonts w:ascii="Arial" w:cs="Arial" w:eastAsia="Arial" w:hAnsi="Arial"/>
                <w:sz w:val="18"/>
                <w:szCs w:val="18"/>
                <w:color w:val="auto"/>
                <w:w w:val="94"/>
              </w:rPr>
              <w:t>LARRY E. FINGER</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Chief Financial Officer and</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March 2, 2005</w:t>
            </w:r>
          </w:p>
        </w:tc>
        <w:tc>
          <w:tcPr>
            <w:tcW w:w="0" w:type="dxa"/>
            <w:vAlign w:val="bottom"/>
          </w:tcPr>
          <w:p>
            <w:pPr>
              <w:spacing w:after="0"/>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Treasurer (principal financial and accounting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500" w:type="dxa"/>
            <w:vAlign w:val="bottom"/>
          </w:tcPr>
          <w:p>
            <w:pPr>
              <w:spacing w:after="0"/>
              <w:rPr>
                <w:sz w:val="7"/>
                <w:szCs w:val="7"/>
                <w:color w:val="auto"/>
              </w:rPr>
            </w:pPr>
          </w:p>
        </w:tc>
        <w:tc>
          <w:tcPr>
            <w:tcW w:w="3080" w:type="dxa"/>
            <w:vAlign w:val="bottom"/>
            <w:gridSpan w:val="3"/>
            <w:vMerge w:val="restart"/>
          </w:tcPr>
          <w:p>
            <w:pPr>
              <w:jc w:val="center"/>
              <w:ind w:right="1480"/>
              <w:spacing w:after="0"/>
              <w:rPr>
                <w:sz w:val="20"/>
                <w:szCs w:val="20"/>
                <w:color w:val="auto"/>
              </w:rPr>
            </w:pPr>
            <w:r>
              <w:rPr>
                <w:rFonts w:ascii="Arial" w:cs="Arial" w:eastAsia="Arial" w:hAnsi="Arial"/>
                <w:sz w:val="14"/>
                <w:szCs w:val="14"/>
                <w:b w:val="1"/>
                <w:bCs w:val="1"/>
                <w:color w:val="auto"/>
                <w:w w:val="93"/>
              </w:rPr>
              <w:t>Larry E. Finger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500" w:type="dxa"/>
            <w:vAlign w:val="bottom"/>
          </w:tcPr>
          <w:p>
            <w:pPr>
              <w:spacing w:after="0"/>
              <w:rPr>
                <w:sz w:val="15"/>
                <w:szCs w:val="15"/>
                <w:color w:val="auto"/>
              </w:rPr>
            </w:pPr>
          </w:p>
        </w:tc>
        <w:tc>
          <w:tcPr>
            <w:tcW w:w="30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580" w:type="dxa"/>
            <w:vAlign w:val="bottom"/>
            <w:gridSpan w:val="4"/>
          </w:tcPr>
          <w:p>
            <w:pPr>
              <w:jc w:val="center"/>
              <w:ind w:right="340"/>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MARK S. ORDAN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Non-Executive Chairman</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March 2, 2005</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308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2"/>
              </w:rPr>
              <w:t>Mark S. Ordan</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500" w:type="dxa"/>
            <w:vAlign w:val="bottom"/>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gridSpan w:val="3"/>
          </w:tcPr>
          <w:p>
            <w:pPr>
              <w:jc w:val="center"/>
              <w:ind w:right="1480"/>
              <w:spacing w:after="0"/>
              <w:rPr>
                <w:sz w:val="20"/>
                <w:szCs w:val="20"/>
                <w:color w:val="auto"/>
              </w:rPr>
            </w:pPr>
            <w:r>
              <w:rPr>
                <w:rFonts w:ascii="Arial" w:cs="Arial" w:eastAsia="Arial" w:hAnsi="Arial"/>
                <w:sz w:val="18"/>
                <w:szCs w:val="18"/>
                <w:color w:val="auto"/>
                <w:w w:val="92"/>
              </w:rPr>
              <w:t>DAVID W. FAEDER</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March 2, 2005</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308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8"/>
              </w:rPr>
              <w:t>David W. Faeder</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500" w:type="dxa"/>
            <w:vAlign w:val="bottom"/>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gridSpan w:val="3"/>
          </w:tcPr>
          <w:p>
            <w:pPr>
              <w:jc w:val="center"/>
              <w:ind w:right="1480"/>
              <w:spacing w:after="0"/>
              <w:rPr>
                <w:sz w:val="20"/>
                <w:szCs w:val="20"/>
                <w:color w:val="auto"/>
              </w:rPr>
            </w:pPr>
            <w:r>
              <w:rPr>
                <w:rFonts w:ascii="Arial" w:cs="Arial" w:eastAsia="Arial" w:hAnsi="Arial"/>
                <w:sz w:val="18"/>
                <w:szCs w:val="18"/>
                <w:color w:val="auto"/>
                <w:w w:val="97"/>
              </w:rPr>
              <w:t>KRISTIN GAMBLE</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March 2, 2005</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308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0"/>
              </w:rPr>
              <w:t>Kristin Gamble</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580" w:type="dxa"/>
            <w:vAlign w:val="bottom"/>
            <w:gridSpan w:val="4"/>
          </w:tcPr>
          <w:p>
            <w:pPr>
              <w:jc w:val="center"/>
              <w:ind w:right="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AMY B. LANE</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March 2, 2005</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308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9"/>
              </w:rPr>
              <w:t>Amy B. Lane</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500" w:type="dxa"/>
            <w:vAlign w:val="bottom"/>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gridSpan w:val="3"/>
          </w:tcPr>
          <w:p>
            <w:pPr>
              <w:jc w:val="center"/>
              <w:ind w:right="1480"/>
              <w:spacing w:after="0"/>
              <w:rPr>
                <w:sz w:val="20"/>
                <w:szCs w:val="20"/>
                <w:color w:val="auto"/>
              </w:rPr>
            </w:pPr>
            <w:r>
              <w:rPr>
                <w:rFonts w:ascii="Arial" w:cs="Arial" w:eastAsia="Arial" w:hAnsi="Arial"/>
                <w:sz w:val="18"/>
                <w:szCs w:val="18"/>
                <w:color w:val="auto"/>
                <w:w w:val="91"/>
              </w:rPr>
              <w:t>WALTER F. LOEB</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March 2, 2005</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308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9"/>
              </w:rPr>
              <w:t>Walter F. Loeb</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580" w:type="dxa"/>
            <w:vAlign w:val="bottom"/>
            <w:gridSpan w:val="4"/>
          </w:tcPr>
          <w:p>
            <w:pPr>
              <w:jc w:val="center"/>
              <w:ind w:right="340"/>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JOSEPH S. VASSALLUZZO</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March 2, 2005</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308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2"/>
              </w:rPr>
              <w:t>Joseph S. Vassalluzzo</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60" w:type="dxa"/>
            <w:vAlign w:val="bottom"/>
          </w:tcPr>
          <w:p>
            <w:pPr>
              <w:ind w:left="104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320" w:type="dxa"/>
            <w:vAlign w:val="bottom"/>
          </w:tcPr>
          <w:p>
            <w:pPr>
              <w:spacing w:after="0"/>
              <w:rPr>
                <w:sz w:val="14"/>
                <w:szCs w:val="14"/>
                <w:color w:val="auto"/>
              </w:rPr>
            </w:pPr>
          </w:p>
        </w:tc>
      </w:tr>
      <w:tr>
        <w:trPr>
          <w:trHeight w:val="174"/>
        </w:trPr>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No.</w:t>
            </w:r>
          </w:p>
        </w:tc>
        <w:tc>
          <w:tcPr>
            <w:tcW w:w="1082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320" w:type="dxa"/>
            <w:vAlign w:val="bottom"/>
          </w:tcPr>
          <w:p>
            <w:pPr>
              <w:spacing w:after="0"/>
              <w:rPr>
                <w:sz w:val="8"/>
                <w:szCs w:val="8"/>
                <w:color w:val="auto"/>
              </w:rPr>
            </w:pPr>
          </w:p>
        </w:tc>
      </w:tr>
      <w:tr>
        <w:trPr>
          <w:trHeight w:val="309"/>
        </w:trPr>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Declaration of Trust of Federal Realty Investment Trust dated May 5, 1999 (previously filed as Exhibit 3.2 to the Trust’s Current Report on</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8-K filed on May 25, 1999 (File No. 1-07533) and 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Bylaws of Federal Realty Investment Trust last amended October 29, 2003 (previously filed as Exhibit 3.2 to the Trust’s</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Annual Report on Form 10-K for the year ended December 31, 2003 (File No. 1-07533) (the “2003 Form 10-K”) and incorporated herein by</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Specimen Common Share certificate (previously filed as Exhibit 4(i) to the Trust’s Annual Report on Form 10-K for the year ended December</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31, 1999 (File No. 1-07533) (the “1999 Form 10-K”) and 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 xml:space="preserve">Articles Supplementary relating to the 8 </w:t>
            </w:r>
            <w:r>
              <w:rPr>
                <w:rFonts w:ascii="Arial" w:cs="Arial" w:eastAsia="Arial" w:hAnsi="Arial"/>
                <w:sz w:val="22"/>
                <w:szCs w:val="22"/>
                <w:color w:val="auto"/>
                <w:w w:val="90"/>
                <w:vertAlign w:val="superscript"/>
              </w:rPr>
              <w:t>1</w:t>
            </w:r>
            <w:r>
              <w:rPr>
                <w:rFonts w:ascii="Arial" w:cs="Arial" w:eastAsia="Arial" w:hAnsi="Arial"/>
                <w:sz w:val="18"/>
                <w:szCs w:val="18"/>
                <w:color w:val="auto"/>
                <w:w w:val="90"/>
              </w:rPr>
              <w:t>/</w:t>
            </w:r>
            <w:r>
              <w:rPr>
                <w:rFonts w:ascii="Arial" w:cs="Arial" w:eastAsia="Arial" w:hAnsi="Arial"/>
                <w:sz w:val="13"/>
                <w:szCs w:val="13"/>
                <w:color w:val="auto"/>
                <w:w w:val="90"/>
              </w:rPr>
              <w:t>2</w:t>
            </w:r>
            <w:r>
              <w:rPr>
                <w:rFonts w:ascii="Arial" w:cs="Arial" w:eastAsia="Arial" w:hAnsi="Arial"/>
                <w:sz w:val="18"/>
                <w:szCs w:val="18"/>
                <w:color w:val="auto"/>
                <w:w w:val="90"/>
              </w:rPr>
              <w:t>% Series B Cumulative Redeemable Preferred Shares (previously filed as Exhibit 4.1 to the Trust’s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Registration Statement on Form 8-A filed on November 26, 2001 (File No. 1-07533) (the “2001 Form 8-A”) and incorporated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 xml:space="preserve">Specimen 8 </w:t>
            </w:r>
            <w:r>
              <w:rPr>
                <w:rFonts w:ascii="Arial" w:cs="Arial" w:eastAsia="Arial" w:hAnsi="Arial"/>
                <w:sz w:val="22"/>
                <w:szCs w:val="22"/>
                <w:color w:val="auto"/>
                <w:w w:val="93"/>
                <w:vertAlign w:val="superscript"/>
              </w:rPr>
              <w:t>1</w:t>
            </w:r>
            <w:r>
              <w:rPr>
                <w:rFonts w:ascii="Arial" w:cs="Arial" w:eastAsia="Arial" w:hAnsi="Arial"/>
                <w:sz w:val="18"/>
                <w:szCs w:val="18"/>
                <w:color w:val="auto"/>
                <w:w w:val="93"/>
              </w:rPr>
              <w:t>/</w:t>
            </w:r>
            <w:r>
              <w:rPr>
                <w:rFonts w:ascii="Arial" w:cs="Arial" w:eastAsia="Arial" w:hAnsi="Arial"/>
                <w:sz w:val="13"/>
                <w:szCs w:val="13"/>
                <w:color w:val="auto"/>
                <w:w w:val="93"/>
              </w:rPr>
              <w:t>2</w:t>
            </w:r>
            <w:r>
              <w:rPr>
                <w:rFonts w:ascii="Arial" w:cs="Arial" w:eastAsia="Arial" w:hAnsi="Arial"/>
                <w:sz w:val="18"/>
                <w:szCs w:val="18"/>
                <w:color w:val="auto"/>
                <w:w w:val="93"/>
              </w:rPr>
              <w:t>% Series B Cumulative Redeemable Preferred Share certificate (previously filed as Exhibit 4.2 to the 2001 Form 8-A and</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5"/>
              </w:rPr>
              <w:t>Amended and Restated Rights Agreement, dated March 11, 1999, between the Trust and American Stock Transfer &amp; Trust Company</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(previously filed as Exhibit 1 to the Trust’s Registration Statement on Form 8-A/A filed on March 11, 1999 (File No. 1-07533) and incorporated</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First Amendment to Amended and Restated Rights Agreement, dated as of November   , 2003, between the Trust and American Stock Transfer</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&amp; Trust Company (previously filed as Exhibit 4.5 to the 2003 Form 10-K and 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7"/>
              </w:rPr>
              <w:t xml:space="preserve">Indenture dated December 13, 1993 related to the Trust’s 7.48% Debentures due August 15, 2026; 6 </w:t>
            </w:r>
            <w:r>
              <w:rPr>
                <w:rFonts w:ascii="Arial" w:cs="Arial" w:eastAsia="Arial" w:hAnsi="Arial"/>
                <w:sz w:val="22"/>
                <w:szCs w:val="22"/>
                <w:color w:val="auto"/>
                <w:w w:val="87"/>
                <w:vertAlign w:val="superscript"/>
              </w:rPr>
              <w:t>5</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2005; 6.82% Medium Term</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Notes due August 1, 2027; and 6.99% Medium Term Notes due March 10, 2006 (previously filed as Exhibit 4(a) to the Trust’s Registration</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Statement on Form S-3 (File No. 33-51029), and amended on Form S-3 (File No. 33-63687), filed on December 13, 1993 is incorporated herein</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 xml:space="preserve">Indenture dated September 1, 1998 related to the Trust’s 8.75% Notes due December 1, 2009 and the Trust’s 6 </w:t>
            </w:r>
            <w:r>
              <w:rPr>
                <w:rFonts w:ascii="Arial" w:cs="Arial" w:eastAsia="Arial" w:hAnsi="Arial"/>
                <w:sz w:val="22"/>
                <w:szCs w:val="22"/>
                <w:color w:val="auto"/>
                <w:w w:val="89"/>
                <w:vertAlign w:val="superscript"/>
              </w:rPr>
              <w:t>1</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Notes due November 15,</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2007 and the Trust’s 4.50% Notes due 2011 (previously filed as Exhibit 4(a) to the Trust’s Registration Statement on Form S-3 (File No. 333-</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63619) filed on September 17, 1998 is 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6"/>
              </w:rPr>
              <w:t>Pursuant to Regulation S-K Item 601(b)(4)(iii), the Trust by this filing agrees, upon request, to furnish to the Securities and Exchange</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1983 Stock Option Plan and 1985 Non-Qualified Stock Option Plan of Federal Realty Investment Trust (previously filed</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5"/>
              </w:rPr>
              <w:t>as exhibits to the Trust’s Registration Statement in Form S-8 (File No. 33-55111), filed on August 17, 1994 and incorporated herein by</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4"/>
              </w:rPr>
              <w:t>1985 Non-Qualified Stock Option Plan (previously filed as a portion of Exhibit 10 to the Trust’s Annual Report on Form 10-K for the year</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ended December 31, 1985 (File No. 1-07533) and incorporated herein by reference)</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1991 Share Purchase Plan (previously filed as a portion of Exhibit 10 to the Trust’s Annual Report on Form 10-K for the year ended December</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31, 1990 (File No. 1-07533) and incorporated herein by reference)</w:t>
            </w:r>
          </w:p>
        </w:tc>
      </w:tr>
      <w:tr>
        <w:trPr>
          <w:trHeight w:val="291"/>
        </w:trPr>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Amendment dated October 1, 1992 to Voting Trust Agreement dated as of March 3, 1989 by and between I. Wolford Berman and Dennis L.</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Berman (previously filed as an exhibit to the Trust’s</w:t>
            </w:r>
          </w:p>
        </w:tc>
      </w:tr>
      <w:tr>
        <w:trPr>
          <w:trHeight w:val="365"/>
        </w:trPr>
        <w:tc>
          <w:tcPr>
            <w:tcW w:w="580" w:type="dxa"/>
            <w:vAlign w:val="bottom"/>
          </w:tcPr>
          <w:p>
            <w:pPr>
              <w:spacing w:after="0"/>
              <w:rPr>
                <w:sz w:val="24"/>
                <w:szCs w:val="24"/>
                <w:color w:val="auto"/>
              </w:rPr>
            </w:pPr>
          </w:p>
        </w:tc>
        <w:tc>
          <w:tcPr>
            <w:tcW w:w="10820" w:type="dxa"/>
            <w:vAlign w:val="bottom"/>
            <w:gridSpan w:val="3"/>
          </w:tcPr>
          <w:p>
            <w:pPr>
              <w:ind w:left="504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0"/>
        <w:spacing w:after="0"/>
        <w:tabs>
          <w:tab w:leader="none" w:pos="11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6004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60325</wp:posOffset>
            </wp:positionV>
            <wp:extent cx="54038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Annual Report on Form 10-K for the year ended December 31, 1992 (File No. 1-07533) and incorporated herein by reference)</w:t>
      </w:r>
    </w:p>
    <w:p>
      <w:pPr>
        <w:spacing w:after="0" w:line="90" w:lineRule="exact"/>
        <w:rPr>
          <w:sz w:val="20"/>
          <w:szCs w:val="20"/>
          <w:color w:val="auto"/>
        </w:rPr>
      </w:pPr>
    </w:p>
    <w:p>
      <w:pPr>
        <w:ind w:left="1120" w:hanging="860"/>
        <w:spacing w:after="0" w:line="259" w:lineRule="auto"/>
        <w:tabs>
          <w:tab w:leader="none" w:pos="11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1993 Long-Term Incentive Plan, as amended on October 6, 1997 and further amended on May 6, 1998 (previously filed as a portion of Exhibit 10 to the Trust’s Annual Report on Form 10-K for the year ended December 31, 1998 (File No. 1-07533) and incorporated herein by reference)</w:t>
      </w:r>
    </w:p>
    <w:p>
      <w:pPr>
        <w:spacing w:after="0" w:line="59" w:lineRule="exact"/>
        <w:rPr>
          <w:sz w:val="20"/>
          <w:szCs w:val="20"/>
          <w:color w:val="auto"/>
        </w:rPr>
      </w:pPr>
    </w:p>
    <w:p>
      <w:pPr>
        <w:ind w:left="1120" w:right="20" w:hanging="860"/>
        <w:spacing w:after="0" w:line="259" w:lineRule="auto"/>
        <w:tabs>
          <w:tab w:leader="none" w:pos="11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Fiscal Agency Agreement dated as of October 28, 1993 between the Trust and Citibank, N.A. (previously filed as an exhibit to the Trust’s Quarterly Report on Form 10-Q for the quarter ended September 30, 1993 (File No. 1-07533) (the “1993 Form 10-Q”) and incorporated herein by reference)</w:t>
      </w:r>
    </w:p>
    <w:p>
      <w:pPr>
        <w:spacing w:after="0" w:line="59" w:lineRule="exact"/>
        <w:rPr>
          <w:sz w:val="20"/>
          <w:szCs w:val="20"/>
          <w:color w:val="auto"/>
        </w:rPr>
      </w:pPr>
    </w:p>
    <w:p>
      <w:pPr>
        <w:ind w:left="1120" w:right="60" w:hanging="860"/>
        <w:spacing w:after="0" w:line="332" w:lineRule="auto"/>
        <w:tabs>
          <w:tab w:leader="none" w:pos="11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Severance Agreement between the Trust and Certain of its Officers dated December 31, 1994 (previously filed as a portion of Exhibit 10 to the Trust’s Annual Report on Form 10-K for the year ended December 31, 1994 (File No. 1-07533) and incorporated herein by reference)</w:t>
      </w:r>
    </w:p>
    <w:p>
      <w:pPr>
        <w:spacing w:after="0" w:line="4" w:lineRule="exact"/>
        <w:rPr>
          <w:sz w:val="20"/>
          <w:szCs w:val="20"/>
          <w:color w:val="auto"/>
        </w:rPr>
      </w:pPr>
    </w:p>
    <w:p>
      <w:pPr>
        <w:jc w:val="both"/>
        <w:ind w:left="1120" w:right="280" w:hanging="860"/>
        <w:spacing w:after="0" w:line="259" w:lineRule="auto"/>
        <w:tabs>
          <w:tab w:leader="none" w:pos="11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Performance Share Award Agreement dated as of February 9, 2000 between the Trust and Donald C. Wood (previously filed as a portion of Exhibit 10 to the Trust’s Annual Report on Form 10-K for the year ended December 31, 1999 (File No. 1-07533) (the “1999 Form 10-K”) and incorporated herein by reference)</w:t>
      </w:r>
    </w:p>
    <w:p>
      <w:pPr>
        <w:spacing w:after="0" w:line="59" w:lineRule="exact"/>
        <w:rPr>
          <w:sz w:val="20"/>
          <w:szCs w:val="20"/>
          <w:color w:val="auto"/>
        </w:rPr>
      </w:pPr>
    </w:p>
    <w:p>
      <w:pPr>
        <w:ind w:left="1120" w:right="520" w:hanging="860"/>
        <w:spacing w:after="0" w:line="268" w:lineRule="auto"/>
        <w:tabs>
          <w:tab w:leader="none" w:pos="11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 Restricted Share Award Agreement dated as of February 9, 2000 between the Trust and Donald C. Wood (previously filed as a portion of Exhibit 10 to the 1999 Form 10-K and incorporated herein by reference)</w:t>
      </w:r>
    </w:p>
    <w:p>
      <w:pPr>
        <w:spacing w:after="0" w:line="51" w:lineRule="exact"/>
        <w:rPr>
          <w:sz w:val="20"/>
          <w:szCs w:val="20"/>
          <w:color w:val="auto"/>
        </w:rPr>
      </w:pPr>
    </w:p>
    <w:p>
      <w:pPr>
        <w:ind w:left="1120" w:right="140" w:hanging="948"/>
        <w:spacing w:after="0" w:line="268" w:lineRule="auto"/>
        <w:tabs>
          <w:tab w:leader="none" w:pos="11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Severance Agreement between the Trust and Donald C. Wood dated February 22, 1999 (previously filed as a portion of Exhibit 10 to the 1999 Form 10-K and incorporated herein by reference)</w:t>
      </w:r>
    </w:p>
    <w:p>
      <w:pPr>
        <w:spacing w:after="0" w:line="51" w:lineRule="exact"/>
        <w:rPr>
          <w:sz w:val="20"/>
          <w:szCs w:val="20"/>
          <w:color w:val="auto"/>
        </w:rPr>
      </w:pPr>
    </w:p>
    <w:p>
      <w:pPr>
        <w:ind w:left="1120" w:right="140" w:hanging="941"/>
        <w:spacing w:after="0" w:line="268" w:lineRule="auto"/>
        <w:tabs>
          <w:tab w:leader="none" w:pos="11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Executive Agreement between Federal Realty Investment Trust and Donald C. Wood dated February 22, 1999 (previously filed as a portion of Exhibit 10 to the 1999 Form 10-K and incorporated herein by reference)</w:t>
      </w:r>
    </w:p>
    <w:p>
      <w:pPr>
        <w:spacing w:after="0" w:line="51"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 Amendment to Executive Agreement between Federal Realty Investment Trust and Donald C. Wood dated February 16, 2005.</w:t>
      </w:r>
    </w:p>
    <w:p>
      <w:pPr>
        <w:spacing w:after="0" w:line="90" w:lineRule="exact"/>
        <w:rPr>
          <w:sz w:val="20"/>
          <w:szCs w:val="20"/>
          <w:color w:val="auto"/>
        </w:rPr>
      </w:pPr>
    </w:p>
    <w:p>
      <w:pPr>
        <w:jc w:val="both"/>
        <w:ind w:left="1120" w:right="280" w:hanging="948"/>
        <w:spacing w:after="0" w:line="259" w:lineRule="auto"/>
        <w:tabs>
          <w:tab w:leader="none" w:pos="11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 Amendment to Restricted Share Award Agreement dated December 8, 2000 the Trust and Donald C. Wood (previously filed as a portion of Exhibit 10 to the Trust’s Annual Report on Form 10-K for the year ended December 31, 2000 (File No. 1-07533) (the “2000 Form 10-K”) and incorporated herein by reference)</w:t>
      </w:r>
    </w:p>
    <w:p>
      <w:pPr>
        <w:spacing w:after="0" w:line="59"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 Split Dollar Life Insurance Agreement dated August 12, 1998 between the Trust and Donald C. Wood (previously filed as a portion of Exhibit</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 to the 2000 Form 10-K and incorporated herein by reference)</w:t>
      </w:r>
    </w:p>
    <w:p>
      <w:pPr>
        <w:spacing w:after="0" w:line="84" w:lineRule="exact"/>
        <w:rPr>
          <w:sz w:val="20"/>
          <w:szCs w:val="20"/>
          <w:color w:val="auto"/>
        </w:rPr>
      </w:pPr>
    </w:p>
    <w:p>
      <w:pPr>
        <w:ind w:left="1120" w:right="280" w:hanging="948"/>
        <w:spacing w:after="0" w:line="259" w:lineRule="auto"/>
        <w:tabs>
          <w:tab w:leader="none" w:pos="11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Restricted Share Award Agreement dated as of February 15, 2000 between the Trust and Jeffrey S. Berkes (previously filed as a portion of Exhibit 10 to the Trust’s Annual Report on Form 10-K for the year ended December 31, 2001 (File No. 1-07533) (the “2001 Form 10-K”) and incorporated herein by reference)</w:t>
      </w:r>
    </w:p>
    <w:p>
      <w:pPr>
        <w:spacing w:after="0" w:line="59" w:lineRule="exact"/>
        <w:rPr>
          <w:sz w:val="20"/>
          <w:szCs w:val="20"/>
          <w:color w:val="auto"/>
        </w:rPr>
      </w:pPr>
    </w:p>
    <w:p>
      <w:pPr>
        <w:jc w:val="both"/>
        <w:ind w:left="1120" w:right="380" w:hanging="948"/>
        <w:spacing w:after="0" w:line="268" w:lineRule="auto"/>
        <w:tabs>
          <w:tab w:leader="none" w:pos="11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Severance Agreement between the Trust and Jeffrey S. Berkes dated March 1, 2000 (previously filed as a portion of Exhibit 10 to the 2001 Form 10-K and incorporated herein by reference)</w:t>
      </w:r>
    </w:p>
    <w:p>
      <w:pPr>
        <w:spacing w:after="0" w:line="51"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 Amendment to Severance Agreement between Federal Realty Investment Trust and Jeff Berkes dated February 16, 2005.</w:t>
      </w:r>
    </w:p>
    <w:p>
      <w:pPr>
        <w:spacing w:after="0" w:line="90" w:lineRule="exact"/>
        <w:rPr>
          <w:sz w:val="20"/>
          <w:szCs w:val="20"/>
          <w:color w:val="auto"/>
        </w:rPr>
      </w:pPr>
    </w:p>
    <w:p>
      <w:pPr>
        <w:jc w:val="both"/>
        <w:ind w:left="1120" w:right="360" w:hanging="948"/>
        <w:spacing w:after="0" w:line="259" w:lineRule="auto"/>
        <w:tabs>
          <w:tab w:leader="none" w:pos="11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 Severance Agreement dated March 1, 2002 between the Trust and Larry E. Finger (previously filed as a portion of Exhibit 10 to the Trust’s Annual Report on Form 10-K for the year ended December 31, 2002 (File No. 1-07533) (the “2002 Form 10-K”) and incorporated herein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3464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60325</wp:posOffset>
            </wp:positionV>
            <wp:extent cx="57467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96"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 Amendment to Severance Agreement between Federal Realty Investment Trust and Larry Finger dated February 16, 2005.</w:t>
      </w:r>
    </w:p>
    <w:p>
      <w:pPr>
        <w:spacing w:after="0" w:line="117" w:lineRule="exact"/>
        <w:rPr>
          <w:sz w:val="20"/>
          <w:szCs w:val="20"/>
          <w:color w:val="auto"/>
        </w:rPr>
      </w:pPr>
    </w:p>
    <w:p>
      <w:pPr>
        <w:ind w:left="1080" w:right="240" w:hanging="948"/>
        <w:spacing w:after="0" w:line="268" w:lineRule="auto"/>
        <w:tabs>
          <w:tab w:leader="none" w:pos="10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 Combined Incentive and Non-Qualified Stock Option Agreement dated February 28, 2002 between the Trust and Larry E. Finger (previously filed as a portion of Exhibit 10 to the 2002 Form 10-K and incorporated herein by reference)</w:t>
      </w:r>
    </w:p>
    <w:p>
      <w:pPr>
        <w:spacing w:after="0" w:line="78"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 Performance Share Award Agreement between the Trust and Donald C. Wood dated February 28, 2002 (previously filed as a portion of Exhibit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 to the 2002 Form 10-K and incorporated herein by reference)</w:t>
      </w:r>
    </w:p>
    <w:p>
      <w:pPr>
        <w:spacing w:after="0" w:line="111"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 Performance Share Award Agreement between the Trust and Jeffrey S. Berkes dated February 28, 2002 (previously filed as a portion of Exhibit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 to the 2002 Form 10-K and incorporated herein by reference)</w:t>
      </w:r>
    </w:p>
    <w:p>
      <w:pPr>
        <w:spacing w:after="0" w:line="111"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 Amendment to Stock Option Agreement dated August 15, 2002 between the Trust and Dawn M. Becker (previously filed as a portion of Exhibit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 to the 2002 Form 10-K and incorporated herein by reference)</w:t>
      </w:r>
    </w:p>
    <w:p>
      <w:pPr>
        <w:spacing w:after="0" w:line="111" w:lineRule="exact"/>
        <w:rPr>
          <w:sz w:val="20"/>
          <w:szCs w:val="20"/>
          <w:color w:val="auto"/>
        </w:rPr>
      </w:pPr>
    </w:p>
    <w:p>
      <w:pPr>
        <w:ind w:left="1080" w:hanging="948"/>
        <w:spacing w:after="0" w:line="268" w:lineRule="auto"/>
        <w:tabs>
          <w:tab w:leader="none" w:pos="10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 Amendment to Stock Option Agreement dated August 15, 2002 between Federal Realty Investment Trust and Jeffrey S. Berkes (previously filed as Exhibit 10.31 to the 2002 Form 10-K and incorporated herein by reference)</w:t>
      </w:r>
    </w:p>
    <w:p>
      <w:pPr>
        <w:spacing w:after="0" w:line="78" w:lineRule="exact"/>
        <w:rPr>
          <w:sz w:val="20"/>
          <w:szCs w:val="20"/>
          <w:color w:val="auto"/>
        </w:rPr>
      </w:pPr>
    </w:p>
    <w:p>
      <w:pPr>
        <w:ind w:left="1080" w:right="340" w:hanging="948"/>
        <w:spacing w:after="0" w:line="268" w:lineRule="auto"/>
        <w:tabs>
          <w:tab w:leader="none" w:pos="10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2001 Long-Term Incentive Plan (previously filed as Exhibit 99.1 to the Trust’s S-8 Registration Number 333-60364 filed on May 7, 2001 and incorporated herein by reference)</w:t>
      </w:r>
    </w:p>
    <w:p>
      <w:pPr>
        <w:spacing w:after="0" w:line="78"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Health Coverage Continuation Agreement between Federal Realty Investment Trust and Don Wood dated February 16, 2005.</w:t>
      </w:r>
    </w:p>
    <w:p>
      <w:pPr>
        <w:spacing w:after="0" w:line="117"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5"/>
          <w:szCs w:val="15"/>
          <w:color w:val="auto"/>
        </w:rPr>
        <w:t>* Amendment to Severance Agreement between the Trust and Dawn Becker dated February 16, 2005.</w:t>
      </w:r>
    </w:p>
    <w:p>
      <w:pPr>
        <w:spacing w:after="0" w:line="117"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2001 Long-Term Incentive Plan</w:t>
      </w:r>
    </w:p>
    <w:p>
      <w:pPr>
        <w:spacing w:after="0" w:line="111" w:lineRule="exact"/>
        <w:rPr>
          <w:sz w:val="20"/>
          <w:szCs w:val="20"/>
          <w:color w:val="auto"/>
        </w:rPr>
      </w:pPr>
    </w:p>
    <w:p>
      <w:pPr>
        <w:ind w:left="1080" w:right="280" w:hanging="948"/>
        <w:spacing w:after="0" w:line="268" w:lineRule="auto"/>
        <w:tabs>
          <w:tab w:leader="none" w:pos="10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Form of Restricted Share Award Agreement for awards made under the Trust’s Annual Incentive Bonus Program for shares issued out of 2001 Long-Term Incentive Plan</w:t>
      </w:r>
    </w:p>
    <w:p>
      <w:pPr>
        <w:spacing w:after="0" w:line="78"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Form of Option Award Agreement for options awarded under 2001 Long-Term Incentive Plan</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Federal Realty Investment Trust</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 (filed herewith)</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Power of Attorney (included on signature page)</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w:t>
      </w:r>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w:t>
      </w:r>
    </w:p>
    <w:p>
      <w:pPr>
        <w:spacing w:after="0" w:line="158" w:lineRule="exact"/>
        <w:rPr>
          <w:sz w:val="20"/>
          <w:szCs w:val="20"/>
          <w:color w:val="auto"/>
        </w:rPr>
      </w:pPr>
    </w:p>
    <w:p>
      <w:pPr>
        <w:ind w:left="5620" w:right="5100" w:hanging="5612"/>
        <w:spacing w:after="0" w:line="525" w:lineRule="auto"/>
        <w:tabs>
          <w:tab w:leader="none" w:pos="134"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Management contract or compensatory plan to be filed under item 15(b) of Form 10-K. 55</w:t>
      </w:r>
    </w:p>
    <w:p>
      <w:pPr>
        <w:sectPr>
          <w:pgSz w:w="11900" w:h="16838" w:orient="portrait"/>
          <w:cols w:equalWidth="0" w:num="1">
            <w:col w:w="11380"/>
          </w:cols>
          <w:pgMar w:left="240" w:top="459" w:right="27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EXECUTIVE AGREEMENT</w:t>
      </w:r>
    </w:p>
    <w:p>
      <w:pPr>
        <w:spacing w:after="0" w:line="158"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THIS AMENDMENT TO EXECUTIVE AGREEMENT </w:t>
      </w:r>
      <w:r>
        <w:rPr>
          <w:rFonts w:ascii="Arial" w:cs="Arial" w:eastAsia="Arial" w:hAnsi="Arial"/>
          <w:sz w:val="18"/>
          <w:szCs w:val="18"/>
          <w:color w:val="auto"/>
        </w:rPr>
        <w:t>(this “Amendment”), effective as of February 16, 2005, by and between</w:t>
      </w:r>
      <w:r>
        <w:rPr>
          <w:rFonts w:ascii="Arial" w:cs="Arial" w:eastAsia="Arial" w:hAnsi="Arial"/>
          <w:sz w:val="18"/>
          <w:szCs w:val="18"/>
          <w:b w:val="1"/>
          <w:bCs w:val="1"/>
          <w:color w:val="auto"/>
        </w:rPr>
        <w:t xml:space="preserve"> FEDERAL REALTY INVESTMENT TRUST</w:t>
      </w:r>
      <w:r>
        <w:rPr>
          <w:rFonts w:ascii="Arial" w:cs="Arial" w:eastAsia="Arial" w:hAnsi="Arial"/>
          <w:sz w:val="18"/>
          <w:szCs w:val="18"/>
          <w:color w:val="auto"/>
        </w:rPr>
        <w:t>, a Maryland real estate investment trust (“Trust”), and</w:t>
      </w:r>
      <w:r>
        <w:rPr>
          <w:rFonts w:ascii="Arial" w:cs="Arial" w:eastAsia="Arial" w:hAnsi="Arial"/>
          <w:sz w:val="18"/>
          <w:szCs w:val="18"/>
          <w:b w:val="1"/>
          <w:bCs w:val="1"/>
          <w:color w:val="auto"/>
        </w:rPr>
        <w:t xml:space="preserve"> DONALD C. WOOD </w:t>
      </w:r>
      <w:r>
        <w:rPr>
          <w:rFonts w:ascii="Arial" w:cs="Arial" w:eastAsia="Arial" w:hAnsi="Arial"/>
          <w:sz w:val="18"/>
          <w:szCs w:val="18"/>
          <w:color w:val="auto"/>
        </w:rPr>
        <w:t>(“Executive”), amends that certain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February 22, 1999, by and between the Trust and Executive (the “Executive Agreement”).</w:t>
      </w:r>
    </w:p>
    <w:p>
      <w:pPr>
        <w:spacing w:after="0" w:line="119"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Since the Executive Agreement was signed, Executive has been promoted from Senior Vice President – Chief Financial Officer to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w:t>
      </w:r>
    </w:p>
    <w:p>
      <w:pPr>
        <w:spacing w:after="0" w:line="106"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Trust, acting through its Board of Trustees, and Executive have determined that it is in the best interests of the Trust and Executive to modify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Agreement to reflect Executive’s promotion.</w:t>
      </w:r>
    </w:p>
    <w:p>
      <w:pPr>
        <w:spacing w:after="0" w:line="106"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herein contained, and other good and valuable consideration,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and sufficiency of which are hereby acknowledged, the parties hereto agree to amend the Executive Agreement as follows:</w:t>
      </w:r>
    </w:p>
    <w:p>
      <w:pPr>
        <w:spacing w:after="0" w:line="67" w:lineRule="exact"/>
        <w:rPr>
          <w:sz w:val="20"/>
          <w:szCs w:val="20"/>
          <w:color w:val="auto"/>
        </w:rPr>
      </w:pPr>
    </w:p>
    <w:p>
      <w:pPr>
        <w:ind w:right="460" w:firstLine="464"/>
        <w:spacing w:after="0" w:line="268"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Section 2 of the Executive Agreement entitled “Termination of Employment Following Change in Control” is hereby deleted in its entirety and the following is substituted therefor:</w:t>
      </w:r>
    </w:p>
    <w:p>
      <w:pPr>
        <w:spacing w:after="0" w:line="37" w:lineRule="exact"/>
        <w:rPr>
          <w:rFonts w:ascii="Arial" w:cs="Arial" w:eastAsia="Arial" w:hAnsi="Arial"/>
          <w:sz w:val="18"/>
          <w:szCs w:val="18"/>
          <w:color w:val="auto"/>
        </w:rPr>
      </w:pPr>
    </w:p>
    <w:p>
      <w:pPr>
        <w:ind w:left="460" w:right="20" w:firstLine="443"/>
        <w:spacing w:after="0" w:line="302" w:lineRule="auto"/>
        <w:tabs>
          <w:tab w:leader="none" w:pos="1074" w:val="left"/>
        </w:tabs>
        <w:numPr>
          <w:ilvl w:val="1"/>
          <w:numId w:val="58"/>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Following Change in Control</w:t>
      </w:r>
      <w:r>
        <w:rPr>
          <w:rFonts w:ascii="Arial" w:cs="Arial" w:eastAsia="Arial" w:hAnsi="Arial"/>
          <w:sz w:val="15"/>
          <w:szCs w:val="15"/>
          <w:color w:val="auto"/>
        </w:rPr>
        <w:t>. If a Change in Control of the Trust occurs, Executive shall be entitled to the benefits provided in Section 3 upon: (a) the subsequent termination of Executive’s employment within a period of two (2) years after the occurrence of such Change in Control under any of the following circumstances: (i) by the Trust other than with Cause (as “Cause” is defined in that certain Severance Agreement dated as of February 22, 1999 between Executive and the Trust, as the same may be amended or modified form time to time); (ii) by Executive within six</w:t>
      </w:r>
    </w:p>
    <w:p>
      <w:pPr>
        <w:spacing w:after="0" w:line="2"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6"/>
          <w:szCs w:val="16"/>
          <w:color w:val="auto"/>
        </w:rPr>
        <w:t>(6) months following the occurrence of one or more of the following events within a period of two years after the occurrence of such Change in Control:</w:t>
      </w:r>
    </w:p>
    <w:p>
      <w:pPr>
        <w:spacing w:after="0" w:line="93" w:lineRule="exact"/>
        <w:rPr>
          <w:rFonts w:ascii="Arial" w:cs="Arial" w:eastAsia="Arial" w:hAnsi="Arial"/>
          <w:sz w:val="15"/>
          <w:szCs w:val="15"/>
          <w:color w:val="auto"/>
        </w:rPr>
      </w:pPr>
    </w:p>
    <w:p>
      <w:pPr>
        <w:jc w:val="both"/>
        <w:ind w:left="1480" w:right="60" w:hanging="567"/>
        <w:spacing w:after="0" w:line="306" w:lineRule="auto"/>
        <w:tabs>
          <w:tab w:leader="none" w:pos="1480" w:val="left"/>
        </w:tabs>
        <w:numPr>
          <w:ilvl w:val="2"/>
          <w:numId w:val="58"/>
        </w:numPr>
        <w:rPr>
          <w:rFonts w:ascii="Arial" w:cs="Arial" w:eastAsia="Arial" w:hAnsi="Arial"/>
          <w:sz w:val="16"/>
          <w:szCs w:val="16"/>
          <w:color w:val="auto"/>
        </w:rPr>
      </w:pPr>
      <w:r>
        <w:rPr>
          <w:rFonts w:ascii="Arial" w:cs="Arial" w:eastAsia="Arial" w:hAnsi="Arial"/>
          <w:sz w:val="16"/>
          <w:szCs w:val="16"/>
          <w:color w:val="auto"/>
        </w:rPr>
        <w:t xml:space="preserve">the nature of Executive’s duties or the scope of Executive’s responsibilities as of the of this Amendment are materially modified by the Trust without Executive’s written consent where such material modification constitutes a demotion of Executive;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change in the position(s) to whom Executive reports shall not by itself constitute a material modification of Executive’s responsibilities;</w:t>
      </w:r>
    </w:p>
    <w:p>
      <w:pPr>
        <w:sectPr>
          <w:pgSz w:w="11900" w:h="16838" w:orient="portrait"/>
          <w:cols w:equalWidth="0" w:num="1">
            <w:col w:w="11420"/>
          </w:cols>
          <w:pgMar w:left="240" w:top="125" w:right="239" w:bottom="1440" w:gutter="0" w:footer="0" w:header="0"/>
        </w:sectPr>
      </w:pPr>
    </w:p>
    <w:bookmarkStart w:id="93" w:name="page94"/>
    <w:bookmarkEnd w:id="93"/>
    <w:p>
      <w:pPr>
        <w:ind w:left="1480" w:hanging="567"/>
        <w:spacing w:after="0"/>
        <w:tabs>
          <w:tab w:leader="none" w:pos="1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 changes the location of its principal office to outside a fifty (50) mile radius of the office where the Executive is headquartered;</w:t>
      </w:r>
    </w:p>
    <w:p>
      <w:pPr>
        <w:spacing w:after="0" w:line="99" w:lineRule="exact"/>
        <w:rPr>
          <w:rFonts w:ascii="Arial" w:cs="Arial" w:eastAsia="Arial" w:hAnsi="Arial"/>
          <w:sz w:val="16"/>
          <w:szCs w:val="16"/>
          <w:color w:val="auto"/>
        </w:rPr>
      </w:pPr>
    </w:p>
    <w:p>
      <w:pPr>
        <w:ind w:left="1480" w:right="240" w:hanging="567"/>
        <w:spacing w:after="0" w:line="306" w:lineRule="auto"/>
        <w:tabs>
          <w:tab w:leader="none" w:pos="1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Trust’s setting of Executive’s base salary for any year at an amount which is less than ninety percent (90%) of the greater of (x) Executive’s base salary for 2005, or (y) Executive’s highest base salary during the three (3) then most recent calendar years (including the year of termination), regardless of whether such salary reduction occurs in one year or over the course of years; or</w:t>
      </w:r>
    </w:p>
    <w:p>
      <w:pPr>
        <w:spacing w:after="0" w:line="12" w:lineRule="exact"/>
        <w:rPr>
          <w:rFonts w:ascii="Arial" w:cs="Arial" w:eastAsia="Arial" w:hAnsi="Arial"/>
          <w:sz w:val="16"/>
          <w:szCs w:val="16"/>
          <w:color w:val="auto"/>
        </w:rPr>
      </w:pPr>
    </w:p>
    <w:p>
      <w:pPr>
        <w:ind w:left="1480" w:right="200" w:hanging="567"/>
        <w:spacing w:after="0" w:line="325" w:lineRule="auto"/>
        <w:tabs>
          <w:tab w:leader="none" w:pos="1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this Executive Agreement is not expressly assumed by any successor (directly or indirectly, whether by purchase, merger, consolidation or otherwise) to all or substantially all of the business and/or assets of Employer in a situation other than a Change in Control;</w:t>
      </w:r>
    </w:p>
    <w:p>
      <w:pPr>
        <w:spacing w:after="0" w:line="1"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or (b) for any reason, either voluntarily or involuntarily, during the 30-day period beginning on the first anniversary of such Change of Control, unless such termination is because of Executive’s death, Disability or Retirement. The term “Disability” shall have the meaning assigned to it in the Trust’s group long-term disability policy. The term “Retirement” shall mean termination of employment in accordance with (i) a qualified employee pension or profit-sharing plan maintained by the Trust, or (ii) the Trust’s retirement policy in effect immediately prior to the Change in Control. For purposes of this Executive Agreement, Executive’s employment shall be terminated by written notice delivered by either the Trust or Executive to the other party. The date of Executive’s termination of employment shall be the earlier of the date of Executive’s or the Trust’s written notice terminating Executive’s employment with the Trust, unless such notice shall specify an effective date of termination occurring later than the date of such notice, in which event such specified effective date shall govern (“Termination Date”).</w:t>
      </w:r>
    </w:p>
    <w:p>
      <w:pPr>
        <w:spacing w:after="0" w:line="105"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Section 3 of the Severance Agreement entitled “Payment of Benefits upon Termination” is hereby deleted in its entirety and the following is substituted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therefor:</w:t>
      </w:r>
    </w:p>
    <w:p>
      <w:pPr>
        <w:spacing w:after="0" w:line="70" w:lineRule="exact"/>
        <w:rPr>
          <w:rFonts w:ascii="Arial" w:cs="Arial" w:eastAsia="Arial" w:hAnsi="Arial"/>
          <w:sz w:val="16"/>
          <w:szCs w:val="16"/>
          <w:color w:val="auto"/>
        </w:rPr>
      </w:pPr>
    </w:p>
    <w:p>
      <w:pPr>
        <w:ind w:left="460" w:right="600" w:firstLine="443"/>
        <w:spacing w:after="0" w:line="325" w:lineRule="auto"/>
        <w:tabs>
          <w:tab w:leader="none" w:pos="1074"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Payment of Benefits upon Termination</w:t>
      </w:r>
      <w:r>
        <w:rPr>
          <w:rFonts w:ascii="Arial" w:cs="Arial" w:eastAsia="Arial" w:hAnsi="Arial"/>
          <w:sz w:val="16"/>
          <w:szCs w:val="16"/>
          <w:color w:val="auto"/>
        </w:rPr>
        <w:t>. If, after a Change in Control has occurred, Executive’s employment with the Trust is terminated in accordance with Section 2 above, then the Trust shall pay to Executive and provide Executive, his beneficiaries and estate, the following:</w:t>
      </w:r>
    </w:p>
    <w:p>
      <w:pPr>
        <w:spacing w:after="0" w:line="1" w:lineRule="exact"/>
        <w:rPr>
          <w:rFonts w:ascii="Arial" w:cs="Arial" w:eastAsia="Arial" w:hAnsi="Arial"/>
          <w:sz w:val="16"/>
          <w:szCs w:val="16"/>
          <w:color w:val="auto"/>
        </w:rPr>
      </w:pPr>
    </w:p>
    <w:p>
      <w:pPr>
        <w:ind w:left="920" w:right="20" w:firstLine="421"/>
        <w:spacing w:after="0" w:line="259" w:lineRule="auto"/>
        <w:tabs>
          <w:tab w:leader="none" w:pos="1579"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Trust shall pay to Executive a single cash payment equal to three times the sum of his annual basic salary in effect on the day prior to the Change in Control plus a bonus equal to the greatest annual aggregate amount of any cash or stock bonuses paid to Executive in respect of any of the three (3)</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3"/>
          <w:numId w:val="6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94" w:name="page95"/>
    <w:bookmarkEnd w:id="9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fiscal years immediately preceding such Termination Date or if no such bonus has been paid to Executive during such time, fifty percent (50%) of his annual basic salary in effect on the day prior to the Change in Control. For purposes of the preceding sentence: (i) the terms “annual basic salary” and “bonus” shall not include any compensation paid pursuant to performance share awards or any cash or equity-based incentive award intended to be a long-term incentive award, including awards made pursuant to Employer’s 2003 Long-Term Incentive Award Program; (ii) an annual bonus paid in the form of stock will be considered to have been paid in respect of a particular year if (A) in the case of a bonus paid under the Trust’s annual Incentive Bonus Plan in effect for the applicable year (as the same may be amended from time or time, or any successor plan, the “Bonus Plan”), the stock bonus was awarded in respect of that year, even if it did not vest in that year, or (B) in the case of any other stock bonus, the shares vested in that year (other than as a result of the Change in Control); (iii) a stock bonus will be valued (A) in the case of a bonus paid under the Bonus Plan, at a figure equal to the number of shares awarded, multiplied by the per-share value (closing price) on the date on which the bonus was approved by the Compensation Committee of the Trust’s Board of Trustees, and (B) in the case of any other stock bonus, at a figure equal to the number of shares that vested, multiplied by the per-share value (closing price) on the date on which they vested; and (iv) notwithstanding the valuation provisions in clause (iii) above, if Executive elected to receive all or any portion of an annual bonus in the form of stock rather than cash, the maximum amount to be included as bonus for that year shall be the amount of cash bonus otherwise payable without taking into account any additional stock granted in consideration for delayed vesting. Payment also will be made for vacation time that has accrued, but is unused as of the date of termination. If Executive’s employment is terminated by Executive by a written notice which specifies a Termination Date at least five (5) business days later than the date of such notice, the payment shall be made on the Termination Date. If Executive gives less than five (5) business days notice, then such payment shall be made within five (5) business days of the date of such notice. Notwithstanding the above, if Executive’s termination of employment occurs under the circumstances described in Section 2(b) (i.e., for any reason, either voluntarily or involuntarily, during the 30-day period beginning on the first anniversary of such Change of Control, unless such termination is because of Executive’s death, Disability or Retirement), then if and to the extent required in order to comply with Section 409A of the Code, as determined by the Trust, the payment to Executive shall be delayed until six months and one day after the Termination Date;</w:t>
      </w:r>
    </w:p>
    <w:p>
      <w:pPr>
        <w:spacing w:after="0" w:line="33" w:lineRule="exact"/>
        <w:rPr>
          <w:sz w:val="20"/>
          <w:szCs w:val="20"/>
          <w:color w:val="auto"/>
        </w:rPr>
      </w:pPr>
    </w:p>
    <w:p>
      <w:pPr>
        <w:ind w:firstLine="421"/>
        <w:spacing w:after="0" w:line="298" w:lineRule="auto"/>
        <w:tabs>
          <w:tab w:leader="none" w:pos="66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 shall for a period of three (3) years following the Termination Date (i) maintain, at the Trust’s expense, at not less than Executive’s highest levels of coverage during the last twelve (12) months prior to the Change in Control, medical and dental insurance coverage by paying premiums due in connection with COBRA continuation coverage or converting its group medical and dental insurance policy to an individual policy for the benefit of Executive and paying the annual premiums associated with Executive’s continued</w:t>
      </w:r>
    </w:p>
    <w:p>
      <w:pPr>
        <w:spacing w:after="0" w:line="99" w:lineRule="exact"/>
        <w:rPr>
          <w:rFonts w:ascii="Arial" w:cs="Arial" w:eastAsia="Arial" w:hAnsi="Arial"/>
          <w:sz w:val="16"/>
          <w:szCs w:val="16"/>
          <w:color w:val="auto"/>
        </w:rPr>
      </w:pPr>
    </w:p>
    <w:p>
      <w:pPr>
        <w:ind w:left="4760" w:hanging="112"/>
        <w:spacing w:after="0"/>
        <w:tabs>
          <w:tab w:leader="none" w:pos="4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480"/>
          </w:cols>
          <w:pgMar w:left="1160" w:top="280" w:right="259" w:bottom="1440" w:gutter="0" w:footer="0" w:header="0"/>
        </w:sectPr>
      </w:pPr>
    </w:p>
    <w:bookmarkStart w:id="95" w:name="page96"/>
    <w:bookmarkEnd w:id="9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participation thereunder; (ii) maintain, at the Trust’s expense, at not less than his highest levels of coverage during the last twelve (12) months prior to the Change in Control, individual life insurance policies and accidental death and dismemberment policies for the benefit of Executive and pay the annual premiums associated therewith; and (iii) to the extent that the Trust maintains a long-term disability policy (or policies) that provided coverage to Executive in excess of the coverage provided under the Trust’s group long-term disability policy, maintain at not less than his highest levels of coverage during the last twelve (12) months prior to the Change in Control an individual long-term disability policy for the benefit of Executive and pay the annual premiums associated therewith. The Trust shall maintain, at the Trust’s expense, the split dollar individual life insurance policy (or policies) for the benefit of Executive in accordance with the agreement with respect to such policy (or policies) entered into by Executive and the Trust. The Trust also shall convert its group long-term disability policy to an individual policy for the benefit of Executive and pay the annual premiums associated with Executive’s continued participation thereunder for a period of three (3) years following the Termination Date. Notwithstanding the foregoing, Executive shall be required to pay the premiums and any other costs of such benefits in the same dollar amount that he was required to pay such costs immediately prior to the Termination Date. If the Trust is unable to provide any of the foregoing benefits directly for any reason, the Trust shall arrange to provide Executive with benefits substantially similar to those which Executive is entitled to receive under the preceding sentences. To the extent there are any inconsistencies between the terms of this Executive Agreement and the terms of that certain Health Coverage Continuation Agreement between Executive and the Trust dated as of February 16, 2005, as the same may be amended from time to time, the terms of such Health Coverage Continuation Agreement shall control.</w:t>
      </w:r>
    </w:p>
    <w:p>
      <w:pPr>
        <w:spacing w:after="0" w:line="32" w:lineRule="exact"/>
        <w:rPr>
          <w:sz w:val="20"/>
          <w:szCs w:val="20"/>
          <w:color w:val="auto"/>
        </w:rPr>
      </w:pPr>
    </w:p>
    <w:p>
      <w:pPr>
        <w:ind w:right="60" w:firstLine="421"/>
        <w:spacing w:after="0" w:line="255" w:lineRule="auto"/>
        <w:tabs>
          <w:tab w:leader="none" w:pos="6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 to the extent legally permissible, shall continue to provide to Executive all other principal executive officer perquisites, allowances, accommodations of employment, and benefits on the same terms and conditions as such are from time to time made available generally to the other principal executive officers of the Trust but in no event less than the highest level of the perquisites, allowances, accommodations of employment and benefits that were available to Executive during the last twelve (12) months of his employment prior to the Change in Control for a period of three (3) years following the Termination Date;</w:t>
      </w:r>
    </w:p>
    <w:p>
      <w:pPr>
        <w:spacing w:after="0" w:line="48" w:lineRule="exact"/>
        <w:rPr>
          <w:rFonts w:ascii="Arial" w:cs="Arial" w:eastAsia="Arial" w:hAnsi="Arial"/>
          <w:sz w:val="18"/>
          <w:szCs w:val="18"/>
          <w:color w:val="auto"/>
        </w:rPr>
      </w:pPr>
    </w:p>
    <w:p>
      <w:pPr>
        <w:ind w:right="80" w:firstLine="421"/>
        <w:spacing w:after="0" w:line="255" w:lineRule="auto"/>
        <w:tabs>
          <w:tab w:leader="none" w:pos="6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For the purposes of this Section 3, Executive’s right to receive executive officer perquisites, allowances and accommodations of employment is intended to include (i) Executive’s right to have the Trust provide Executive for a period not to exceed one (1) year from Executive’s Termination Date with a telephone number assigned to Executive at the Trust’s offices, telephone mail and a secretary to answer the telephone;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such benefits described in this Subsection 3(d)(i) shall not include an office in, or physical access to, the Trust’s offices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cease upon the commencement by</w:t>
      </w:r>
    </w:p>
    <w:p>
      <w:pPr>
        <w:spacing w:after="0" w:line="129" w:lineRule="exact"/>
        <w:rPr>
          <w:rFonts w:ascii="Arial" w:cs="Arial" w:eastAsia="Arial" w:hAnsi="Arial"/>
          <w:sz w:val="18"/>
          <w:szCs w:val="18"/>
          <w:color w:val="auto"/>
        </w:rPr>
      </w:pPr>
    </w:p>
    <w:p>
      <w:pPr>
        <w:ind w:left="4760" w:hanging="112"/>
        <w:spacing w:after="0"/>
        <w:tabs>
          <w:tab w:leader="none" w:pos="4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480"/>
          </w:cols>
          <w:pgMar w:left="1160" w:top="280" w:right="259" w:bottom="1440" w:gutter="0" w:footer="0" w:header="0"/>
        </w:sectPr>
      </w:pPr>
    </w:p>
    <w:bookmarkStart w:id="96" w:name="page97"/>
    <w:bookmarkEnd w:id="96"/>
    <w:p>
      <w:pPr>
        <w:ind w:left="9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 employment with another employer, and (ii) Executive’s right to have the Trust make available at the Trust’s expense to Executive at Executive’s option the services of an employment search/outplacement agency selected by Executive for a period not to exceed one (1) year.</w:t>
      </w:r>
    </w:p>
    <w:p>
      <w:pPr>
        <w:spacing w:after="0" w:line="72" w:lineRule="exact"/>
        <w:rPr>
          <w:sz w:val="20"/>
          <w:szCs w:val="20"/>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Section 5 of the Executive Agreement entitled “Redemption” is hereby deleted in its entirety and the following is substituted therefor:</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amended hereby, the Executive Agreement shall be and remain in full force and effect.</w:t>
      </w:r>
    </w:p>
    <w:p>
      <w:pPr>
        <w:spacing w:after="0" w:line="152"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and delivered this Amendment to Executive Agreement to be effective as of the day and year</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above.</w:t>
      </w:r>
    </w:p>
    <w:p>
      <w:pPr>
        <w:spacing w:after="0" w:line="3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Executive’s 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Executive’s Permanent Address: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55 Warwick Stone Way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Falls, Virginia 22066</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S. 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Mark S. Ordan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180"/>
          </w:cols>
          <w:pgMar w:left="240" w:top="280" w:right="47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SEVERANCE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Jeffrey S. Berkes</w:t>
      </w:r>
    </w:p>
    <w:p>
      <w:pPr>
        <w:spacing w:after="0" w:line="145" w:lineRule="exact"/>
        <w:rPr>
          <w:sz w:val="20"/>
          <w:szCs w:val="20"/>
          <w:color w:val="auto"/>
        </w:rPr>
      </w:pPr>
    </w:p>
    <w:p>
      <w:pPr>
        <w:ind w:right="360" w:firstLine="456"/>
        <w:spacing w:after="0" w:line="310" w:lineRule="auto"/>
        <w:rPr>
          <w:sz w:val="20"/>
          <w:szCs w:val="20"/>
          <w:color w:val="auto"/>
        </w:rPr>
      </w:pPr>
      <w:r>
        <w:rPr>
          <w:rFonts w:ascii="Arial" w:cs="Arial" w:eastAsia="Arial" w:hAnsi="Arial"/>
          <w:sz w:val="16"/>
          <w:szCs w:val="16"/>
          <w:b w:val="1"/>
          <w:bCs w:val="1"/>
          <w:color w:val="auto"/>
        </w:rPr>
        <w:t xml:space="preserve">THIS AMENDMENT TO SEVERANCE AGREEMENT </w:t>
      </w:r>
      <w:r>
        <w:rPr>
          <w:rFonts w:ascii="Arial" w:cs="Arial" w:eastAsia="Arial" w:hAnsi="Arial"/>
          <w:sz w:val="16"/>
          <w:szCs w:val="16"/>
          <w:color w:val="auto"/>
        </w:rPr>
        <w:t>(this “Amendment”), effective as of February 16, 2005, by and between</w:t>
      </w:r>
      <w:r>
        <w:rPr>
          <w:rFonts w:ascii="Arial" w:cs="Arial" w:eastAsia="Arial" w:hAnsi="Arial"/>
          <w:sz w:val="16"/>
          <w:szCs w:val="16"/>
          <w:b w:val="1"/>
          <w:bCs w:val="1"/>
          <w:color w:val="auto"/>
        </w:rPr>
        <w:t xml:space="preserve"> FEDERAL REALTY INVESTMENT TRUST</w:t>
      </w:r>
      <w:r>
        <w:rPr>
          <w:rFonts w:ascii="Arial" w:cs="Arial" w:eastAsia="Arial" w:hAnsi="Arial"/>
          <w:sz w:val="16"/>
          <w:szCs w:val="16"/>
          <w:color w:val="auto"/>
        </w:rPr>
        <w:t>, a Maryland real estate investment trust (“Employer”), and</w:t>
      </w:r>
      <w:r>
        <w:rPr>
          <w:rFonts w:ascii="Arial" w:cs="Arial" w:eastAsia="Arial" w:hAnsi="Arial"/>
          <w:sz w:val="16"/>
          <w:szCs w:val="16"/>
          <w:b w:val="1"/>
          <w:bCs w:val="1"/>
          <w:color w:val="auto"/>
        </w:rPr>
        <w:t xml:space="preserve"> JEFFREY S. BERKES </w:t>
      </w:r>
      <w:r>
        <w:rPr>
          <w:rFonts w:ascii="Arial" w:cs="Arial" w:eastAsia="Arial" w:hAnsi="Arial"/>
          <w:sz w:val="16"/>
          <w:szCs w:val="16"/>
          <w:color w:val="auto"/>
        </w:rPr>
        <w:t>(“Employee”‘), amends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Agreement, dated as of March 1, 2000, by and between Employer and Employee (the “Severance Agreement”).</w:t>
      </w:r>
    </w:p>
    <w:p>
      <w:pPr>
        <w:spacing w:after="0" w:line="84"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Since the Severance Agreement was signed, Employee has been promoted from Vice President – Strategic Transactions to Senior Vice President –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w:t>
      </w:r>
    </w:p>
    <w:p>
      <w:pPr>
        <w:spacing w:after="0" w:line="106"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Employer, acting through its Board of Trustees, and Employee have determined that it is in the best interest of Employer and Employee to modify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 to reflect Employee’s promotion.</w:t>
      </w:r>
    </w:p>
    <w:p>
      <w:pPr>
        <w:spacing w:after="0" w:line="106"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herein contained, and other good and valuable consideration,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and sufficiency of which are hereby acknowledged, the parties hereto agree to amend the Severance Agreement as follows:</w:t>
      </w:r>
    </w:p>
    <w:p>
      <w:pPr>
        <w:spacing w:after="0" w:line="67" w:lineRule="exact"/>
        <w:rPr>
          <w:sz w:val="20"/>
          <w:szCs w:val="20"/>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Section 2(b) of the Severance Agreement is hereby amended as follows:</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by deleting the reference in Section 2(b)(ii) to “Washington, D.C.” and replacing it with “the office where the Employee is headquartered;”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by deleting the reference in Section 2(b)(iii) to “2000” and replacing it with “2005.”</w:t>
      </w:r>
    </w:p>
    <w:p>
      <w:pPr>
        <w:spacing w:after="0" w:line="157" w:lineRule="exact"/>
        <w:rPr>
          <w:rFonts w:ascii="Arial" w:cs="Arial" w:eastAsia="Arial" w:hAnsi="Arial"/>
          <w:sz w:val="18"/>
          <w:szCs w:val="18"/>
          <w:color w:val="auto"/>
        </w:rPr>
      </w:pPr>
    </w:p>
    <w:p>
      <w:pPr>
        <w:ind w:right="560" w:firstLine="464"/>
        <w:spacing w:after="0" w:line="268"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Section 2(d) of the Severance Agreement entitled “Severance Payment Upon Termination Without Cause” is hereby deleted in its entirety and the following is substituted therefor:</w:t>
      </w:r>
    </w:p>
    <w:p>
      <w:pPr>
        <w:spacing w:after="0" w:line="37" w:lineRule="exact"/>
        <w:rPr>
          <w:rFonts w:ascii="Arial" w:cs="Arial" w:eastAsia="Arial" w:hAnsi="Arial"/>
          <w:sz w:val="18"/>
          <w:szCs w:val="18"/>
          <w:color w:val="auto"/>
        </w:rPr>
      </w:pPr>
    </w:p>
    <w:p>
      <w:pPr>
        <w:ind w:left="460" w:right="140" w:firstLine="443"/>
        <w:spacing w:after="0" w:line="289" w:lineRule="auto"/>
        <w:tabs>
          <w:tab w:leader="none" w:pos="1147"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Severance Payment Upon Termination Without Cause</w:t>
      </w:r>
      <w:r>
        <w:rPr>
          <w:rFonts w:ascii="Arial" w:cs="Arial" w:eastAsia="Arial" w:hAnsi="Arial"/>
          <w:sz w:val="16"/>
          <w:szCs w:val="16"/>
          <w:color w:val="auto"/>
        </w:rPr>
        <w:t>. In the event of Termination Without Cause other than under circumstances described in Section 6 below, Employee will receive as severance pay an amount in cash equal to one (1) year’s salary. For the purpose of calculating amounts payable pursuant to this Section 1(d), “salary” shall be an amount equal to (i) the greater of (A) Employee’s highest annual base salary paid during the previous three (3) years or (B) Employee’s annual base salary in the year of termination, plus (ii) the greatest annual aggregate amount of any annual bonus paid to Employee in respect of any of the three (3) fiscal years immediately preceding such termination. For purposes of the preceding sentence: (i) the term “salary” shall not include any cash or equity-based incentive award intended to be a long-term incentive award, including awards made pursuant to Employer’s 2003 Long-Term Incentive Award Program; (ii) an annual bonus paid in the form of stock will be considered to have been paid in respect of a particular year if (A) in the case of a bonus paid under</w:t>
      </w:r>
    </w:p>
    <w:p>
      <w:pPr>
        <w:sectPr>
          <w:pgSz w:w="11900" w:h="16838" w:orient="portrait"/>
          <w:cols w:equalWidth="0" w:num="1">
            <w:col w:w="11420"/>
          </w:cols>
          <w:pgMar w:left="240" w:top="125" w:right="239" w:bottom="1440" w:gutter="0" w:footer="0" w:header="0"/>
        </w:sectPr>
      </w:pPr>
    </w:p>
    <w:bookmarkStart w:id="98" w:name="page99"/>
    <w:bookmarkEnd w:id="98"/>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Employer’s annual Incentive Bonus Plan in effect for the applicable year (as the same may be amended from time or time, or any successor plan, the “Bonus Plan”), the stock bonus was awarded in respect of that year, even if it did not vest in that year, or (B) in the case of any other stock bonus, the shares vested in that year (other than as a result of the Termination Without Cause); (iii) a stock bonus will be valued (A) in the case of a bonus paid under the Bonus Plan, at a figure equal to the number of shares awarded, multiplied by the per-share value (closing price) on the date on which the bonus was approved by the Compensation Committee of Employer’s Board of Trustees, and (B) in the case of any other stock bonus, at a figure equal to the number of shares that vested, multiplied by the per-share value (closing price) on the date on which they vested; and (iv) notwithstanding the valuation provisions in clause (iii) above, if Employee elected to receive all or any portion of an annual bonus in the form of stock rather than cash, the maximum amount to be included as bonus in the computation of “salary” for that year shall be the amount of cash bonus otherwise payable without taking into account any additional stock granted in consideration for delayed vesting. Payment also will be made for vacation time that has accrued, but is unused as of the date of termination.</w:t>
      </w:r>
    </w:p>
    <w:p>
      <w:pPr>
        <w:spacing w:after="0" w:line="109" w:lineRule="exact"/>
        <w:rPr>
          <w:sz w:val="20"/>
          <w:szCs w:val="20"/>
          <w:color w:val="auto"/>
        </w:rPr>
      </w:pPr>
    </w:p>
    <w:p>
      <w:pPr>
        <w:ind w:left="-460" w:right="200" w:firstLine="464"/>
        <w:spacing w:after="0" w:line="268" w:lineRule="auto"/>
        <w:tabs>
          <w:tab w:leader="none" w:pos="1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Section 7(b) of the Severance Agreement entitled “Termination of Employment Following Change in Control” is hereby deleted in its entirety and the following is substituted therefor:</w:t>
      </w:r>
    </w:p>
    <w:p>
      <w:pPr>
        <w:spacing w:after="0" w:line="37" w:lineRule="exact"/>
        <w:rPr>
          <w:rFonts w:ascii="Arial" w:cs="Arial" w:eastAsia="Arial" w:hAnsi="Arial"/>
          <w:sz w:val="18"/>
          <w:szCs w:val="18"/>
          <w:color w:val="auto"/>
        </w:rPr>
      </w:pPr>
    </w:p>
    <w:p>
      <w:pPr>
        <w:ind w:firstLine="443"/>
        <w:spacing w:after="0" w:line="288" w:lineRule="auto"/>
        <w:tabs>
          <w:tab w:leader="none" w:pos="687"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Following Change in Control</w:t>
      </w:r>
      <w:r>
        <w:rPr>
          <w:rFonts w:ascii="Arial" w:cs="Arial" w:eastAsia="Arial" w:hAnsi="Arial"/>
          <w:sz w:val="16"/>
          <w:szCs w:val="16"/>
          <w:color w:val="auto"/>
        </w:rPr>
        <w:t>. Employee shall be entitled to the benefits provided in this Section 7 if a Change in Control occurs and Employee’s employment with Employer is terminated (i) under any of the circumstances in Sections 2(a) or 2(b) within a period of two years after the occurrence of such Change in Control, or (ii) for any reason, either voluntarily or involuntarily, during the 30-day period beginning on the first anniversary of such Change of Control, unless such termination is because of Employee’s death, Disability or Retirement. The term “Retirement” shall mean termination of employment in accordance with (x) a qualified employee pension or profit-sharing plan maintained by Employer, or (y) Employer’s retirement policy in effect immediately prior to the Change in Control. For purposes of this Section 6, Employee’s employment shall be terminated by written notice delivered by either Employer or Employee to the other party. The date of Employee’s termination of employment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 (“Termination Date”).</w:t>
      </w:r>
    </w:p>
    <w:p>
      <w:pPr>
        <w:spacing w:after="0" w:line="106" w:lineRule="exact"/>
        <w:rPr>
          <w:rFonts w:ascii="Arial" w:cs="Arial" w:eastAsia="Arial" w:hAnsi="Arial"/>
          <w:sz w:val="16"/>
          <w:szCs w:val="16"/>
          <w:color w:val="auto"/>
        </w:rPr>
      </w:pPr>
    </w:p>
    <w:p>
      <w:pPr>
        <w:ind w:left="5220" w:hanging="112"/>
        <w:spacing w:after="0"/>
        <w:tabs>
          <w:tab w:leader="none" w:pos="52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20"/>
          </w:cols>
          <w:pgMar w:left="700" w:top="280" w:right="279" w:bottom="1440" w:gutter="0" w:footer="0" w:header="0"/>
        </w:sectPr>
      </w:pPr>
    </w:p>
    <w:bookmarkStart w:id="99" w:name="page100"/>
    <w:bookmarkEnd w:id="99"/>
    <w:p>
      <w:pPr>
        <w:ind w:left="-464" w:right="740" w:firstLine="464"/>
        <w:spacing w:after="0" w:line="268" w:lineRule="auto"/>
        <w:tabs>
          <w:tab w:leader="none" w:pos="168"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7(c) of the Severance Agreement entitled “Payment of Benefits upon Termination” is hereby deleted in its entirety and the following is substituted therefor:</w:t>
      </w:r>
    </w:p>
    <w:p>
      <w:pPr>
        <w:spacing w:after="0" w:line="37" w:lineRule="exact"/>
        <w:rPr>
          <w:rFonts w:ascii="Arial" w:cs="Arial" w:eastAsia="Arial" w:hAnsi="Arial"/>
          <w:sz w:val="18"/>
          <w:szCs w:val="18"/>
          <w:color w:val="auto"/>
        </w:rPr>
      </w:pPr>
    </w:p>
    <w:p>
      <w:pPr>
        <w:ind w:left="-4" w:right="480" w:firstLine="443"/>
        <w:spacing w:after="0" w:line="325" w:lineRule="auto"/>
        <w:tabs>
          <w:tab w:leader="none" w:pos="672"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Payment of Benefits upon Termination</w:t>
      </w:r>
      <w:r>
        <w:rPr>
          <w:rFonts w:ascii="Arial" w:cs="Arial" w:eastAsia="Arial" w:hAnsi="Arial"/>
          <w:sz w:val="16"/>
          <w:szCs w:val="16"/>
          <w:color w:val="auto"/>
        </w:rPr>
        <w:t>. If, after a Change in Control has occurred, Employee’s employment with Employer is terminated in accordance with Section 7(b) above, then Employer shall pay to Employee and provide Employee, his or her beneficiaries and estate, the following:</w:t>
      </w:r>
    </w:p>
    <w:p>
      <w:pPr>
        <w:spacing w:after="0" w:line="1" w:lineRule="exact"/>
        <w:rPr>
          <w:rFonts w:ascii="Arial" w:cs="Arial" w:eastAsia="Arial" w:hAnsi="Arial"/>
          <w:sz w:val="16"/>
          <w:szCs w:val="16"/>
          <w:color w:val="auto"/>
        </w:rPr>
      </w:pPr>
    </w:p>
    <w:p>
      <w:pPr>
        <w:ind w:left="456" w:right="20" w:firstLine="421"/>
        <w:spacing w:after="0" w:line="287" w:lineRule="auto"/>
        <w:tabs>
          <w:tab w:leader="none" w:pos="1085" w:val="left"/>
        </w:tabs>
        <w:numPr>
          <w:ilvl w:val="2"/>
          <w:numId w:val="67"/>
        </w:numPr>
        <w:rPr>
          <w:rFonts w:ascii="Arial" w:cs="Arial" w:eastAsia="Arial" w:hAnsi="Arial"/>
          <w:sz w:val="16"/>
          <w:szCs w:val="16"/>
          <w:color w:val="auto"/>
        </w:rPr>
      </w:pPr>
      <w:r>
        <w:rPr>
          <w:rFonts w:ascii="Arial" w:cs="Arial" w:eastAsia="Arial" w:hAnsi="Arial"/>
          <w:sz w:val="16"/>
          <w:szCs w:val="16"/>
          <w:color w:val="auto"/>
        </w:rPr>
        <w:t>Employer shall pay to Employee a single cash payment equal to two (2) year’s salary. For the purpose of calculating amounts payable pursuant to this Section 7(c), “salary” shall be calculated in the same manner as set forth in Section 2(d) (without giving effect to any accelerated vesting which may have occurred as a result of the Change in Control). Payment also will be made for vacation time that has accrued, but is unused as of the date of termination. If Employee’s employment is terminated by Employee by a written notice which specifies a Termination Date at least five (5) business days later than the date of such notice, the payment shall be made on the Termination Date. If Employee gives less than five (5) business days notice, then such payment shall be made within five (5) business days of the date of such notice. Notwithstanding the above, if Employee’s termination of employment occurs under the circumstances described in clause (ii) of Section 7(b) (i.e., for any reason, either voluntarily or involuntarily, during the 30-day period beginning on the first anniversary of such Change of Control, unless such termination is because of Employee’s death, Disability or Retirement), then if and to the extent required in order to comply with Section 409A of the Code, as determined by the Employer, the payment to Employee shall be delayed until six months and one day after the Termination Date;</w:t>
      </w:r>
    </w:p>
    <w:p>
      <w:pPr>
        <w:spacing w:after="0" w:line="28" w:lineRule="exact"/>
        <w:rPr>
          <w:rFonts w:ascii="Arial" w:cs="Arial" w:eastAsia="Arial" w:hAnsi="Arial"/>
          <w:sz w:val="16"/>
          <w:szCs w:val="16"/>
          <w:color w:val="auto"/>
        </w:rPr>
      </w:pPr>
    </w:p>
    <w:p>
      <w:pPr>
        <w:ind w:left="1136" w:hanging="259"/>
        <w:spacing w:after="0"/>
        <w:tabs>
          <w:tab w:leader="none" w:pos="1136" w:val="left"/>
        </w:tabs>
        <w:numPr>
          <w:ilvl w:val="2"/>
          <w:numId w:val="67"/>
        </w:numPr>
        <w:rPr>
          <w:rFonts w:ascii="Arial" w:cs="Arial" w:eastAsia="Arial" w:hAnsi="Arial"/>
          <w:sz w:val="18"/>
          <w:szCs w:val="18"/>
          <w:color w:val="auto"/>
        </w:rPr>
      </w:pPr>
      <w:r>
        <w:rPr>
          <w:rFonts w:ascii="Arial" w:cs="Arial" w:eastAsia="Arial" w:hAnsi="Arial"/>
          <w:sz w:val="18"/>
          <w:szCs w:val="18"/>
          <w:color w:val="auto"/>
        </w:rPr>
        <w:t>Employee shall receive Full Benefits for two (2) years following the Termination Date;</w:t>
      </w:r>
    </w:p>
    <w:p>
      <w:pPr>
        <w:spacing w:after="0" w:line="76" w:lineRule="exact"/>
        <w:rPr>
          <w:rFonts w:ascii="Arial" w:cs="Arial" w:eastAsia="Arial" w:hAnsi="Arial"/>
          <w:sz w:val="18"/>
          <w:szCs w:val="18"/>
          <w:color w:val="auto"/>
        </w:rPr>
      </w:pPr>
    </w:p>
    <w:p>
      <w:pPr>
        <w:ind w:left="456" w:firstLine="421"/>
        <w:spacing w:after="0" w:line="255" w:lineRule="auto"/>
        <w:tabs>
          <w:tab w:leader="none" w:pos="1183" w:val="left"/>
        </w:tabs>
        <w:numPr>
          <w:ilvl w:val="2"/>
          <w:numId w:val="67"/>
        </w:numPr>
        <w:rPr>
          <w:rFonts w:ascii="Arial" w:cs="Arial" w:eastAsia="Arial" w:hAnsi="Arial"/>
          <w:sz w:val="18"/>
          <w:szCs w:val="18"/>
          <w:color w:val="auto"/>
        </w:rPr>
      </w:pPr>
      <w:r>
        <w:rPr>
          <w:rFonts w:ascii="Arial" w:cs="Arial" w:eastAsia="Arial" w:hAnsi="Arial"/>
          <w:sz w:val="18"/>
          <w:szCs w:val="18"/>
          <w:color w:val="auto"/>
        </w:rPr>
        <w:t>Employer, to the extent legally permissible, shall continue to provide to Employee all other officer perquisites, allowances, accommodations of employment, and benefits on the same terms and conditions 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two (2) years following the Termination Date;</w:t>
      </w:r>
    </w:p>
    <w:p>
      <w:pPr>
        <w:spacing w:after="0" w:line="48" w:lineRule="exact"/>
        <w:rPr>
          <w:rFonts w:ascii="Arial" w:cs="Arial" w:eastAsia="Arial" w:hAnsi="Arial"/>
          <w:sz w:val="18"/>
          <w:szCs w:val="18"/>
          <w:color w:val="auto"/>
        </w:rPr>
      </w:pPr>
    </w:p>
    <w:p>
      <w:pPr>
        <w:ind w:left="456" w:right="220" w:firstLine="421"/>
        <w:spacing w:after="0" w:line="294" w:lineRule="auto"/>
        <w:tabs>
          <w:tab w:leader="none" w:pos="1173" w:val="left"/>
        </w:tabs>
        <w:numPr>
          <w:ilvl w:val="2"/>
          <w:numId w:val="67"/>
        </w:numPr>
        <w:rPr>
          <w:rFonts w:ascii="Arial" w:cs="Arial" w:eastAsia="Arial" w:hAnsi="Arial"/>
          <w:sz w:val="16"/>
          <w:szCs w:val="16"/>
          <w:color w:val="auto"/>
        </w:rPr>
      </w:pPr>
      <w:r>
        <w:rPr>
          <w:rFonts w:ascii="Arial" w:cs="Arial" w:eastAsia="Arial" w:hAnsi="Arial"/>
          <w:sz w:val="16"/>
          <w:szCs w:val="16"/>
          <w:color w:val="auto"/>
        </w:rPr>
        <w:t xml:space="preserve">For the purposes of this Section 6(c), Employee’s right to receive officer perquisites, allowances and accommodations of employment is intended to include (A) Employee’s right to have Employer provide Employee for a period not to exceed nine (9) months from Employee’s Termination Date with a telephone number assigned to Employee at Employer’s offices, telephone mail and a secretary to answer the telephone;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such benefits described in this Section 6(c)(iv)(A) shall not include an office or physical access to Employer’s offices and will</w:t>
      </w:r>
      <w:r>
        <w:rPr>
          <w:rFonts w:ascii="Arial" w:cs="Arial" w:eastAsia="Arial" w:hAnsi="Arial"/>
          <w:sz w:val="16"/>
          <w:szCs w:val="16"/>
          <w:i w:val="1"/>
          <w:iCs w:val="1"/>
          <w:color w:val="auto"/>
        </w:rPr>
        <w:t xml:space="preserve"> </w:t>
      </w:r>
      <w:r>
        <w:rPr>
          <w:rFonts w:ascii="Arial" w:cs="Arial" w:eastAsia="Arial" w:hAnsi="Arial"/>
          <w:sz w:val="16"/>
          <w:szCs w:val="16"/>
          <w:color w:val="auto"/>
        </w:rPr>
        <w:t>cease upon the commencement by Employee of employment with another employer, and (B) Employee’s right to have Employer</w:t>
      </w:r>
    </w:p>
    <w:p>
      <w:pPr>
        <w:spacing w:after="0" w:line="102" w:lineRule="exact"/>
        <w:rPr>
          <w:rFonts w:ascii="Arial" w:cs="Arial" w:eastAsia="Arial" w:hAnsi="Arial"/>
          <w:sz w:val="16"/>
          <w:szCs w:val="16"/>
          <w:color w:val="auto"/>
        </w:rPr>
      </w:pPr>
    </w:p>
    <w:p>
      <w:pPr>
        <w:ind w:left="5216" w:hanging="112"/>
        <w:spacing w:after="0"/>
        <w:tabs>
          <w:tab w:leader="none" w:pos="5216" w:val="left"/>
        </w:tabs>
        <w:numPr>
          <w:ilvl w:val="3"/>
          <w:numId w:val="6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56"/>
          </w:cols>
          <w:pgMar w:left="704" w:top="280" w:right="239" w:bottom="1440" w:gutter="0" w:footer="0" w:header="0"/>
        </w:sectPr>
      </w:pPr>
    </w:p>
    <w:bookmarkStart w:id="100" w:name="page101"/>
    <w:bookmarkEnd w:id="100"/>
    <w:p>
      <w:pPr>
        <w:ind w:left="92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available at Employer’s expense to Employee at Employee’s option the services of an employment search/outplacement agency selected by Employee for a period not to exceed nine (9) months.</w:t>
      </w:r>
    </w:p>
    <w:p>
      <w:pPr>
        <w:spacing w:after="0" w:line="37" w:lineRule="exact"/>
        <w:rPr>
          <w:sz w:val="20"/>
          <w:szCs w:val="20"/>
          <w:color w:val="auto"/>
        </w:rPr>
      </w:pPr>
    </w:p>
    <w:p>
      <w:pPr>
        <w:ind w:left="1580" w:hanging="239"/>
        <w:spacing w:after="0"/>
        <w:tabs>
          <w:tab w:leader="none" w:pos="1580" w:val="left"/>
        </w:tabs>
        <w:numPr>
          <w:ilvl w:val="2"/>
          <w:numId w:val="68"/>
        </w:numPr>
        <w:rPr>
          <w:rFonts w:ascii="Arial" w:cs="Arial" w:eastAsia="Arial" w:hAnsi="Arial"/>
          <w:sz w:val="16"/>
          <w:szCs w:val="16"/>
          <w:color w:val="auto"/>
        </w:rPr>
      </w:pPr>
      <w:r>
        <w:rPr>
          <w:rFonts w:ascii="Arial" w:cs="Arial" w:eastAsia="Arial" w:hAnsi="Arial"/>
          <w:sz w:val="16"/>
          <w:szCs w:val="16"/>
          <w:color w:val="auto"/>
        </w:rPr>
        <w:t>Upon the occurrence of a Change in Control, all restrictions on the receipt of any option to acquire or grant of Voting Securities to</w:t>
      </w:r>
    </w:p>
    <w:p>
      <w:pPr>
        <w:spacing w:after="0" w:line="38" w:lineRule="exact"/>
        <w:rPr>
          <w:rFonts w:ascii="Arial" w:cs="Arial" w:eastAsia="Arial" w:hAnsi="Arial"/>
          <w:sz w:val="16"/>
          <w:szCs w:val="16"/>
          <w:color w:val="auto"/>
        </w:rPr>
      </w:pPr>
    </w:p>
    <w:p>
      <w:pPr>
        <w:ind w:left="920"/>
        <w:spacing w:after="0" w:line="255" w:lineRule="auto"/>
        <w:rPr>
          <w:rFonts w:ascii="Arial" w:cs="Arial" w:eastAsia="Arial" w:hAnsi="Arial"/>
          <w:sz w:val="16"/>
          <w:szCs w:val="16"/>
          <w:color w:val="auto"/>
        </w:rPr>
      </w:pPr>
      <w:r>
        <w:rPr>
          <w:rFonts w:ascii="Arial" w:cs="Arial" w:eastAsia="Arial" w:hAnsi="Arial"/>
          <w:sz w:val="18"/>
          <w:szCs w:val="18"/>
          <w:color w:val="auto"/>
        </w:rPr>
        <w:t>Employee shall lapse and such option shall become immediately and fully exercisable.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30" w:lineRule="exact"/>
        <w:rPr>
          <w:rFonts w:ascii="Arial" w:cs="Arial" w:eastAsia="Arial" w:hAnsi="Arial"/>
          <w:sz w:val="16"/>
          <w:szCs w:val="16"/>
          <w:color w:val="auto"/>
        </w:rPr>
      </w:pPr>
    </w:p>
    <w:p>
      <w:pPr>
        <w:ind w:left="640" w:hanging="176"/>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Section 7(d) of the Severance Agreement entitled “Redemption” is hereby deleted in its entirety and the following is substituted therefor: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amended hereby, the Severance Agreement shall be and remain in full force and effect.</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WITNESS WHEREOF, the parties have executed and delivered this Amendment to Severance Agreement to be effective as of the day and year indicated above.</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S. Berkes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Permanent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242570</wp:posOffset>
            </wp:positionV>
            <wp:extent cx="289877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414020</wp:posOffset>
            </wp:positionV>
            <wp:extent cx="289877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S. 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Mark S. Ordan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80" w:right="27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SEVERANCE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Larry E. Finger</w:t>
      </w:r>
    </w:p>
    <w:p>
      <w:pPr>
        <w:spacing w:after="0" w:line="145" w:lineRule="exact"/>
        <w:rPr>
          <w:sz w:val="20"/>
          <w:szCs w:val="20"/>
          <w:color w:val="auto"/>
        </w:rPr>
      </w:pPr>
    </w:p>
    <w:p>
      <w:pPr>
        <w:ind w:right="540" w:firstLine="456"/>
        <w:spacing w:after="0" w:line="310" w:lineRule="auto"/>
        <w:rPr>
          <w:sz w:val="20"/>
          <w:szCs w:val="20"/>
          <w:color w:val="auto"/>
        </w:rPr>
      </w:pPr>
      <w:r>
        <w:rPr>
          <w:rFonts w:ascii="Arial" w:cs="Arial" w:eastAsia="Arial" w:hAnsi="Arial"/>
          <w:sz w:val="16"/>
          <w:szCs w:val="16"/>
          <w:b w:val="1"/>
          <w:bCs w:val="1"/>
          <w:color w:val="auto"/>
        </w:rPr>
        <w:t xml:space="preserve">THIS AMENDMENT TO SEVERANCE AGREEMENT </w:t>
      </w:r>
      <w:r>
        <w:rPr>
          <w:rFonts w:ascii="Arial" w:cs="Arial" w:eastAsia="Arial" w:hAnsi="Arial"/>
          <w:sz w:val="16"/>
          <w:szCs w:val="16"/>
          <w:color w:val="auto"/>
        </w:rPr>
        <w:t>(this “Amendment”), effective as of February 16, 2005, by and between</w:t>
      </w:r>
      <w:r>
        <w:rPr>
          <w:rFonts w:ascii="Arial" w:cs="Arial" w:eastAsia="Arial" w:hAnsi="Arial"/>
          <w:sz w:val="16"/>
          <w:szCs w:val="16"/>
          <w:b w:val="1"/>
          <w:bCs w:val="1"/>
          <w:color w:val="auto"/>
        </w:rPr>
        <w:t xml:space="preserve"> FEDERAL REALTY INVESTMENT TRUST</w:t>
      </w:r>
      <w:r>
        <w:rPr>
          <w:rFonts w:ascii="Arial" w:cs="Arial" w:eastAsia="Arial" w:hAnsi="Arial"/>
          <w:sz w:val="16"/>
          <w:szCs w:val="16"/>
          <w:color w:val="auto"/>
        </w:rPr>
        <w:t>, a Maryland real estate investment trust (“Employer”), and</w:t>
      </w:r>
      <w:r>
        <w:rPr>
          <w:rFonts w:ascii="Arial" w:cs="Arial" w:eastAsia="Arial" w:hAnsi="Arial"/>
          <w:sz w:val="16"/>
          <w:szCs w:val="16"/>
          <w:b w:val="1"/>
          <w:bCs w:val="1"/>
          <w:color w:val="auto"/>
        </w:rPr>
        <w:t xml:space="preserve"> LARRY E. FINGER </w:t>
      </w:r>
      <w:r>
        <w:rPr>
          <w:rFonts w:ascii="Arial" w:cs="Arial" w:eastAsia="Arial" w:hAnsi="Arial"/>
          <w:sz w:val="16"/>
          <w:szCs w:val="16"/>
          <w:color w:val="auto"/>
        </w:rPr>
        <w:t>(“Employee”‘), amends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Agreement, dated as of March 1, 2002, by and between Employer and Employee (the “Severance Agreement”).</w:t>
      </w:r>
    </w:p>
    <w:p>
      <w:pPr>
        <w:spacing w:after="0" w:line="84"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Since the Severance Agreement was signed, Employee has been promoted from Senior Vice President – Chief Financial Officer to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 Chief Financial Officer.</w:t>
      </w:r>
    </w:p>
    <w:p>
      <w:pPr>
        <w:spacing w:after="0" w:line="106"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Employer, acting through its Board of Trustees, and Employee have determined that it is in the best interest of Employer and Employee to modify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 to reflect Employee’s promotion.</w:t>
      </w:r>
    </w:p>
    <w:p>
      <w:pPr>
        <w:spacing w:after="0" w:line="106"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herein contained, and other good and valuable consideration,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and sufficiency of which are hereby acknowledged, the parties hereto agree to amend the Severance Agreement as follows:</w:t>
      </w:r>
    </w:p>
    <w:p>
      <w:pPr>
        <w:spacing w:after="0" w:line="67" w:lineRule="exact"/>
        <w:rPr>
          <w:sz w:val="20"/>
          <w:szCs w:val="20"/>
          <w:color w:val="auto"/>
        </w:rPr>
      </w:pPr>
    </w:p>
    <w:p>
      <w:pPr>
        <w:ind w:right="80" w:firstLine="464"/>
        <w:spacing w:after="0" w:line="268"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1(b)(ii) of the Severance Agreement is hereby amended by deleting the reference therein to “Washington, D.C.” and replacing it with “the office where the Employee is headquartered.”</w:t>
      </w:r>
    </w:p>
    <w:p>
      <w:pPr>
        <w:spacing w:after="0" w:line="118"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6(b) of the Severance Agreement entitled “Termination of Employment Following Change in Control” is hereby deleted in its entirety and the following is substituted therefor:</w:t>
      </w:r>
    </w:p>
    <w:p>
      <w:pPr>
        <w:spacing w:after="0" w:line="37" w:lineRule="exact"/>
        <w:rPr>
          <w:rFonts w:ascii="Arial" w:cs="Arial" w:eastAsia="Arial" w:hAnsi="Arial"/>
          <w:sz w:val="18"/>
          <w:szCs w:val="18"/>
          <w:color w:val="auto"/>
        </w:rPr>
      </w:pPr>
    </w:p>
    <w:p>
      <w:pPr>
        <w:ind w:left="460" w:right="40" w:firstLine="443"/>
        <w:spacing w:after="0" w:line="288" w:lineRule="auto"/>
        <w:tabs>
          <w:tab w:leader="none" w:pos="1147"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Following Change in Control</w:t>
      </w:r>
      <w:r>
        <w:rPr>
          <w:rFonts w:ascii="Arial" w:cs="Arial" w:eastAsia="Arial" w:hAnsi="Arial"/>
          <w:sz w:val="16"/>
          <w:szCs w:val="16"/>
          <w:color w:val="auto"/>
        </w:rPr>
        <w:t>. Employee shall be entitled to the benefits provided in this Section 6 if a Change in Control occurs and Employee’s employment with Employer is terminated (i) under any of the circumstances in Sections 1(a) or 1(b) within a period of two years after the occurrence of such Change in Control, or (ii) for any reason, either voluntarily or involuntarily, during the 30-day period beginning on the first anniversary of such Change of Control, unless such termination is because of Employee’s death, Disability or Retirement. The term “Retirement” shall mean termination of employment in accordance with (x) a qualified employee pension or profit-sharing plan maintained by Employer, or (y) Employer’s retirement policy in effect immediately prior to the Change in Control. For purposes of this Section 6, Employee’s employment shall be terminated by written notice delivered by either Employer or Employee to the other party. The date of Employee’s termination of employment shall be the earlier of the date of Employee’s or Employer’s written notice terminating Employee’s employment with Employer, unless such notice shall specify an effective date of termination occurring later than the date of such</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in which event such specified effective date shall govern (“Termination Date”).</w:t>
      </w:r>
    </w:p>
    <w:p>
      <w:pPr>
        <w:spacing w:after="0" w:line="158" w:lineRule="exact"/>
        <w:rPr>
          <w:sz w:val="20"/>
          <w:szCs w:val="20"/>
          <w:color w:val="auto"/>
        </w:rPr>
      </w:pPr>
    </w:p>
    <w:p>
      <w:pPr>
        <w:ind w:left="-460" w:right="740" w:firstLine="464"/>
        <w:spacing w:after="0" w:line="268" w:lineRule="auto"/>
        <w:tabs>
          <w:tab w:leader="none" w:pos="1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Section 6(c) of the Severance Agreement entitled “Payment of Benefits upon Termination” is hereby deleted in its entirety and the following is substituted therefor:</w:t>
      </w:r>
    </w:p>
    <w:p>
      <w:pPr>
        <w:spacing w:after="0" w:line="37" w:lineRule="exact"/>
        <w:rPr>
          <w:rFonts w:ascii="Arial" w:cs="Arial" w:eastAsia="Arial" w:hAnsi="Arial"/>
          <w:sz w:val="18"/>
          <w:szCs w:val="18"/>
          <w:color w:val="auto"/>
        </w:rPr>
      </w:pPr>
    </w:p>
    <w:p>
      <w:pPr>
        <w:ind w:right="480" w:firstLine="443"/>
        <w:spacing w:after="0" w:line="325" w:lineRule="auto"/>
        <w:tabs>
          <w:tab w:leader="none" w:pos="677"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Payment of Benefits upon Termination</w:t>
      </w:r>
      <w:r>
        <w:rPr>
          <w:rFonts w:ascii="Arial" w:cs="Arial" w:eastAsia="Arial" w:hAnsi="Arial"/>
          <w:sz w:val="16"/>
          <w:szCs w:val="16"/>
          <w:color w:val="auto"/>
        </w:rPr>
        <w:t>. If, after a Change in Control has occurred, Employee’s employment with Employer is terminated in accordance with Section 6(b) above, then Employer shall pay to Employee and provide Employee, his or her beneficiaries and estate, the following:</w:t>
      </w:r>
    </w:p>
    <w:p>
      <w:pPr>
        <w:spacing w:after="0" w:line="1" w:lineRule="exact"/>
        <w:rPr>
          <w:rFonts w:ascii="Arial" w:cs="Arial" w:eastAsia="Arial" w:hAnsi="Arial"/>
          <w:sz w:val="16"/>
          <w:szCs w:val="16"/>
          <w:color w:val="auto"/>
        </w:rPr>
      </w:pPr>
    </w:p>
    <w:p>
      <w:pPr>
        <w:ind w:left="460" w:firstLine="421"/>
        <w:spacing w:after="0" w:line="301" w:lineRule="auto"/>
        <w:tabs>
          <w:tab w:leader="none" w:pos="1089" w:val="left"/>
        </w:tabs>
        <w:numPr>
          <w:ilvl w:val="3"/>
          <w:numId w:val="71"/>
        </w:numPr>
        <w:rPr>
          <w:rFonts w:ascii="Arial" w:cs="Arial" w:eastAsia="Arial" w:hAnsi="Arial"/>
          <w:sz w:val="15"/>
          <w:szCs w:val="15"/>
          <w:color w:val="auto"/>
        </w:rPr>
      </w:pPr>
      <w:r>
        <w:rPr>
          <w:rFonts w:ascii="Arial" w:cs="Arial" w:eastAsia="Arial" w:hAnsi="Arial"/>
          <w:sz w:val="15"/>
          <w:szCs w:val="15"/>
          <w:color w:val="auto"/>
        </w:rPr>
        <w:t>Employer shall pay to Employee a single cash payment equal to two (2) year’s salary. For the purpose of calculating amounts payable pursuant to this Section 6(c), “salary” shall be an amount equal to (A) the greater of (1) Employee’s highest annual base salary paid during the previous three (3) years or (2) Employee’s annual base salary in the year of termination, plus (ii) the greatest annual aggregate amount of any annual bonus paid to Employee in respect of any of the three (3) fiscal years immediately preceding such termination (without giving effect to any accelerated vesting which may have occurred as a result of the Change in Control). For purposes of the preceding sentence: (a) the term “salary” shall not include any cash or equity-based incentive award intended to be a long-term incentive award, including awards made pursuant to Employer’s 2003 Long-Term Incentive Award Program; (b) an annual bonus paid in the form of stock will be considered to have been paid in respect of a particular year if (i) in the case of a bonus paid under Employer’s annual Incentive Bonus Plan in effect for the applicable year (as the same may be amended from time or time, or any successor plan, the “Bonus Plan”), the stock bonus was awarded in respect of that year, even if it did not vest in that year, or (ii) in the case of any other stock bonus, the shares vested in that year (other than as a result of the Termination Without Cause); (c) a stock bonus will be valued (i) in the case of a bonus paid under the Bonus Plan, at a figure equal to the number of shares awarded, multiplied by the per-share value (closing price) on the date on which the bonus was approved by the Compensation Committee of Employer’s Board of Trustees, and</w:t>
      </w:r>
    </w:p>
    <w:p>
      <w:pPr>
        <w:spacing w:after="0" w:line="3" w:lineRule="exact"/>
        <w:rPr>
          <w:rFonts w:ascii="Arial" w:cs="Arial" w:eastAsia="Arial" w:hAnsi="Arial"/>
          <w:sz w:val="15"/>
          <w:szCs w:val="15"/>
          <w:color w:val="auto"/>
        </w:rPr>
      </w:pPr>
    </w:p>
    <w:p>
      <w:pPr>
        <w:ind w:left="460" w:firstLine="1"/>
        <w:spacing w:after="0" w:line="288" w:lineRule="auto"/>
        <w:tabs>
          <w:tab w:leader="none" w:pos="718" w:val="left"/>
        </w:tabs>
        <w:numPr>
          <w:ilvl w:val="2"/>
          <w:numId w:val="71"/>
        </w:numPr>
        <w:rPr>
          <w:rFonts w:ascii="Arial" w:cs="Arial" w:eastAsia="Arial" w:hAnsi="Arial"/>
          <w:sz w:val="16"/>
          <w:szCs w:val="16"/>
          <w:color w:val="auto"/>
        </w:rPr>
      </w:pPr>
      <w:r>
        <w:rPr>
          <w:rFonts w:ascii="Arial" w:cs="Arial" w:eastAsia="Arial" w:hAnsi="Arial"/>
          <w:sz w:val="16"/>
          <w:szCs w:val="16"/>
          <w:color w:val="auto"/>
        </w:rPr>
        <w:t>in the case of any other stock bonus, at a figure equal to the number of shares that vested, multiplied by the per-share value (closing price) on the date on which they vested; and (d) notwithstanding the valuation provisions in clause (c) above, if Employee elected to receive all or any portion of an annual bonus in the form of stock rather than cash, the maximum amount to be included as bonus in the computation of “salary” for that year shall be the amount of cash bonus otherwise payable without taking into account any additional stock granted in consideration for delayed vesting. Payment also will be made for vacation time that has accrued, but is unused as of the date of termination. If Employee’s employment is terminated by Employee by a written notice which specifies a Termination Date at least five (5) business days later than the date of such notice, the payment shall be made on the Termination Date. If Employee gives less than</w:t>
      </w:r>
    </w:p>
    <w:p>
      <w:pPr>
        <w:spacing w:after="0" w:line="109" w:lineRule="exact"/>
        <w:rPr>
          <w:rFonts w:ascii="Arial" w:cs="Arial" w:eastAsia="Arial" w:hAnsi="Arial"/>
          <w:sz w:val="16"/>
          <w:szCs w:val="16"/>
          <w:color w:val="auto"/>
        </w:rPr>
      </w:pPr>
    </w:p>
    <w:p>
      <w:pPr>
        <w:ind w:left="5220" w:hanging="112"/>
        <w:spacing w:after="0"/>
        <w:tabs>
          <w:tab w:leader="none" w:pos="5220" w:val="left"/>
        </w:tabs>
        <w:numPr>
          <w:ilvl w:val="4"/>
          <w:numId w:val="7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60"/>
          </w:cols>
          <w:pgMar w:left="700" w:top="280" w:right="239" w:bottom="1440" w:gutter="0" w:footer="0" w:header="0"/>
        </w:sectPr>
      </w:pPr>
    </w:p>
    <w:bookmarkStart w:id="103" w:name="page104"/>
    <w:bookmarkEnd w:id="103"/>
    <w:p>
      <w:pPr>
        <w:ind w:left="456"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five (5) business days notice, then such payment shall be made within five (5) business days of the date of such notice. Notwithstanding the above, if Employee’s termination of employment occurs under the circumstances described in clause (ii) of Section 6(b) (i.e., for any reason, either voluntarily or involuntarily, during the 30-day period beginning on the first anniversary of such Change of Control, unless such termination is because of Employee’s death, Disability or Retirement), then if and to the extent required in order to comply with Section 409A of the Code, as determined by the Employer, the payment to Employee shall be delayed until six months and one day after the Termination Date;</w:t>
      </w:r>
    </w:p>
    <w:p>
      <w:pPr>
        <w:spacing w:after="0" w:line="21" w:lineRule="exact"/>
        <w:rPr>
          <w:sz w:val="20"/>
          <w:szCs w:val="20"/>
          <w:color w:val="auto"/>
        </w:rPr>
      </w:pPr>
    </w:p>
    <w:p>
      <w:pPr>
        <w:ind w:left="1136" w:hanging="259"/>
        <w:spacing w:after="0"/>
        <w:tabs>
          <w:tab w:leader="none" w:pos="1136" w:val="left"/>
        </w:tabs>
        <w:numPr>
          <w:ilvl w:val="2"/>
          <w:numId w:val="72"/>
        </w:numPr>
        <w:rPr>
          <w:rFonts w:ascii="Arial" w:cs="Arial" w:eastAsia="Arial" w:hAnsi="Arial"/>
          <w:sz w:val="18"/>
          <w:szCs w:val="18"/>
          <w:color w:val="auto"/>
        </w:rPr>
      </w:pPr>
      <w:r>
        <w:rPr>
          <w:rFonts w:ascii="Arial" w:cs="Arial" w:eastAsia="Arial" w:hAnsi="Arial"/>
          <w:sz w:val="18"/>
          <w:szCs w:val="18"/>
          <w:color w:val="auto"/>
        </w:rPr>
        <w:t>Employee shall receive Full Benefits for two (2) years following the Termination Date;</w:t>
      </w:r>
    </w:p>
    <w:p>
      <w:pPr>
        <w:spacing w:after="0" w:line="76" w:lineRule="exact"/>
        <w:rPr>
          <w:rFonts w:ascii="Arial" w:cs="Arial" w:eastAsia="Arial" w:hAnsi="Arial"/>
          <w:sz w:val="18"/>
          <w:szCs w:val="18"/>
          <w:color w:val="auto"/>
        </w:rPr>
      </w:pPr>
    </w:p>
    <w:p>
      <w:pPr>
        <w:ind w:left="456" w:firstLine="421"/>
        <w:spacing w:after="0" w:line="255" w:lineRule="auto"/>
        <w:tabs>
          <w:tab w:leader="none" w:pos="1183" w:val="left"/>
        </w:tabs>
        <w:numPr>
          <w:ilvl w:val="2"/>
          <w:numId w:val="72"/>
        </w:numPr>
        <w:rPr>
          <w:rFonts w:ascii="Arial" w:cs="Arial" w:eastAsia="Arial" w:hAnsi="Arial"/>
          <w:sz w:val="18"/>
          <w:szCs w:val="18"/>
          <w:color w:val="auto"/>
        </w:rPr>
      </w:pPr>
      <w:r>
        <w:rPr>
          <w:rFonts w:ascii="Arial" w:cs="Arial" w:eastAsia="Arial" w:hAnsi="Arial"/>
          <w:sz w:val="18"/>
          <w:szCs w:val="18"/>
          <w:color w:val="auto"/>
        </w:rPr>
        <w:t>Employer, to the extent legally permissible, shall continue to provide to Employee all other officer perquisites, allowances, accommodations of employment, and benefits on the same terms and conditions 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two (2) years following the Termination Date;</w:t>
      </w:r>
    </w:p>
    <w:p>
      <w:pPr>
        <w:spacing w:after="0" w:line="48" w:lineRule="exact"/>
        <w:rPr>
          <w:rFonts w:ascii="Arial" w:cs="Arial" w:eastAsia="Arial" w:hAnsi="Arial"/>
          <w:sz w:val="18"/>
          <w:szCs w:val="18"/>
          <w:color w:val="auto"/>
        </w:rPr>
      </w:pPr>
    </w:p>
    <w:p>
      <w:pPr>
        <w:ind w:left="456" w:right="160" w:firstLine="421"/>
        <w:spacing w:after="0" w:line="290" w:lineRule="auto"/>
        <w:tabs>
          <w:tab w:leader="none" w:pos="1173" w:val="left"/>
        </w:tabs>
        <w:numPr>
          <w:ilvl w:val="2"/>
          <w:numId w:val="72"/>
        </w:numPr>
        <w:rPr>
          <w:rFonts w:ascii="Arial" w:cs="Arial" w:eastAsia="Arial" w:hAnsi="Arial"/>
          <w:sz w:val="16"/>
          <w:szCs w:val="16"/>
          <w:color w:val="auto"/>
        </w:rPr>
      </w:pPr>
      <w:r>
        <w:rPr>
          <w:rFonts w:ascii="Arial" w:cs="Arial" w:eastAsia="Arial" w:hAnsi="Arial"/>
          <w:sz w:val="16"/>
          <w:szCs w:val="16"/>
          <w:color w:val="auto"/>
        </w:rPr>
        <w:t xml:space="preserve">For the purposes of this Section 6(c), Employee’s right to receive officer perquisites, allowances and accommodations of employment is intended to include (A) Employee’s right to have Employer provide Employee for a period not to exceed nine (9) months from Employee’s Termination Date with a telephone number assigned to Employee at Employer’s offices, telephone mail and a secretary to answer the telephone;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such benefits described in this Section 6(c)(iv)(A) shall not include an office or physical access to Employer’s offices and will</w:t>
      </w:r>
      <w:r>
        <w:rPr>
          <w:rFonts w:ascii="Arial" w:cs="Arial" w:eastAsia="Arial" w:hAnsi="Arial"/>
          <w:sz w:val="16"/>
          <w:szCs w:val="16"/>
          <w:i w:val="1"/>
          <w:iCs w:val="1"/>
          <w:color w:val="auto"/>
        </w:rPr>
        <w:t xml:space="preserve"> </w:t>
      </w:r>
      <w:r>
        <w:rPr>
          <w:rFonts w:ascii="Arial" w:cs="Arial" w:eastAsia="Arial" w:hAnsi="Arial"/>
          <w:sz w:val="16"/>
          <w:szCs w:val="16"/>
          <w:color w:val="auto"/>
        </w:rPr>
        <w:t>cease upon the commencement by Employee of employment with another employer, and (B) Employee’s right to have Employer make available at Employer’s expense to Employee at Employee’s option the services of an employment search/outplacement agency selected by Employee for a period not to exceed nine (9) months.</w:t>
      </w:r>
    </w:p>
    <w:p>
      <w:pPr>
        <w:spacing w:after="0" w:line="23" w:lineRule="exact"/>
        <w:rPr>
          <w:rFonts w:ascii="Arial" w:cs="Arial" w:eastAsia="Arial" w:hAnsi="Arial"/>
          <w:sz w:val="16"/>
          <w:szCs w:val="16"/>
          <w:color w:val="auto"/>
        </w:rPr>
      </w:pPr>
    </w:p>
    <w:p>
      <w:pPr>
        <w:ind w:left="1116" w:hanging="239"/>
        <w:spacing w:after="0"/>
        <w:tabs>
          <w:tab w:leader="none" w:pos="1116" w:val="left"/>
        </w:tabs>
        <w:numPr>
          <w:ilvl w:val="2"/>
          <w:numId w:val="72"/>
        </w:numPr>
        <w:rPr>
          <w:rFonts w:ascii="Arial" w:cs="Arial" w:eastAsia="Arial" w:hAnsi="Arial"/>
          <w:sz w:val="16"/>
          <w:szCs w:val="16"/>
          <w:color w:val="auto"/>
        </w:rPr>
      </w:pPr>
      <w:r>
        <w:rPr>
          <w:rFonts w:ascii="Arial" w:cs="Arial" w:eastAsia="Arial" w:hAnsi="Arial"/>
          <w:sz w:val="16"/>
          <w:szCs w:val="16"/>
          <w:color w:val="auto"/>
        </w:rPr>
        <w:t>Upon the occurrence of a Change in Control, all restrictions on the receipt of any option to acquire or grant of Voting Securities to</w:t>
      </w:r>
    </w:p>
    <w:p>
      <w:pPr>
        <w:spacing w:after="0" w:line="38" w:lineRule="exact"/>
        <w:rPr>
          <w:rFonts w:ascii="Arial" w:cs="Arial" w:eastAsia="Arial" w:hAnsi="Arial"/>
          <w:sz w:val="16"/>
          <w:szCs w:val="16"/>
          <w:color w:val="auto"/>
        </w:rPr>
      </w:pPr>
    </w:p>
    <w:p>
      <w:pPr>
        <w:ind w:left="456" w:right="40"/>
        <w:spacing w:after="0" w:line="255" w:lineRule="auto"/>
        <w:rPr>
          <w:rFonts w:ascii="Arial" w:cs="Arial" w:eastAsia="Arial" w:hAnsi="Arial"/>
          <w:sz w:val="16"/>
          <w:szCs w:val="16"/>
          <w:color w:val="auto"/>
        </w:rPr>
      </w:pPr>
      <w:r>
        <w:rPr>
          <w:rFonts w:ascii="Arial" w:cs="Arial" w:eastAsia="Arial" w:hAnsi="Arial"/>
          <w:sz w:val="18"/>
          <w:szCs w:val="18"/>
          <w:color w:val="auto"/>
        </w:rPr>
        <w:t>Employee shall lapse and such option shall become immediately and fully exercisable.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30" w:lineRule="exact"/>
        <w:rPr>
          <w:rFonts w:ascii="Arial" w:cs="Arial" w:eastAsia="Arial" w:hAnsi="Arial"/>
          <w:sz w:val="16"/>
          <w:szCs w:val="16"/>
          <w:color w:val="auto"/>
        </w:rPr>
      </w:pPr>
    </w:p>
    <w:p>
      <w:pPr>
        <w:ind w:left="176" w:hanging="176"/>
        <w:spacing w:after="0"/>
        <w:tabs>
          <w:tab w:leader="none" w:pos="1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Section 6(d) of the Severance Agreement entitled “Redemption” is hereby deleted in its entirety and the following is substituted therefor:</w:t>
      </w:r>
    </w:p>
    <w:p>
      <w:pPr>
        <w:spacing w:after="0" w:line="99" w:lineRule="exact"/>
        <w:rPr>
          <w:rFonts w:ascii="Arial" w:cs="Arial" w:eastAsia="Arial" w:hAnsi="Arial"/>
          <w:sz w:val="16"/>
          <w:szCs w:val="16"/>
          <w:color w:val="auto"/>
        </w:rPr>
      </w:pPr>
    </w:p>
    <w:p>
      <w:pPr>
        <w:ind w:left="696" w:hanging="257"/>
        <w:spacing w:after="0"/>
        <w:tabs>
          <w:tab w:leader="none" w:pos="696"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57" w:lineRule="exact"/>
        <w:rPr>
          <w:rFonts w:ascii="Arial" w:cs="Arial" w:eastAsia="Arial" w:hAnsi="Arial"/>
          <w:sz w:val="18"/>
          <w:szCs w:val="18"/>
          <w:color w:val="auto"/>
        </w:rPr>
      </w:pPr>
    </w:p>
    <w:p>
      <w:pPr>
        <w:ind w:left="5216" w:hanging="112"/>
        <w:spacing w:after="0"/>
        <w:tabs>
          <w:tab w:leader="none" w:pos="5216" w:val="left"/>
        </w:tabs>
        <w:numPr>
          <w:ilvl w:val="3"/>
          <w:numId w:val="7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56"/>
          </w:cols>
          <w:pgMar w:left="704" w:top="280" w:right="239"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As amended hereby, the Severance Agreement shall be and remain in full force and effect.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parties have executed and delivered this Amendment to Severance Agreement to be effective as of the day and year indicated above.</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Permanent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242570</wp:posOffset>
            </wp:positionV>
            <wp:extent cx="289877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Falls,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-13970</wp:posOffset>
            </wp:positionV>
            <wp:extent cx="33464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S. 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Mark S. Ordan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780"/>
          </w:cols>
          <w:pgMar w:left="240" w:top="280" w:right="8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10.26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HEALTH COVERAGE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CONTINUATION AGREEMENT</w:t>
      </w:r>
    </w:p>
    <w:p>
      <w:pPr>
        <w:spacing w:after="0" w:line="151" w:lineRule="exact"/>
        <w:rPr>
          <w:sz w:val="20"/>
          <w:szCs w:val="20"/>
          <w:color w:val="auto"/>
        </w:rPr>
      </w:pPr>
    </w:p>
    <w:p>
      <w:pPr>
        <w:ind w:right="520" w:firstLine="456"/>
        <w:spacing w:after="0" w:line="228" w:lineRule="auto"/>
        <w:rPr>
          <w:sz w:val="20"/>
          <w:szCs w:val="20"/>
          <w:color w:val="auto"/>
        </w:rPr>
      </w:pPr>
      <w:r>
        <w:rPr>
          <w:rFonts w:ascii="Arial" w:cs="Arial" w:eastAsia="Arial" w:hAnsi="Arial"/>
          <w:sz w:val="18"/>
          <w:szCs w:val="18"/>
          <w:color w:val="auto"/>
        </w:rPr>
        <w:t>THIS AGREEMENT (the “Agreement”) made and entered into as of this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2005, between FEDERAL REALTY INVESTMENT TRUST, a Maryland real estate investment trust (the “Trust”) and Donald C. Wood (the “Executive”).</w:t>
      </w:r>
    </w:p>
    <w:p>
      <w:pPr>
        <w:spacing w:after="0" w:line="144"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Executive serves as Chief Executive Officer of the Trust;</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Executive is willing to continue to serve as Chief Executive Officer of the Trust, but desires assurance that certain health coverage will be continued for him and his family after termination of his employment; and</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the Board of Trustees of the Trust (the “Board”), acting through its Compensation Committee, has determined that the best interests of the Trust would be served by agreeing to the Executive’s request;</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NOW, THEREFORE, in consideration of the foregoing, of the mutual promises herein contained and of other good and valuable consideration, the receipt and sufficiency of which is hereby acknowledged, the parties hereto, intending to be legally bound, agree as follows: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PROVISIONS</w:t>
      </w:r>
    </w:p>
    <w:p>
      <w:pPr>
        <w:spacing w:after="0" w:line="158" w:lineRule="exact"/>
        <w:rPr>
          <w:sz w:val="20"/>
          <w:szCs w:val="20"/>
          <w:color w:val="auto"/>
        </w:rPr>
      </w:pPr>
    </w:p>
    <w:p>
      <w:pPr>
        <w:ind w:right="220" w:firstLine="464"/>
        <w:spacing w:after="0" w:line="268" w:lineRule="auto"/>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in addition to the capitalized terms defined elsewhere, the following capitalized terms have the meanings indicated unless the context clearly requires otherwise:</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the Executive’s—</w:t>
      </w:r>
    </w:p>
    <w:p>
      <w:pPr>
        <w:spacing w:after="0" w:line="76" w:lineRule="exact"/>
        <w:rPr>
          <w:rFonts w:ascii="Arial" w:cs="Arial" w:eastAsia="Arial" w:hAnsi="Arial"/>
          <w:sz w:val="18"/>
          <w:szCs w:val="18"/>
          <w:color w:val="auto"/>
        </w:rPr>
      </w:pPr>
    </w:p>
    <w:p>
      <w:pPr>
        <w:ind w:left="1920" w:right="540" w:hanging="440"/>
        <w:spacing w:after="0" w:line="259" w:lineRule="auto"/>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failure (other than failure due to disability) to substantially perform his duties with the Trust or an affiliate thereof which failure remains uncured after written notice thereof and the expiration of a reasonable period of time thereafter in which Executive is diligently pursuing cure;</w:t>
      </w:r>
    </w:p>
    <w:p>
      <w:pPr>
        <w:spacing w:after="0" w:line="45" w:lineRule="exact"/>
        <w:rPr>
          <w:rFonts w:ascii="Arial" w:cs="Arial" w:eastAsia="Arial" w:hAnsi="Arial"/>
          <w:sz w:val="18"/>
          <w:szCs w:val="18"/>
          <w:color w:val="auto"/>
        </w:rPr>
      </w:pPr>
    </w:p>
    <w:p>
      <w:pPr>
        <w:ind w:left="1920" w:hanging="440"/>
        <w:spacing w:after="0"/>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willful conduct which is demonstrably and materially injurious to the Trust or an affiliate thereof, monetarily or otherwise;</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breach of fiduciary duty involving personal profit; or</w:t>
      </w:r>
    </w:p>
    <w:p>
      <w:pPr>
        <w:spacing w:after="0" w:line="76" w:lineRule="exact"/>
        <w:rPr>
          <w:rFonts w:ascii="Arial" w:cs="Arial" w:eastAsia="Arial" w:hAnsi="Arial"/>
          <w:sz w:val="18"/>
          <w:szCs w:val="18"/>
          <w:color w:val="auto"/>
        </w:rPr>
      </w:pPr>
    </w:p>
    <w:p>
      <w:pPr>
        <w:ind w:left="1920" w:right="160" w:hanging="440"/>
        <w:spacing w:after="0" w:line="259" w:lineRule="auto"/>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willful violation in the course of performing his duties for the Trust of any law, rule or regulation (other than traffic violations or misdemeanor offenses). No act or failure to act shall be considered willful unless done or omitted to be done in bad faith and without reasonable belief that the action or omission was in the best interest of the Trust.</w:t>
      </w:r>
    </w:p>
    <w:p>
      <w:pPr>
        <w:sectPr>
          <w:pgSz w:w="11900" w:h="16838" w:orient="portrait"/>
          <w:cols w:equalWidth="0" w:num="1">
            <w:col w:w="11420"/>
          </w:cols>
          <w:pgMar w:left="240" w:top="125" w:right="239" w:bottom="1440" w:gutter="0" w:footer="0" w:header="0"/>
        </w:sectPr>
      </w:pPr>
    </w:p>
    <w:bookmarkStart w:id="106" w:name="page107"/>
    <w:bookmarkEnd w:id="106"/>
    <w:p>
      <w:pPr>
        <w:ind w:left="257" w:hanging="257"/>
        <w:spacing w:after="0"/>
        <w:tabs>
          <w:tab w:leader="none" w:pos="257"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one or more of the following events:</w:t>
      </w:r>
    </w:p>
    <w:p>
      <w:pPr>
        <w:spacing w:after="0" w:line="76" w:lineRule="exact"/>
        <w:rPr>
          <w:rFonts w:ascii="Arial" w:cs="Arial" w:eastAsia="Arial" w:hAnsi="Arial"/>
          <w:sz w:val="18"/>
          <w:szCs w:val="18"/>
          <w:color w:val="auto"/>
        </w:rPr>
      </w:pPr>
    </w:p>
    <w:p>
      <w:pPr>
        <w:ind w:left="1017" w:right="60" w:hanging="440"/>
        <w:spacing w:after="0" w:line="287" w:lineRule="auto"/>
        <w:tabs>
          <w:tab w:leader="none" w:pos="1017"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 acquisition in one or more transactions (other than directly from the Trust or pursuant to options granted by the Trust) of any voting securities of the Trust (the “Voting Securities”) by any “Person” (as the term is used for purposes of Section 13(d) or 14(d) of the Securities Act of 1934, as amended (the “Exchange Act”)) immediately after which such Person has “Beneficial Ownership” (within the meaning of Rule 13d-3 promulgated under the Exchange Act) of 20% or more of the combined voting power of the Trust’s then outstanding Voting Securities; provided, however, in determining whether a Change in Control has occurred, Voting Securities which are acquired in a “Non-Control Acquisition” (as hereinafter defined) shall not constitute an acquisition which would cause a Change in Control. A “Non-Control Acquisition” shall mean an acquisition by (A) an employee benefit plan (or a trust forming a part thereof) maintained by (x) the Trust or (y) any corporation or other Person of which a majority of its voting power or its equity securities or equity interest is owned directly or indirectly by the Trust (a “Subsidiary”), (B) the Trust or any Subsidiary, or (C) any Person in connection with a “Non-Control Transaction” (as hereinafter defined);</w:t>
      </w:r>
    </w:p>
    <w:p>
      <w:pPr>
        <w:spacing w:after="0" w:line="28" w:lineRule="exact"/>
        <w:rPr>
          <w:rFonts w:ascii="Arial" w:cs="Arial" w:eastAsia="Arial" w:hAnsi="Arial"/>
          <w:sz w:val="16"/>
          <w:szCs w:val="16"/>
          <w:color w:val="auto"/>
        </w:rPr>
      </w:pPr>
    </w:p>
    <w:p>
      <w:pPr>
        <w:ind w:left="1017" w:hanging="440"/>
        <w:spacing w:after="0" w:line="289" w:lineRule="auto"/>
        <w:tabs>
          <w:tab w:leader="none" w:pos="1017"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individuals who, as of the date of this Executive Agreement, are members of the Board of Trustees (the “Incumbent Trustees”), cease for any reason to constitute at least two-thirds of the Board; provided, however, that if the election, or nomination for election by the Trust’s shareholders, of any new member was approved by a vote of at least two-thirds of the Incumbent Trustees, such new member shall, for purposes of this Executive Agreement,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pacing w:after="0" w:line="105"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17"/>
          </w:cols>
          <w:pgMar w:left="1143" w:top="280" w:right="239" w:bottom="1440" w:gutter="0" w:footer="0" w:header="0"/>
        </w:sectPr>
      </w:pPr>
    </w:p>
    <w:bookmarkStart w:id="107" w:name="page108"/>
    <w:bookmarkEnd w:id="107"/>
    <w:p>
      <w:pPr>
        <w:ind w:left="720" w:hanging="440"/>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Approval by shareholders of the Trust of—</w:t>
      </w:r>
    </w:p>
    <w:p>
      <w:pPr>
        <w:spacing w:after="0" w:line="76" w:lineRule="exact"/>
        <w:rPr>
          <w:rFonts w:ascii="Arial" w:cs="Arial" w:eastAsia="Arial" w:hAnsi="Arial"/>
          <w:sz w:val="18"/>
          <w:szCs w:val="18"/>
          <w:color w:val="auto"/>
        </w:rPr>
      </w:pPr>
    </w:p>
    <w:p>
      <w:pPr>
        <w:ind w:left="1180" w:hanging="441"/>
        <w:spacing w:after="0"/>
        <w:tabs>
          <w:tab w:leader="none" w:pos="11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merger, consolidation or reorganization involving the Trust, unless—</w:t>
      </w:r>
    </w:p>
    <w:p>
      <w:pPr>
        <w:spacing w:after="0" w:line="76" w:lineRule="exact"/>
        <w:rPr>
          <w:rFonts w:ascii="Arial" w:cs="Arial" w:eastAsia="Arial" w:hAnsi="Arial"/>
          <w:sz w:val="18"/>
          <w:szCs w:val="18"/>
          <w:color w:val="auto"/>
        </w:rPr>
      </w:pPr>
    </w:p>
    <w:p>
      <w:pPr>
        <w:ind w:left="1760" w:hanging="562"/>
        <w:spacing w:after="0" w:line="294" w:lineRule="auto"/>
        <w:tabs>
          <w:tab w:leader="none" w:pos="1760" w:val="left"/>
        </w:tabs>
        <w:numPr>
          <w:ilvl w:val="2"/>
          <w:numId w:val="76"/>
        </w:numPr>
        <w:rPr>
          <w:rFonts w:ascii="Arial" w:cs="Arial" w:eastAsia="Arial" w:hAnsi="Arial"/>
          <w:sz w:val="16"/>
          <w:szCs w:val="16"/>
          <w:color w:val="auto"/>
        </w:rPr>
      </w:pPr>
      <w:r>
        <w:rPr>
          <w:rFonts w:ascii="Arial" w:cs="Arial" w:eastAsia="Arial" w:hAnsi="Arial"/>
          <w:sz w:val="16"/>
          <w:szCs w:val="16"/>
          <w:color w:val="auto"/>
        </w:rPr>
        <w:t>the shareholders of the Trust,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21" w:lineRule="exact"/>
        <w:rPr>
          <w:sz w:val="20"/>
          <w:szCs w:val="20"/>
          <w:color w:val="auto"/>
        </w:rPr>
      </w:pPr>
    </w:p>
    <w:p>
      <w:pPr>
        <w:ind w:left="1760" w:right="40" w:hanging="562"/>
        <w:spacing w:after="0" w:line="259" w:lineRule="auto"/>
        <w:tabs>
          <w:tab w:leader="none" w:pos="1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individuals who were members of the Incumbent Trustees immediately prior to the execution of the agreement providing for such merger, consolidation or reorganization constitute at least two-thirds of the members of the board of directors of the Surviving Person,</w:t>
      </w:r>
    </w:p>
    <w:p>
      <w:pPr>
        <w:spacing w:after="0" w:line="46" w:lineRule="exact"/>
        <w:rPr>
          <w:sz w:val="20"/>
          <w:szCs w:val="20"/>
          <w:color w:val="auto"/>
        </w:rPr>
      </w:pPr>
    </w:p>
    <w:p>
      <w:pPr>
        <w:ind w:left="1760" w:right="40" w:hanging="562"/>
        <w:spacing w:after="0" w:line="255" w:lineRule="auto"/>
        <w:tabs>
          <w:tab w:leader="none" w:pos="1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Person (other than the Trust or any Subsidiary, any employee benefit plan (or any trust forming a part thereof) maintained by the Trust,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 and</w:t>
      </w:r>
    </w:p>
    <w:p>
      <w:pPr>
        <w:spacing w:after="0" w:line="48" w:lineRule="exact"/>
        <w:rPr>
          <w:sz w:val="20"/>
          <w:szCs w:val="20"/>
          <w:color w:val="auto"/>
        </w:rPr>
      </w:pPr>
    </w:p>
    <w:p>
      <w:pPr>
        <w:ind w:left="1200"/>
        <w:spacing w:after="0"/>
        <w:tabs>
          <w:tab w:leader="none" w:pos="1740" w:val="left"/>
        </w:tabs>
        <w:rPr>
          <w:sz w:val="20"/>
          <w:szCs w:val="20"/>
          <w:color w:val="auto"/>
        </w:rPr>
      </w:pPr>
      <w:r>
        <w:rPr>
          <w:rFonts w:ascii="Arial" w:cs="Arial" w:eastAsia="Arial" w:hAnsi="Arial"/>
          <w:sz w:val="16"/>
          <w:szCs w:val="16"/>
          <w:color w:val="auto"/>
        </w:rPr>
        <w:t>(IV)</w:t>
      </w:r>
      <w:r>
        <w:rPr>
          <w:sz w:val="20"/>
          <w:szCs w:val="20"/>
          <w:color w:val="auto"/>
        </w:rPr>
        <w:tab/>
      </w:r>
      <w:r>
        <w:rPr>
          <w:rFonts w:ascii="Arial" w:cs="Arial" w:eastAsia="Arial" w:hAnsi="Arial"/>
          <w:sz w:val="16"/>
          <w:szCs w:val="16"/>
          <w:color w:val="auto"/>
        </w:rPr>
        <w:t>a transaction described in clauses (I) through (III) shall herein be referred to as a “Non-Control Transaction;”</w:t>
      </w:r>
    </w:p>
    <w:p>
      <w:pPr>
        <w:spacing w:after="0" w:line="100" w:lineRule="exact"/>
        <w:rPr>
          <w:sz w:val="20"/>
          <w:szCs w:val="20"/>
          <w:color w:val="auto"/>
        </w:rPr>
      </w:pPr>
    </w:p>
    <w:p>
      <w:pPr>
        <w:ind w:left="1180" w:hanging="441"/>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complete liquidation or dissolution of the Trust; or</w:t>
      </w:r>
    </w:p>
    <w:p>
      <w:pPr>
        <w:spacing w:after="0" w:line="76" w:lineRule="exact"/>
        <w:rPr>
          <w:rFonts w:ascii="Arial" w:cs="Arial" w:eastAsia="Arial" w:hAnsi="Arial"/>
          <w:sz w:val="18"/>
          <w:szCs w:val="18"/>
          <w:color w:val="auto"/>
        </w:rPr>
      </w:pPr>
    </w:p>
    <w:p>
      <w:pPr>
        <w:ind w:left="1180" w:right="320" w:hanging="441"/>
        <w:spacing w:after="0" w:line="268"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agreement for the sale or other disposition of all or substantially all of the assets of the Trust to any Person (other than a transfer to a Subsidiary).</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60"/>
          </w:cols>
          <w:pgMar w:left="1440" w:top="280" w:right="299" w:bottom="1440" w:gutter="0" w:footer="0" w:header="0"/>
        </w:sectPr>
      </w:pPr>
    </w:p>
    <w:bookmarkStart w:id="108" w:name="page109"/>
    <w:bookmarkEnd w:id="108"/>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a Change in Control shall not be deemed to occur (</w:t>
      </w:r>
      <w:r>
        <w:rPr>
          <w:rFonts w:ascii="Arial" w:cs="Arial" w:eastAsia="Arial" w:hAnsi="Arial"/>
          <w:sz w:val="16"/>
          <w:szCs w:val="16"/>
          <w:u w:val="single" w:color="auto"/>
          <w:color w:val="auto"/>
        </w:rPr>
        <w:t>a</w:t>
      </w:r>
      <w:r>
        <w:rPr>
          <w:rFonts w:ascii="Arial" w:cs="Arial" w:eastAsia="Arial" w:hAnsi="Arial"/>
          <w:sz w:val="16"/>
          <w:szCs w:val="16"/>
          <w:color w:val="auto"/>
        </w:rPr>
        <w:t xml:space="preserve">) solely because any Person (the “Subject Person”) acquired Beneficial Ownership of more than the permitted amount of the outstanding Voting Securities as a result of the acquisition of Voting Securities by the Trust which, by reducing the number of Voting Securities outstanding, increases the proportional number of Voting Securities Beneficially Owned by the Subject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Change in Control would occur (but for the operation of this sentence) as a result of the acquisition of Voting Securities by the Trust, and after such share acquisition by the Trust, the Subject Person becomes the Beneficial Owner of any additional Voting Securities which increases the percentage of the then outstanding Voting Securities Beneficially Owned by the Subject Person, then a Change in Control shall occur; or (</w:t>
      </w:r>
      <w:r>
        <w:rPr>
          <w:rFonts w:ascii="Arial" w:cs="Arial" w:eastAsia="Arial" w:hAnsi="Arial"/>
          <w:sz w:val="16"/>
          <w:szCs w:val="16"/>
          <w:u w:val="single" w:color="auto"/>
          <w:color w:val="auto"/>
        </w:rPr>
        <w:t>b</w:t>
      </w:r>
      <w:r>
        <w:rPr>
          <w:rFonts w:ascii="Arial" w:cs="Arial" w:eastAsia="Arial" w:hAnsi="Arial"/>
          <w:sz w:val="16"/>
          <w:szCs w:val="16"/>
          <w:color w:val="auto"/>
        </w:rPr>
        <w:t>) if the Trust (</w:t>
      </w:r>
      <w:r>
        <w:rPr>
          <w:rFonts w:ascii="Arial" w:cs="Arial" w:eastAsia="Arial" w:hAnsi="Arial"/>
          <w:sz w:val="16"/>
          <w:szCs w:val="16"/>
          <w:u w:val="single" w:color="auto"/>
          <w:color w:val="auto"/>
        </w:rPr>
        <w:t>1</w:t>
      </w:r>
      <w:r>
        <w:rPr>
          <w:rFonts w:ascii="Arial" w:cs="Arial" w:eastAsia="Arial" w:hAnsi="Arial"/>
          <w:sz w:val="16"/>
          <w:szCs w:val="16"/>
          <w:color w:val="auto"/>
        </w:rPr>
        <w:t>) establishes a wholly-owned subsidiary (“Holding Company”), (</w:t>
      </w:r>
      <w:r>
        <w:rPr>
          <w:rFonts w:ascii="Arial" w:cs="Arial" w:eastAsia="Arial" w:hAnsi="Arial"/>
          <w:sz w:val="16"/>
          <w:szCs w:val="16"/>
          <w:u w:val="single" w:color="auto"/>
          <w:color w:val="auto"/>
        </w:rPr>
        <w:t>2</w:t>
      </w:r>
      <w:r>
        <w:rPr>
          <w:rFonts w:ascii="Arial" w:cs="Arial" w:eastAsia="Arial" w:hAnsi="Arial"/>
          <w:sz w:val="16"/>
          <w:szCs w:val="16"/>
          <w:color w:val="auto"/>
        </w:rPr>
        <w:t>) causes the Holding Company to establish a wholly-owned subsidiary (“Merger Sub”), and (</w:t>
      </w:r>
      <w:r>
        <w:rPr>
          <w:rFonts w:ascii="Arial" w:cs="Arial" w:eastAsia="Arial" w:hAnsi="Arial"/>
          <w:sz w:val="16"/>
          <w:szCs w:val="16"/>
          <w:u w:val="single" w:color="auto"/>
          <w:color w:val="auto"/>
        </w:rPr>
        <w:t>c</w:t>
      </w:r>
      <w:r>
        <w:rPr>
          <w:rFonts w:ascii="Arial" w:cs="Arial" w:eastAsia="Arial" w:hAnsi="Arial"/>
          <w:sz w:val="16"/>
          <w:szCs w:val="16"/>
          <w:color w:val="auto"/>
        </w:rPr>
        <w:t>) merges with Merger Sub, with the Trust as the surviving entity (such transactions collectively are referred as the “Reorganization”). Immediately following the completion of the Reorganization, all references to the Voting Securities shall be deemed to refer to the voting securities of the Holding Company.</w:t>
      </w:r>
    </w:p>
    <w:p>
      <w:pPr>
        <w:spacing w:after="0" w:line="28" w:lineRule="exact"/>
        <w:rPr>
          <w:sz w:val="20"/>
          <w:szCs w:val="20"/>
          <w:color w:val="auto"/>
        </w:rPr>
      </w:pPr>
    </w:p>
    <w:p>
      <w:pPr>
        <w:ind w:left="680" w:hanging="237"/>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76" w:lineRule="exact"/>
        <w:rPr>
          <w:rFonts w:ascii="Arial" w:cs="Arial" w:eastAsia="Arial" w:hAnsi="Arial"/>
          <w:sz w:val="18"/>
          <w:szCs w:val="18"/>
          <w:color w:val="auto"/>
        </w:rPr>
      </w:pPr>
    </w:p>
    <w:p>
      <w:pPr>
        <w:ind w:firstLine="443"/>
        <w:spacing w:after="0" w:line="255" w:lineRule="auto"/>
        <w:tabs>
          <w:tab w:leader="none" w:pos="6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Coverage Trigger</w:t>
      </w:r>
      <w:r>
        <w:rPr>
          <w:rFonts w:ascii="Arial" w:cs="Arial" w:eastAsia="Arial" w:hAnsi="Arial"/>
          <w:sz w:val="18"/>
          <w:szCs w:val="18"/>
          <w:color w:val="auto"/>
        </w:rPr>
        <w:t>” shall mean the occurrence of any one of the following events: (i) termination without Cause; (ii) termination (other than for Cause) following a Change in Control as provided in that certain Executive Agreement dated as of February 22, 1999 between the Trust and Executive, as amended by that certain Amendment to Executive Agreement of even date herewith between the Trust and Executive and as the same may be further amended from time to time; (iii) termination within six (6) months after having Good Reason, (iv) Retirement, (v) termination on account of death, and (vi) termination on account of Disability.</w:t>
      </w:r>
    </w:p>
    <w:p>
      <w:pPr>
        <w:spacing w:after="0" w:line="48" w:lineRule="exact"/>
        <w:rPr>
          <w:rFonts w:ascii="Arial" w:cs="Arial" w:eastAsia="Arial" w:hAnsi="Arial"/>
          <w:sz w:val="18"/>
          <w:szCs w:val="18"/>
          <w:color w:val="auto"/>
        </w:rPr>
      </w:pPr>
    </w:p>
    <w:p>
      <w:pPr>
        <w:ind w:left="680" w:hanging="237"/>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disability within the meaning of the Trust’s long-term disability policy.</w:t>
      </w:r>
    </w:p>
    <w:p>
      <w:pPr>
        <w:spacing w:after="0" w:line="76" w:lineRule="exact"/>
        <w:rPr>
          <w:rFonts w:ascii="Arial" w:cs="Arial" w:eastAsia="Arial" w:hAnsi="Arial"/>
          <w:sz w:val="18"/>
          <w:szCs w:val="18"/>
          <w:color w:val="auto"/>
        </w:rPr>
      </w:pPr>
    </w:p>
    <w:p>
      <w:pPr>
        <w:ind w:left="660" w:hanging="217"/>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one or more of the following events, provided that it has not been corrected:</w:t>
      </w:r>
    </w:p>
    <w:p>
      <w:pPr>
        <w:spacing w:after="0" w:line="76" w:lineRule="exact"/>
        <w:rPr>
          <w:rFonts w:ascii="Arial" w:cs="Arial" w:eastAsia="Arial" w:hAnsi="Arial"/>
          <w:sz w:val="18"/>
          <w:szCs w:val="18"/>
          <w:color w:val="auto"/>
        </w:rPr>
      </w:pPr>
    </w:p>
    <w:p>
      <w:pPr>
        <w:ind w:left="1460" w:right="120" w:hanging="440"/>
        <w:spacing w:after="0" w:line="332" w:lineRule="auto"/>
        <w:tabs>
          <w:tab w:leader="none" w:pos="14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nature of Executive’s duties or the scope of Executive’s responsibilities are materially modified by the Trust without Executive’s written consent where such material modification constitutes a demotion of Executive; provided, however, that a change in the</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09" w:name="page110"/>
    <w:bookmarkEnd w:id="109"/>
    <w:p>
      <w:pPr>
        <w:ind w:left="1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position(s) to whom Executive reports shall not by itself constitute a material modification of Executive’s responsibilities;</w:t>
      </w:r>
    </w:p>
    <w:p>
      <w:pPr>
        <w:spacing w:after="0" w:line="113" w:lineRule="exact"/>
        <w:rPr>
          <w:sz w:val="20"/>
          <w:szCs w:val="20"/>
          <w:color w:val="auto"/>
        </w:rPr>
      </w:pPr>
    </w:p>
    <w:p>
      <w:pPr>
        <w:ind w:left="1900" w:hanging="440"/>
        <w:spacing w:after="0"/>
        <w:tabs>
          <w:tab w:leader="none" w:pos="1900" w:val="left"/>
        </w:tabs>
        <w:numPr>
          <w:ilvl w:val="2"/>
          <w:numId w:val="81"/>
        </w:numPr>
        <w:rPr>
          <w:rFonts w:ascii="Arial" w:cs="Arial" w:eastAsia="Arial" w:hAnsi="Arial"/>
          <w:sz w:val="16"/>
          <w:szCs w:val="16"/>
          <w:color w:val="auto"/>
        </w:rPr>
      </w:pPr>
      <w:r>
        <w:rPr>
          <w:rFonts w:ascii="Arial" w:cs="Arial" w:eastAsia="Arial" w:hAnsi="Arial"/>
          <w:sz w:val="16"/>
          <w:szCs w:val="16"/>
          <w:color w:val="auto"/>
        </w:rPr>
        <w:t>The Trust changes the location of its principal office to outside a fifty (50) mile radius of the office where Executive is headquartered;</w:t>
      </w:r>
    </w:p>
    <w:p>
      <w:pPr>
        <w:spacing w:after="0" w:line="99" w:lineRule="exact"/>
        <w:rPr>
          <w:rFonts w:ascii="Arial" w:cs="Arial" w:eastAsia="Arial" w:hAnsi="Arial"/>
          <w:sz w:val="16"/>
          <w:szCs w:val="16"/>
          <w:color w:val="auto"/>
        </w:rPr>
      </w:pPr>
    </w:p>
    <w:p>
      <w:pPr>
        <w:ind w:left="1900" w:hanging="440"/>
        <w:spacing w:after="0" w:line="306" w:lineRule="auto"/>
        <w:tabs>
          <w:tab w:leader="none" w:pos="1900" w:val="left"/>
        </w:tabs>
        <w:numPr>
          <w:ilvl w:val="2"/>
          <w:numId w:val="81"/>
        </w:numPr>
        <w:rPr>
          <w:rFonts w:ascii="Arial" w:cs="Arial" w:eastAsia="Arial" w:hAnsi="Arial"/>
          <w:sz w:val="16"/>
          <w:szCs w:val="16"/>
          <w:color w:val="auto"/>
        </w:rPr>
      </w:pPr>
      <w:r>
        <w:rPr>
          <w:rFonts w:ascii="Arial" w:cs="Arial" w:eastAsia="Arial" w:hAnsi="Arial"/>
          <w:sz w:val="16"/>
          <w:szCs w:val="16"/>
          <w:color w:val="auto"/>
        </w:rPr>
        <w:t>The Trust’s setting of Executive’s base salary for any year at an amount which is less than 90% of the greater of (A) Executive’s base salary for 2005, or (B) Executive’s highest base salary during the 3 then most recent calendar years (including the year of termination), regardless of whether such salary reduction occurs in one year or over the course of years; or</w:t>
      </w:r>
    </w:p>
    <w:p>
      <w:pPr>
        <w:spacing w:after="0" w:line="12" w:lineRule="exact"/>
        <w:rPr>
          <w:rFonts w:ascii="Arial" w:cs="Arial" w:eastAsia="Arial" w:hAnsi="Arial"/>
          <w:sz w:val="16"/>
          <w:szCs w:val="16"/>
          <w:color w:val="auto"/>
        </w:rPr>
      </w:pPr>
    </w:p>
    <w:p>
      <w:pPr>
        <w:ind w:left="1900" w:hanging="440"/>
        <w:spacing w:after="0"/>
        <w:tabs>
          <w:tab w:leader="none" w:pos="19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This Agreement is not assumed by a successor as required by section 6.</w:t>
      </w:r>
    </w:p>
    <w:p>
      <w:pPr>
        <w:spacing w:after="0" w:line="76" w:lineRule="exact"/>
        <w:rPr>
          <w:rFonts w:ascii="Arial" w:cs="Arial" w:eastAsia="Arial" w:hAnsi="Arial"/>
          <w:sz w:val="18"/>
          <w:szCs w:val="18"/>
          <w:color w:val="auto"/>
        </w:rPr>
      </w:pPr>
    </w:p>
    <w:p>
      <w:pPr>
        <w:ind w:left="440" w:right="420" w:firstLine="443"/>
        <w:spacing w:after="0" w:line="325" w:lineRule="auto"/>
        <w:tabs>
          <w:tab w:leader="none" w:pos="1127" w:val="left"/>
        </w:tabs>
        <w:numPr>
          <w:ilvl w:val="1"/>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 Coverage</w:t>
      </w:r>
      <w:r>
        <w:rPr>
          <w:rFonts w:ascii="Arial" w:cs="Arial" w:eastAsia="Arial" w:hAnsi="Arial"/>
          <w:sz w:val="16"/>
          <w:szCs w:val="16"/>
          <w:color w:val="auto"/>
        </w:rPr>
        <w:t>” means coverage for expenses for medical care within the meaning of Section 213(d) of the Code, other than (i) coverage under a flexible spending account that is funded by salary reduction; (ii) long-term care coverage; or (iii) dental or vision coverage.</w:t>
      </w:r>
    </w:p>
    <w:p>
      <w:pPr>
        <w:spacing w:after="0" w:line="1" w:lineRule="exact"/>
        <w:rPr>
          <w:rFonts w:ascii="Arial" w:cs="Arial" w:eastAsia="Arial" w:hAnsi="Arial"/>
          <w:sz w:val="16"/>
          <w:szCs w:val="16"/>
          <w:color w:val="auto"/>
        </w:rPr>
      </w:pPr>
    </w:p>
    <w:p>
      <w:pPr>
        <w:ind w:left="440" w:right="360" w:firstLine="443"/>
        <w:spacing w:after="0" w:line="268" w:lineRule="auto"/>
        <w:tabs>
          <w:tab w:leader="none" w:pos="10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termination of employment in accordance with (i) a qualified employee pension or profit-sharing plan maintained by the Trust, or (ii) the Trust’s retirement policy in effect immediately prior to such termination.</w:t>
      </w:r>
    </w:p>
    <w:p>
      <w:pPr>
        <w:spacing w:after="0" w:line="37" w:lineRule="exact"/>
        <w:rPr>
          <w:rFonts w:ascii="Arial" w:cs="Arial" w:eastAsia="Arial" w:hAnsi="Arial"/>
          <w:sz w:val="18"/>
          <w:szCs w:val="18"/>
          <w:color w:val="auto"/>
        </w:rPr>
      </w:pPr>
    </w:p>
    <w:p>
      <w:pPr>
        <w:ind w:left="440" w:firstLine="443"/>
        <w:spacing w:after="0" w:line="259" w:lineRule="auto"/>
        <w:tabs>
          <w:tab w:leader="none" w:pos="10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the date of Executive’s or the Trust’s written notice terminating Executive’s employment with the Trust, unless such notice shall specify an effective date of termination occurring later than the date of such notice, in which case such specified effective date shall govern.</w:t>
      </w:r>
    </w:p>
    <w:p>
      <w:pPr>
        <w:spacing w:after="0" w:line="126" w:lineRule="exact"/>
        <w:rPr>
          <w:rFonts w:ascii="Arial" w:cs="Arial" w:eastAsia="Arial" w:hAnsi="Arial"/>
          <w:sz w:val="18"/>
          <w:szCs w:val="18"/>
          <w:color w:val="auto"/>
        </w:rPr>
      </w:pPr>
    </w:p>
    <w:p>
      <w:pPr>
        <w:ind w:left="-20" w:right="440" w:firstLine="464"/>
        <w:spacing w:after="0" w:line="259" w:lineRule="auto"/>
        <w:tabs>
          <w:tab w:leader="none" w:pos="61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If the Executive’s employment with the Trust terminates as a result of a Coverage Trigger, the Trust shall make available to the persons described in subsection (a) below the Health Coverage set forth in subsection (b) below on the terms and conditions set forth in subsection (c) below for the period set forth in subsection (d) below following the Termination Date.</w:t>
      </w:r>
    </w:p>
    <w:p>
      <w:pPr>
        <w:spacing w:after="0" w:line="45" w:lineRule="exact"/>
        <w:rPr>
          <w:rFonts w:ascii="Arial" w:cs="Arial" w:eastAsia="Arial" w:hAnsi="Arial"/>
          <w:sz w:val="18"/>
          <w:szCs w:val="18"/>
          <w:color w:val="auto"/>
        </w:rPr>
      </w:pPr>
    </w:p>
    <w:p>
      <w:pPr>
        <w:ind w:left="440" w:right="20" w:firstLine="443"/>
        <w:spacing w:after="0" w:line="294" w:lineRule="auto"/>
        <w:tabs>
          <w:tab w:leader="none" w:pos="1117"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Persons</w:t>
      </w:r>
      <w:r>
        <w:rPr>
          <w:rFonts w:ascii="Arial" w:cs="Arial" w:eastAsia="Arial" w:hAnsi="Arial"/>
          <w:sz w:val="16"/>
          <w:szCs w:val="16"/>
          <w:color w:val="auto"/>
        </w:rPr>
        <w:t>. The Trust shall provide the coverage described in subsection (c) to the following persons: (i) the Executive and the individuals who were his spouse and dependents (within the meaning of Section 106 of the Code) on the Termination Date and remain his spouse and dependents when the coverage is provided (“Executive’s Family”), and (ii) Executive’s daughter to the extent that she is not a member of Executive’s Family when the coverage is provided (“Executive’s Adult Daughter”). Executive’s spouse on the Termination Date remains his spouse when the coverage is provided if she is his spouse or surviving spouse on that date. Executive’s dependent on the Termination Date remains his dependent when the coverage 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110" w:name="page111"/>
    <w:bookmarkEnd w:id="110"/>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if he or she is his dependent (within the meaning of Section 106 of the Code) on that date or, if Executive has died, he or she has not reached age 25.</w:t>
      </w:r>
    </w:p>
    <w:p>
      <w:pPr>
        <w:spacing w:after="0" w:line="37" w:lineRule="exact"/>
        <w:rPr>
          <w:sz w:val="20"/>
          <w:szCs w:val="20"/>
          <w:color w:val="auto"/>
        </w:rPr>
      </w:pPr>
    </w:p>
    <w:p>
      <w:pPr>
        <w:jc w:val="both"/>
        <w:ind w:right="60" w:firstLine="443"/>
        <w:spacing w:after="0" w:line="298" w:lineRule="auto"/>
        <w:tabs>
          <w:tab w:leader="none" w:pos="68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Coverage</w:t>
      </w:r>
      <w:r>
        <w:rPr>
          <w:rFonts w:ascii="Arial" w:cs="Arial" w:eastAsia="Arial" w:hAnsi="Arial"/>
          <w:sz w:val="16"/>
          <w:szCs w:val="16"/>
          <w:color w:val="auto"/>
        </w:rPr>
        <w:t>. The Trust shall provide Health Coverage that—in conjunction with any coverage available to one or more members of Executive’s Family or Executive’s Adult Daughter under Part A and Part B of Medicare or Medicaid (or any successor programs) and under any plan maintained or contributed to by the Trust or another employer—is at least equal to the highest level of Health Coverage that was provided during the last 12 months prior to the Termination Date: (i) in the case of Executive’s Family, to Executive’s Family, and (ii) in the case of Executive’s Adult Daughter, to her.</w:t>
      </w:r>
    </w:p>
    <w:p>
      <w:pPr>
        <w:spacing w:after="0" w:line="18"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The Health Coverage may be insured or self-insured, or a combination of both, at the Trust’s election. If it is insured, it may be provided under one or more group or individual policies. It may be, but is not required to be, provided under the same plan that covers active employees of the Trust. In determining whether the Health Coverage is at least equal to the highest level of coverage provided during the last 12 months prior to the Termination Date, inflation in the cost of medical care (medical inflation) shall be taken into account. If the Trust provides the Health Coverage in a manner that results in Executive being taxed on the value of such Health Coverage, the Trust shall pay to Executive such additional compensation as is necessary (after taking into account all federal, state and local taxes, including any interest and penalties imposed with respect to such taxes) to place Executive in the same after-tax position (including federal, state and local taxes) he would have been in had he not been taxed on the value of the Health Coverage.</w:t>
      </w:r>
    </w:p>
    <w:p>
      <w:pPr>
        <w:spacing w:after="0" w:line="24" w:lineRule="exact"/>
        <w:rPr>
          <w:sz w:val="20"/>
          <w:szCs w:val="20"/>
          <w:color w:val="auto"/>
        </w:rPr>
      </w:pPr>
    </w:p>
    <w:p>
      <w:pPr>
        <w:ind w:right="100" w:firstLine="438"/>
        <w:spacing w:after="0" w:line="306" w:lineRule="auto"/>
        <w:rPr>
          <w:sz w:val="20"/>
          <w:szCs w:val="20"/>
          <w:color w:val="auto"/>
        </w:rPr>
      </w:pPr>
      <w:r>
        <w:rPr>
          <w:rFonts w:ascii="Arial" w:cs="Arial" w:eastAsia="Arial" w:hAnsi="Arial"/>
          <w:sz w:val="16"/>
          <w:szCs w:val="16"/>
          <w:color w:val="auto"/>
        </w:rPr>
        <w:t>To the maximum extent permitted by applicable law, the coverage provided under this section shall be secondary to any other health coverage provided to one or more members of Executive’s Family or Executive’s Adult Daughter under Medicare or Medicaid (or any successor programs), another health plan, or otherwise, and they shall be required to submit claims under those programs before making any claim for benefits under this Agreement.</w:t>
      </w:r>
    </w:p>
    <w:p>
      <w:pPr>
        <w:spacing w:after="0" w:line="12" w:lineRule="exact"/>
        <w:rPr>
          <w:sz w:val="20"/>
          <w:szCs w:val="20"/>
          <w:color w:val="auto"/>
        </w:rPr>
      </w:pPr>
    </w:p>
    <w:p>
      <w:pPr>
        <w:ind w:right="100" w:firstLine="443"/>
        <w:spacing w:after="0" w:line="289" w:lineRule="auto"/>
        <w:tabs>
          <w:tab w:leader="none" w:pos="677"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 Members of Executive’s Family and Executive’s Adult Daughter shall not be entitled to any Health Coverage under this Agreement unless the required portion of the cost of that coverage is paid on their behalf. The required portion in the case of Executive’s Family is the amount that Executive was required to pay for family health coverage provided as of the Termination Date, adjusted for medical inflation, minus any premiums paid by Executive’s Family for coverage under Medicare (or a successor program). This amount is reduced to the amount that Executive would have been required to pay for individual coverage for himself as of the Termination Date if and when Executive or his spouse is the only member of Executive’s Family receiving coverage under this Agreement. The required portion in the case of Executive’s Adult Daughter is the amount that Executive would have been required to pay for individual coverage for himself as of the Termination Date, adjusted for medical inflation, minus any premiums paid by Executive’s Family or Executive’s Daughter for coverage under Medicare (or a successor program).</w:t>
      </w:r>
    </w:p>
    <w:p>
      <w:pPr>
        <w:spacing w:after="0" w:line="23" w:lineRule="exact"/>
        <w:rPr>
          <w:rFonts w:ascii="Arial" w:cs="Arial" w:eastAsia="Arial" w:hAnsi="Arial"/>
          <w:sz w:val="16"/>
          <w:szCs w:val="16"/>
          <w:color w:val="auto"/>
        </w:rPr>
      </w:pPr>
    </w:p>
    <w:p>
      <w:pPr>
        <w:ind w:right="120" w:firstLine="443"/>
        <w:spacing w:after="0" w:line="268" w:lineRule="auto"/>
        <w:tabs>
          <w:tab w:leader="none" w:pos="68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Period</w:t>
      </w:r>
      <w:r>
        <w:rPr>
          <w:rFonts w:ascii="Arial" w:cs="Arial" w:eastAsia="Arial" w:hAnsi="Arial"/>
          <w:sz w:val="18"/>
          <w:szCs w:val="18"/>
          <w:color w:val="auto"/>
        </w:rPr>
        <w:t>. Health Coverage provided under this Agreement shall begin immediately after the Termination Date and shall continue: (i) in the case of Executive’s spouse,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11" w:name="page112"/>
    <w:bookmarkEnd w:id="111"/>
    <w:p>
      <w:pPr>
        <w:ind w:left="440" w:right="3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the last to die of Executive and Executive’s spouse immediately before the Termination Date; provided, however, that if prior to Executive’s death Executive and Executive’s spouse divorce, such Health Coverage shall terminate immediately upon such divorce; (ii) in the case of Executive’s Family (other than Executive’s spouse and Executive’s Adult Daughter), Health Coverage would continue for each of Executive’s Dependents (other than Executive’s Adult Daughter) until such Dependent reached age 25, and (iii) in the case of Executive’s Adult Daughter, until her death.</w:t>
      </w:r>
    </w:p>
    <w:p>
      <w:pPr>
        <w:spacing w:after="0" w:line="99" w:lineRule="exact"/>
        <w:rPr>
          <w:sz w:val="20"/>
          <w:szCs w:val="20"/>
          <w:color w:val="auto"/>
        </w:rPr>
      </w:pPr>
    </w:p>
    <w:p>
      <w:pPr>
        <w:ind w:left="-20" w:right="280" w:firstLine="464"/>
        <w:spacing w:after="0" w:line="255" w:lineRule="auto"/>
        <w:tabs>
          <w:tab w:leader="none" w:pos="61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of this Agreement shall, for any reason, be held or found by determination of the arbitrator(s) pursuant to an arbitration held in accordance with section 16 below to be invalid, illegal or unenforceable in any respect (a) such invalidity, illegality or unenforceability shall not affect any other provisions of this Agreement, (b) this Agreement shall be construed as if such invalid, illegal or unenforceable provision had never been contained herein. Failure to insist upon strict compliance with any provision of this Agreement shall not be deemed a waiver of such provision or of any other provision of this Agreement.</w:t>
      </w:r>
    </w:p>
    <w:p>
      <w:pPr>
        <w:spacing w:after="0" w:line="129" w:lineRule="exact"/>
        <w:rPr>
          <w:rFonts w:ascii="Arial" w:cs="Arial" w:eastAsia="Arial" w:hAnsi="Arial"/>
          <w:sz w:val="18"/>
          <w:szCs w:val="18"/>
          <w:color w:val="auto"/>
        </w:rPr>
      </w:pPr>
    </w:p>
    <w:p>
      <w:pPr>
        <w:ind w:left="-20" w:right="200" w:firstLine="464"/>
        <w:spacing w:after="0" w:line="259" w:lineRule="auto"/>
        <w:tabs>
          <w:tab w:leader="none" w:pos="61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Trust’s General Counsel shall have full and sole discretionary authority to construe and interpret the terms of this Agreement, and determine factual issues, including the power to remedy possible ambiguities, inconsistencies or omissions. This Agreement may be terminated, amended, modified or supplemented only by a written instrument executed by Executive and the Trust.</w:t>
      </w:r>
    </w:p>
    <w:p>
      <w:pPr>
        <w:spacing w:after="0" w:line="126" w:lineRule="exact"/>
        <w:rPr>
          <w:rFonts w:ascii="Arial" w:cs="Arial" w:eastAsia="Arial" w:hAnsi="Arial"/>
          <w:sz w:val="18"/>
          <w:szCs w:val="18"/>
          <w:color w:val="auto"/>
        </w:rPr>
      </w:pPr>
    </w:p>
    <w:p>
      <w:pPr>
        <w:jc w:val="both"/>
        <w:ind w:left="-20" w:right="60" w:firstLine="464"/>
        <w:spacing w:after="0" w:line="259" w:lineRule="auto"/>
        <w:tabs>
          <w:tab w:leader="none" w:pos="61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any party hereto of a breach of any provision of this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26" w:lineRule="exact"/>
        <w:rPr>
          <w:rFonts w:ascii="Arial" w:cs="Arial" w:eastAsia="Arial" w:hAnsi="Arial"/>
          <w:sz w:val="18"/>
          <w:szCs w:val="18"/>
          <w:color w:val="auto"/>
        </w:rPr>
      </w:pPr>
    </w:p>
    <w:p>
      <w:pPr>
        <w:ind w:left="-20" w:firstLine="464"/>
        <w:spacing w:after="0" w:line="289" w:lineRule="auto"/>
        <w:tabs>
          <w:tab w:leader="none" w:pos="61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the parties and their respective successors, heirs (in the case of Executive) and assigns. No rights or obligations may be assigned or transferred by the Trust except that such rights or obligations shall be assigned or transferred pursuant to a merger or consolidation in which the Trust is not the continuing entity, or the sale or liquidation of all or substantially all of the assets of the Trust, to the successor to all or substantially all of the assets of the Trust and such assignee or transferee shall assume the liabilities, obligations, and duties of the Trust, as contained in this Agreement, either contractually, or as a matter of law. The Trust further agrees, that in the event of a sale of assets or liquidation as described in the foregoing sentence, it shall take whatever action it is legally entitled to take in order to cause the assignee or transferee to expressly assume the liabilities, obligations, and duties of the Trust under this Agreement. Notwithstanding any such assignment, the Trust shall not be relieved from liability under this Agreement. No rights or obligations of Executive under this Agreement may be assigned or transferred by Executive.</w:t>
      </w:r>
    </w:p>
    <w:p>
      <w:pPr>
        <w:spacing w:after="0" w:line="104" w:lineRule="exact"/>
        <w:rPr>
          <w:rFonts w:ascii="Arial" w:cs="Arial" w:eastAsia="Arial" w:hAnsi="Arial"/>
          <w:sz w:val="16"/>
          <w:szCs w:val="16"/>
          <w:color w:val="auto"/>
        </w:rPr>
      </w:pPr>
    </w:p>
    <w:p>
      <w:pPr>
        <w:ind w:left="-20" w:right="180" w:firstLine="464"/>
        <w:spacing w:after="0" w:line="332" w:lineRule="auto"/>
        <w:tabs>
          <w:tab w:leader="none" w:pos="61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Except as required by law, the right to receive benefits under this Agreement shall not be subject to anticipation, commutation, alienation, sale, assignment, encumbrance, charge, pledge, or hypothecation or the execution, attachment, levy, or similar process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assignment by operation of law, and any attempt, voluntary or involuntary, to effect any such action shall be null, void and of no effect.</w:t>
      </w:r>
    </w:p>
    <w:p>
      <w:pPr>
        <w:spacing w:after="0" w:line="158" w:lineRule="exact"/>
        <w:rPr>
          <w:sz w:val="20"/>
          <w:szCs w:val="20"/>
          <w:color w:val="auto"/>
        </w:rPr>
      </w:pPr>
    </w:p>
    <w:p>
      <w:pPr>
        <w:ind w:right="100" w:firstLine="464"/>
        <w:spacing w:after="0" w:line="268"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18" w:lineRule="exact"/>
        <w:rPr>
          <w:rFonts w:ascii="Arial" w:cs="Arial" w:eastAsia="Arial" w:hAnsi="Arial"/>
          <w:sz w:val="18"/>
          <w:szCs w:val="18"/>
          <w:color w:val="auto"/>
        </w:rPr>
      </w:pPr>
    </w:p>
    <w:p>
      <w:pPr>
        <w:ind w:right="40" w:firstLine="464"/>
        <w:spacing w:after="0" w:line="259"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has been executed and delivered in the State of Maryland and its validity, interpretation, performance and enforcement shall be governed by the laws of said State to the extent not preempted by ERISA or other federal law; provided, however, that any arbitration under section 16 below shall be conducted in accordance with the Federal Arbitration Act as then in force.</w:t>
      </w:r>
    </w:p>
    <w:p>
      <w:pPr>
        <w:spacing w:after="0" w:line="126" w:lineRule="exact"/>
        <w:rPr>
          <w:rFonts w:ascii="Arial" w:cs="Arial" w:eastAsia="Arial" w:hAnsi="Arial"/>
          <w:sz w:val="18"/>
          <w:szCs w:val="18"/>
          <w:color w:val="auto"/>
        </w:rPr>
      </w:pPr>
    </w:p>
    <w:p>
      <w:pPr>
        <w:ind w:right="60" w:firstLine="464"/>
        <w:spacing w:after="0" w:line="256"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under this Agreement shall be in writing and shall be deemed to have been given when delivered in person or when deposited in the U.S. mail, registered or certified, postage prepaid, and mailed to Executive’s addresses set forth herein and the business address of the Trust, unless a party changes its address for receiving notices by giving notice in accordance with this section, in which case, to the address specified in such notice.</w:t>
      </w:r>
    </w:p>
    <w:p>
      <w:pPr>
        <w:spacing w:after="0" w:line="129" w:lineRule="exact"/>
        <w:rPr>
          <w:rFonts w:ascii="Arial" w:cs="Arial" w:eastAsia="Arial" w:hAnsi="Arial"/>
          <w:sz w:val="18"/>
          <w:szCs w:val="18"/>
          <w:color w:val="auto"/>
        </w:rPr>
      </w:pPr>
    </w:p>
    <w:p>
      <w:pPr>
        <w:ind w:right="340" w:firstLine="464"/>
        <w:spacing w:after="0" w:line="306" w:lineRule="auto"/>
        <w:tabs>
          <w:tab w:leader="none" w:pos="713"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Trust shall have the power and the right to deduct or withhold, or require any individual receiving Health Coverage under this Agreement to remit to the Trust, an amount in cash sufficient to satisfy federal, state, and local taxes, domestic or foreign, required by law or regulation to be withheld.</w:t>
      </w:r>
    </w:p>
    <w:p>
      <w:pPr>
        <w:spacing w:after="0" w:line="93" w:lineRule="exact"/>
        <w:rPr>
          <w:rFonts w:ascii="Arial" w:cs="Arial" w:eastAsia="Arial" w:hAnsi="Arial"/>
          <w:sz w:val="16"/>
          <w:szCs w:val="16"/>
          <w:color w:val="auto"/>
        </w:rPr>
      </w:pPr>
    </w:p>
    <w:p>
      <w:pPr>
        <w:ind w:left="720" w:hanging="256"/>
        <w:spacing w:after="0"/>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Continued Employment</w:t>
      </w:r>
      <w:r>
        <w:rPr>
          <w:rFonts w:ascii="Arial" w:cs="Arial" w:eastAsia="Arial" w:hAnsi="Arial"/>
          <w:sz w:val="16"/>
          <w:szCs w:val="16"/>
          <w:color w:val="auto"/>
        </w:rPr>
        <w:t>. This Agreement shall not confer upon the Executive any right with respect to continuance of employment by the Trust.</w:t>
      </w:r>
    </w:p>
    <w:p>
      <w:pPr>
        <w:spacing w:after="0" w:line="180" w:lineRule="exact"/>
        <w:rPr>
          <w:rFonts w:ascii="Arial" w:cs="Arial" w:eastAsia="Arial" w:hAnsi="Arial"/>
          <w:sz w:val="16"/>
          <w:szCs w:val="16"/>
          <w:color w:val="auto"/>
        </w:rPr>
      </w:pPr>
    </w:p>
    <w:p>
      <w:pPr>
        <w:ind w:firstLine="464"/>
        <w:spacing w:after="0" w:line="259"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Source of Payments</w:t>
      </w:r>
      <w:r>
        <w:rPr>
          <w:rFonts w:ascii="Arial" w:cs="Arial" w:eastAsia="Arial" w:hAnsi="Arial"/>
          <w:sz w:val="18"/>
          <w:szCs w:val="18"/>
          <w:color w:val="auto"/>
        </w:rPr>
        <w:t>. All premium payments and other benefits provided under this Agreement shall be paid in cash from the general funds of the Trust, and no special or separate fund shall be established and no other segregation of assets shall be made to assure payment. Participants shall have the status of general unsecured creditors of the Trust.</w:t>
      </w:r>
    </w:p>
    <w:p>
      <w:pPr>
        <w:spacing w:after="0" w:line="126" w:lineRule="exact"/>
        <w:rPr>
          <w:rFonts w:ascii="Arial" w:cs="Arial" w:eastAsia="Arial" w:hAnsi="Arial"/>
          <w:sz w:val="18"/>
          <w:szCs w:val="18"/>
          <w:color w:val="auto"/>
        </w:rPr>
      </w:pPr>
    </w:p>
    <w:p>
      <w:pPr>
        <w:ind w:right="160" w:firstLine="464"/>
        <w:spacing w:after="0" w:line="332" w:lineRule="auto"/>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Exculpatory Clause</w:t>
      </w:r>
      <w:r>
        <w:rPr>
          <w:rFonts w:ascii="Arial" w:cs="Arial" w:eastAsia="Arial" w:hAnsi="Arial"/>
          <w:sz w:val="16"/>
          <w:szCs w:val="16"/>
          <w:color w:val="auto"/>
        </w:rPr>
        <w:t>. Neither the Trust’s shareholders nor the Trustees, officers, employees or agents of the Trust shall be liable under this Agreement, and the Executive shall look solely to the Trust’s estate for the payment of any claim under or for performance of this Agreement.</w:t>
      </w:r>
    </w:p>
    <w:p>
      <w:pPr>
        <w:spacing w:after="0" w:line="71" w:lineRule="exact"/>
        <w:rPr>
          <w:rFonts w:ascii="Arial" w:cs="Arial" w:eastAsia="Arial" w:hAnsi="Arial"/>
          <w:sz w:val="16"/>
          <w:szCs w:val="16"/>
          <w:color w:val="auto"/>
        </w:rPr>
      </w:pPr>
    </w:p>
    <w:p>
      <w:pPr>
        <w:ind w:right="420" w:firstLine="464"/>
        <w:spacing w:after="0" w:line="268"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with the same effect as if each of the signing parties had signed the same document. All counterparts shall be construed together and constitute the same instrument.</w:t>
      </w:r>
    </w:p>
    <w:p>
      <w:pPr>
        <w:spacing w:after="0" w:line="118" w:lineRule="exact"/>
        <w:rPr>
          <w:rFonts w:ascii="Arial" w:cs="Arial" w:eastAsia="Arial" w:hAnsi="Arial"/>
          <w:sz w:val="18"/>
          <w:szCs w:val="18"/>
          <w:color w:val="auto"/>
        </w:rPr>
      </w:pPr>
    </w:p>
    <w:p>
      <w:pPr>
        <w:ind w:right="520" w:firstLine="464"/>
        <w:spacing w:after="0" w:line="325" w:lineRule="auto"/>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A claim or appeal relating to this Agreement shall be subject to the claims and appeals procedures set forth in any welfare benefit plan maintained by the Trust, or comparable procedures adopted by the Trust. Once these claims procedures are exhausted:</w:t>
      </w:r>
    </w:p>
    <w:p>
      <w:pPr>
        <w:spacing w:after="0" w:line="1" w:lineRule="exact"/>
        <w:rPr>
          <w:rFonts w:ascii="Arial" w:cs="Arial" w:eastAsia="Arial" w:hAnsi="Arial"/>
          <w:sz w:val="16"/>
          <w:szCs w:val="16"/>
          <w:color w:val="auto"/>
        </w:rPr>
      </w:pPr>
    </w:p>
    <w:p>
      <w:pPr>
        <w:ind w:left="460" w:right="200" w:firstLine="443"/>
        <w:spacing w:after="0" w:line="268"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controversy, claim or dispute arising out of or relating to this Agreement or the breach thereof shall be settled by arbitration in accordance with the then-existing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13" w:name="page114"/>
    <w:bookmarkEnd w:id="113"/>
    <w:p>
      <w:pPr>
        <w:ind w:left="44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46" w:lineRule="exact"/>
        <w:rPr>
          <w:sz w:val="20"/>
          <w:szCs w:val="20"/>
          <w:color w:val="auto"/>
        </w:rPr>
      </w:pPr>
    </w:p>
    <w:p>
      <w:pPr>
        <w:ind w:left="440" w:right="300" w:firstLine="443"/>
        <w:spacing w:after="0" w:line="291" w:lineRule="auto"/>
        <w:tabs>
          <w:tab w:leader="none" w:pos="1127"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25" w:lineRule="exact"/>
        <w:rPr>
          <w:rFonts w:ascii="Arial" w:cs="Arial" w:eastAsia="Arial" w:hAnsi="Arial"/>
          <w:sz w:val="16"/>
          <w:szCs w:val="16"/>
          <w:color w:val="auto"/>
        </w:rPr>
      </w:pPr>
    </w:p>
    <w:p>
      <w:pPr>
        <w:ind w:left="440" w:firstLine="443"/>
        <w:spacing w:after="0" w:line="306" w:lineRule="auto"/>
        <w:tabs>
          <w:tab w:leader="none" w:pos="1117"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parties acknowledge that any remedy at law for breach of this Agreement may be inadequate.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12" w:lineRule="exact"/>
        <w:rPr>
          <w:rFonts w:ascii="Arial" w:cs="Arial" w:eastAsia="Arial" w:hAnsi="Arial"/>
          <w:sz w:val="16"/>
          <w:szCs w:val="16"/>
          <w:color w:val="auto"/>
        </w:rPr>
      </w:pPr>
    </w:p>
    <w:p>
      <w:pPr>
        <w:ind w:left="440" w:right="320" w:firstLine="443"/>
        <w:spacing w:after="0" w:line="259" w:lineRule="auto"/>
        <w:tabs>
          <w:tab w:leader="none" w:pos="1127"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 the event that Executive is the prevailing party in such arbitration, then Executive shall be entitled to reimbursement by the Trust for all reasonable legal and other professional fees and expenses incurred by him in such arbitration or in enforcing the award, including reasonable attorney’s fees.</w:t>
      </w:r>
    </w:p>
    <w:p>
      <w:pPr>
        <w:spacing w:after="0" w:line="45" w:lineRule="exact"/>
        <w:rPr>
          <w:rFonts w:ascii="Arial" w:cs="Arial" w:eastAsia="Arial" w:hAnsi="Arial"/>
          <w:sz w:val="18"/>
          <w:szCs w:val="18"/>
          <w:color w:val="auto"/>
        </w:rPr>
      </w:pPr>
    </w:p>
    <w:p>
      <w:pPr>
        <w:ind w:left="1120" w:hanging="237"/>
        <w:spacing w:after="0"/>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parties agree that the results of any such arbitration proceeding shall be conclusive and binding upon them.</w:t>
      </w:r>
    </w:p>
    <w:p>
      <w:pPr>
        <w:spacing w:after="0" w:line="157" w:lineRule="exact"/>
        <w:rPr>
          <w:rFonts w:ascii="Arial" w:cs="Arial" w:eastAsia="Arial" w:hAnsi="Arial"/>
          <w:sz w:val="18"/>
          <w:szCs w:val="18"/>
          <w:color w:val="auto"/>
        </w:rPr>
      </w:pPr>
    </w:p>
    <w:p>
      <w:pPr>
        <w:ind w:left="-20" w:right="100" w:firstLine="464"/>
        <w:spacing w:after="0" w:line="268" w:lineRule="auto"/>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Executive shall not be required to mitigate the amount of any premium payment or other benefit provided for in this Agreement by seeking other employment.</w:t>
      </w:r>
    </w:p>
    <w:p>
      <w:pPr>
        <w:spacing w:after="0" w:line="118" w:lineRule="exact"/>
        <w:rPr>
          <w:rFonts w:ascii="Arial" w:cs="Arial" w:eastAsia="Arial" w:hAnsi="Arial"/>
          <w:sz w:val="18"/>
          <w:szCs w:val="18"/>
          <w:color w:val="auto"/>
        </w:rPr>
      </w:pPr>
    </w:p>
    <w:p>
      <w:pPr>
        <w:ind w:left="-20" w:right="280" w:firstLine="464"/>
        <w:spacing w:after="0" w:line="259" w:lineRule="auto"/>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is for the benefit of members of Executive’s Family and Executive’s Adult Daughter, and they may be regarded as third party beneficiaries of this Agreement. In such case, they shall be bound by all of the limitations imposed on Executive under this Agreement, including but not limited to the arbitration requirement in section 16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and delivered this Agreement as of the day and year indicated above.</w:t>
      </w:r>
    </w:p>
    <w:p>
      <w:pPr>
        <w:spacing w:after="0" w:line="37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(Executive’s Signature)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 55 Warwick Stone Way</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Great Falls, VA 22066</w:t>
      </w:r>
    </w:p>
    <w:p>
      <w:pPr>
        <w:spacing w:after="0" w:line="219"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S. Ordan</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40" w:type="dxa"/>
            <w:vAlign w:val="bottom"/>
          </w:tcPr>
          <w:p>
            <w:pPr>
              <w:ind w:left="60"/>
              <w:spacing w:after="0" w:line="203" w:lineRule="exact"/>
              <w:rPr>
                <w:sz w:val="20"/>
                <w:szCs w:val="20"/>
                <w:color w:val="auto"/>
              </w:rPr>
            </w:pPr>
            <w:r>
              <w:rPr>
                <w:rFonts w:ascii="Arial" w:cs="Arial" w:eastAsia="Arial" w:hAnsi="Arial"/>
                <w:sz w:val="18"/>
                <w:szCs w:val="18"/>
                <w:color w:val="auto"/>
              </w:rPr>
              <w:t>Mark S. Ordan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60"/>
              <w:spacing w:after="0"/>
              <w:rPr>
                <w:sz w:val="20"/>
                <w:szCs w:val="20"/>
                <w:color w:val="auto"/>
              </w:rPr>
            </w:pPr>
            <w:r>
              <w:rPr>
                <w:rFonts w:ascii="Arial" w:cs="Arial" w:eastAsia="Arial" w:hAnsi="Arial"/>
                <w:sz w:val="18"/>
                <w:szCs w:val="18"/>
                <w:color w:val="auto"/>
              </w:rPr>
              <w:t>Chairman of the Board</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 1626 East Jefferson Street</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Rockville, MD 20852-4041</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10.27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SEVERANCE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Dawn M. Becker</w:t>
      </w:r>
    </w:p>
    <w:p>
      <w:pPr>
        <w:spacing w:after="0" w:line="145" w:lineRule="exact"/>
        <w:rPr>
          <w:sz w:val="20"/>
          <w:szCs w:val="20"/>
          <w:color w:val="auto"/>
        </w:rPr>
      </w:pPr>
    </w:p>
    <w:p>
      <w:pPr>
        <w:ind w:right="520" w:firstLine="456"/>
        <w:spacing w:after="0" w:line="310" w:lineRule="auto"/>
        <w:rPr>
          <w:sz w:val="20"/>
          <w:szCs w:val="20"/>
          <w:color w:val="auto"/>
        </w:rPr>
      </w:pPr>
      <w:r>
        <w:rPr>
          <w:rFonts w:ascii="Arial" w:cs="Arial" w:eastAsia="Arial" w:hAnsi="Arial"/>
          <w:sz w:val="16"/>
          <w:szCs w:val="16"/>
          <w:b w:val="1"/>
          <w:bCs w:val="1"/>
          <w:color w:val="auto"/>
        </w:rPr>
        <w:t xml:space="preserve">THIS AMENDMENT TO SEVERANCE AGREEMENT </w:t>
      </w:r>
      <w:r>
        <w:rPr>
          <w:rFonts w:ascii="Arial" w:cs="Arial" w:eastAsia="Arial" w:hAnsi="Arial"/>
          <w:sz w:val="16"/>
          <w:szCs w:val="16"/>
          <w:color w:val="auto"/>
        </w:rPr>
        <w:t>(this “Amendment”), effective as of February 16, 2005, by and between</w:t>
      </w:r>
      <w:r>
        <w:rPr>
          <w:rFonts w:ascii="Arial" w:cs="Arial" w:eastAsia="Arial" w:hAnsi="Arial"/>
          <w:sz w:val="16"/>
          <w:szCs w:val="16"/>
          <w:b w:val="1"/>
          <w:bCs w:val="1"/>
          <w:color w:val="auto"/>
        </w:rPr>
        <w:t xml:space="preserve"> FEDERAL REALTY INVESTMENT TRUST</w:t>
      </w:r>
      <w:r>
        <w:rPr>
          <w:rFonts w:ascii="Arial" w:cs="Arial" w:eastAsia="Arial" w:hAnsi="Arial"/>
          <w:sz w:val="16"/>
          <w:szCs w:val="16"/>
          <w:color w:val="auto"/>
        </w:rPr>
        <w:t>, a Maryland real estate investment trust (“Employer”), and</w:t>
      </w:r>
      <w:r>
        <w:rPr>
          <w:rFonts w:ascii="Arial" w:cs="Arial" w:eastAsia="Arial" w:hAnsi="Arial"/>
          <w:sz w:val="16"/>
          <w:szCs w:val="16"/>
          <w:b w:val="1"/>
          <w:bCs w:val="1"/>
          <w:color w:val="auto"/>
        </w:rPr>
        <w:t xml:space="preserve"> DAWN M. BECKER </w:t>
      </w:r>
      <w:r>
        <w:rPr>
          <w:rFonts w:ascii="Arial" w:cs="Arial" w:eastAsia="Arial" w:hAnsi="Arial"/>
          <w:sz w:val="16"/>
          <w:szCs w:val="16"/>
          <w:color w:val="auto"/>
        </w:rPr>
        <w:t>(“Employee”‘), amends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Agreement, dated as of April 19, 2000, by and between Employer and Employee (the “Severance Agreement”).</w:t>
      </w:r>
    </w:p>
    <w:p>
      <w:pPr>
        <w:spacing w:after="0" w:line="84"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Since the Severance Agreement was signed, Employee has been promoted from Vice President – Real Estate and Finance Counsel to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 General Counsel and Secretary.</w:t>
      </w:r>
    </w:p>
    <w:p>
      <w:pPr>
        <w:spacing w:after="0" w:line="106"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Employer, acting through its Board of Trustees, and Employee have determined that it is in the best interest of Employer and Employee to modify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 to reflect Employee’s promotion.</w:t>
      </w:r>
    </w:p>
    <w:p>
      <w:pPr>
        <w:spacing w:after="0" w:line="106"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herein contained, and other good and valuable consideration,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and sufficiency of which are hereby acknowledged, the parties hereto agree to amend the Severance Agreement as follows:</w:t>
      </w:r>
    </w:p>
    <w:p>
      <w:pPr>
        <w:spacing w:after="0" w:line="67" w:lineRule="exact"/>
        <w:rPr>
          <w:sz w:val="20"/>
          <w:szCs w:val="20"/>
          <w:color w:val="auto"/>
        </w:rPr>
      </w:pPr>
    </w:p>
    <w:p>
      <w:pPr>
        <w:ind w:left="640" w:hanging="17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Section 1(b) of the Severance Agreement is hereby amended as follows:</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by deleting the reference in Section 1(b)(ii) to “Washington, D.C.” and replacing it with “the office where the Employee is headquartered;”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by deleting the reference in Section 1(b)(iii) to “2000” and replacing it with “2005.”</w:t>
      </w:r>
    </w:p>
    <w:p>
      <w:pPr>
        <w:spacing w:after="0" w:line="157" w:lineRule="exact"/>
        <w:rPr>
          <w:rFonts w:ascii="Arial" w:cs="Arial" w:eastAsia="Arial" w:hAnsi="Arial"/>
          <w:sz w:val="18"/>
          <w:szCs w:val="18"/>
          <w:color w:val="auto"/>
        </w:rPr>
      </w:pPr>
    </w:p>
    <w:p>
      <w:pPr>
        <w:ind w:right="560" w:firstLine="464"/>
        <w:spacing w:after="0" w:line="268" w:lineRule="auto"/>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Section 1(d) of the Severance Agreement entitled “Severance Payment Upon Termination Without Cause” is hereby deleted in its entirety and the following is substituted therefor:</w:t>
      </w:r>
    </w:p>
    <w:p>
      <w:pPr>
        <w:spacing w:after="0" w:line="37" w:lineRule="exact"/>
        <w:rPr>
          <w:rFonts w:ascii="Arial" w:cs="Arial" w:eastAsia="Arial" w:hAnsi="Arial"/>
          <w:sz w:val="18"/>
          <w:szCs w:val="18"/>
          <w:color w:val="auto"/>
        </w:rPr>
      </w:pPr>
    </w:p>
    <w:p>
      <w:pPr>
        <w:ind w:left="460" w:right="140" w:firstLine="443"/>
        <w:spacing w:after="0" w:line="289" w:lineRule="auto"/>
        <w:tabs>
          <w:tab w:leader="none" w:pos="1147"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Severance Payment Upon Termination Without Cause</w:t>
      </w:r>
      <w:r>
        <w:rPr>
          <w:rFonts w:ascii="Arial" w:cs="Arial" w:eastAsia="Arial" w:hAnsi="Arial"/>
          <w:sz w:val="16"/>
          <w:szCs w:val="16"/>
          <w:color w:val="auto"/>
        </w:rPr>
        <w:t>. In the event of Termination Without Cause other than under circumstances described in Section 6 below, Employee will receive as severance pay an amount in cash equal to one (1) year’s salary. For the purpose of calculating amounts payable pursuant to this Section 1(d), “salary” shall be an amount equal to (i) the greater of (A) Employee’s highest annual base salary paid during the previous three (3) years or (B) Employee’s annual base salary in the year of termination, plus (ii) the greatest annual aggregate amount of any annual bonus paid to Employee in respect of any of the three (3) fiscal years immediately preceding such termination. For purposes of the preceding sentence: (i) the term “salary” shall not include any cash or equity-based incentive award intended to be a long-term incentive award, including awards made pursuant to Employer’s 2003 Long-Term Incentive Award Program; (ii) an annual bonus paid in the form of stock will be considered to have been paid in respect of a particular year if (A) in the case of a bonus paid under</w:t>
      </w:r>
    </w:p>
    <w:p>
      <w:pPr>
        <w:sectPr>
          <w:pgSz w:w="11900" w:h="16838" w:orient="portrait"/>
          <w:cols w:equalWidth="0" w:num="1">
            <w:col w:w="11420"/>
          </w:cols>
          <w:pgMar w:left="240" w:top="125" w:right="239" w:bottom="1440" w:gutter="0" w:footer="0" w:header="0"/>
        </w:sectPr>
      </w:pPr>
    </w:p>
    <w:bookmarkStart w:id="116" w:name="page117"/>
    <w:bookmarkEnd w:id="116"/>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Employer’s annual Incentive Bonus Plan in effect for the applicable year (as the same may be amended from time or time, or any successor plan, the “Bonus Plan”), the stock bonus was awarded in respect of that year, even if it did not vest in that year, or (B) in the case of any other stock bonus, the shares vested in that year (other than as a result of the Termination Without Cause); (iii) a stock bonus will be valued (A) in the case of a bonus paid under the Bonus Plan, at a figure equal to the number of shares awarded, multiplied by the per-share value (closing price) on the date on which the bonus was approved by the Compensation Committee of Employer’s Board of Trustees, and (B) in the case of any other stock bonus, at a figure equal to the number of shares that vested, multiplied by the per-share value (closing price) on the date on which they vested; and (iv) notwithstanding the valuation provisions in clause (iii) above, if Employee elected to receive all or any portion of an annual bonus in the form of stock rather than cash, the maximum amount to be included as bonus in the computation of “salary” for that year shall be the amount of cash bonus otherwise payable without taking into account any additional stock granted in consideration for delayed vesting. Payment also will be made for vacation time that has accrued, but is unused as of the date of termination.</w:t>
      </w:r>
    </w:p>
    <w:p>
      <w:pPr>
        <w:spacing w:after="0" w:line="109" w:lineRule="exact"/>
        <w:rPr>
          <w:sz w:val="20"/>
          <w:szCs w:val="20"/>
          <w:color w:val="auto"/>
        </w:rPr>
      </w:pPr>
    </w:p>
    <w:p>
      <w:pPr>
        <w:ind w:left="-460" w:right="200" w:firstLine="464"/>
        <w:spacing w:after="0" w:line="268" w:lineRule="auto"/>
        <w:tabs>
          <w:tab w:leader="none" w:pos="1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Section 6(b) of the Severance Agreement entitled “Termination of Employment Following Change in Control” is hereby deleted in its entirety and the following is substituted therefor:</w:t>
      </w:r>
    </w:p>
    <w:p>
      <w:pPr>
        <w:spacing w:after="0" w:line="37" w:lineRule="exact"/>
        <w:rPr>
          <w:rFonts w:ascii="Arial" w:cs="Arial" w:eastAsia="Arial" w:hAnsi="Arial"/>
          <w:sz w:val="18"/>
          <w:szCs w:val="18"/>
          <w:color w:val="auto"/>
        </w:rPr>
      </w:pPr>
    </w:p>
    <w:p>
      <w:pPr>
        <w:ind w:firstLine="443"/>
        <w:spacing w:after="0" w:line="288" w:lineRule="auto"/>
        <w:tabs>
          <w:tab w:leader="none" w:pos="687"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Following Change in Control</w:t>
      </w:r>
      <w:r>
        <w:rPr>
          <w:rFonts w:ascii="Arial" w:cs="Arial" w:eastAsia="Arial" w:hAnsi="Arial"/>
          <w:sz w:val="16"/>
          <w:szCs w:val="16"/>
          <w:color w:val="auto"/>
        </w:rPr>
        <w:t>. Employee shall be entitled to the benefits provided in this Section 6 if a Change in Control occurs and Employee’s employment with Employer is terminated (i) under any of the circumstances in Sections 1(a) or 1(b) within a period of two years after the occurrence of such Change in Control, or (ii) for any reason, either voluntarily or involuntarily, during the 30-day period beginning on the first anniversary of such Change of Control, unless such termination is because of Employee’s death, Disability or Retirement. The term “Retirement” shall mean termination of employment in accordance with (x) a qualified employee pension or profit-sharing plan maintained by Employer, or (y) Employer’s retirement policy in effect immediately prior to the Change in Control. For purposes of this Section 6, Employee’s employment shall be terminated by written notice delivered by either Employer or Employee to the other party. The date of Employee’s termination of employment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 (“Termination Date”).</w:t>
      </w:r>
    </w:p>
    <w:p>
      <w:pPr>
        <w:spacing w:after="0" w:line="106" w:lineRule="exact"/>
        <w:rPr>
          <w:rFonts w:ascii="Arial" w:cs="Arial" w:eastAsia="Arial" w:hAnsi="Arial"/>
          <w:sz w:val="16"/>
          <w:szCs w:val="16"/>
          <w:color w:val="auto"/>
        </w:rPr>
      </w:pPr>
    </w:p>
    <w:p>
      <w:pPr>
        <w:ind w:left="5220" w:hanging="112"/>
        <w:spacing w:after="0"/>
        <w:tabs>
          <w:tab w:leader="none" w:pos="52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20"/>
          </w:cols>
          <w:pgMar w:left="700" w:top="280" w:right="279" w:bottom="1440" w:gutter="0" w:footer="0" w:header="0"/>
        </w:sectPr>
      </w:pPr>
    </w:p>
    <w:bookmarkStart w:id="117" w:name="page118"/>
    <w:bookmarkEnd w:id="117"/>
    <w:p>
      <w:pPr>
        <w:ind w:left="-464" w:right="740" w:firstLine="464"/>
        <w:spacing w:after="0" w:line="268" w:lineRule="auto"/>
        <w:tabs>
          <w:tab w:leader="none" w:pos="168"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6(c) of the Severance Agreement entitled “Payment of Benefits upon Termination” is hereby deleted in its entirety and the following is substituted therefor:</w:t>
      </w:r>
    </w:p>
    <w:p>
      <w:pPr>
        <w:spacing w:after="0" w:line="37" w:lineRule="exact"/>
        <w:rPr>
          <w:rFonts w:ascii="Arial" w:cs="Arial" w:eastAsia="Arial" w:hAnsi="Arial"/>
          <w:sz w:val="18"/>
          <w:szCs w:val="18"/>
          <w:color w:val="auto"/>
        </w:rPr>
      </w:pPr>
    </w:p>
    <w:p>
      <w:pPr>
        <w:ind w:left="-4" w:right="480" w:firstLine="443"/>
        <w:spacing w:after="0" w:line="325" w:lineRule="auto"/>
        <w:tabs>
          <w:tab w:leader="none" w:pos="672"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Payment of Benefits upon Termination</w:t>
      </w:r>
      <w:r>
        <w:rPr>
          <w:rFonts w:ascii="Arial" w:cs="Arial" w:eastAsia="Arial" w:hAnsi="Arial"/>
          <w:sz w:val="16"/>
          <w:szCs w:val="16"/>
          <w:color w:val="auto"/>
        </w:rPr>
        <w:t>. If, after a Change in Control has occurred, Employee’s employment with Employer is terminated in accordance with Section 6(b) above, then Employer shall pay to Employee and provide Employee, his or her beneficiaries and estate, the following:</w:t>
      </w:r>
    </w:p>
    <w:p>
      <w:pPr>
        <w:spacing w:after="0" w:line="1" w:lineRule="exact"/>
        <w:rPr>
          <w:rFonts w:ascii="Arial" w:cs="Arial" w:eastAsia="Arial" w:hAnsi="Arial"/>
          <w:sz w:val="16"/>
          <w:szCs w:val="16"/>
          <w:color w:val="auto"/>
        </w:rPr>
      </w:pPr>
    </w:p>
    <w:p>
      <w:pPr>
        <w:ind w:left="456" w:right="20" w:firstLine="421"/>
        <w:spacing w:after="0" w:line="287" w:lineRule="auto"/>
        <w:tabs>
          <w:tab w:leader="none" w:pos="1085" w:val="left"/>
        </w:tabs>
        <w:numPr>
          <w:ilvl w:val="2"/>
          <w:numId w:val="93"/>
        </w:numPr>
        <w:rPr>
          <w:rFonts w:ascii="Arial" w:cs="Arial" w:eastAsia="Arial" w:hAnsi="Arial"/>
          <w:sz w:val="16"/>
          <w:szCs w:val="16"/>
          <w:color w:val="auto"/>
        </w:rPr>
      </w:pPr>
      <w:r>
        <w:rPr>
          <w:rFonts w:ascii="Arial" w:cs="Arial" w:eastAsia="Arial" w:hAnsi="Arial"/>
          <w:sz w:val="16"/>
          <w:szCs w:val="16"/>
          <w:color w:val="auto"/>
        </w:rPr>
        <w:t>Employer shall pay to Employee a single cash payment equal to two (2) year’s salary. For the purpose of calculating amounts payable pursuant to this Section 6(c), “salary” shall be calculated in the same manner as set forth in section 1(d) (without giving effect to any accelerated vesting which may have occurred as a result of the Change in Control). Payment also will be made for vacation time that has accrued, but is unused as of the date of termination. If Employee’s employment is terminated by Employee by a written notice which specifies a Termination Date at least five (5) business days later than the date of such notice, the payment shall be made on the Termination Date. If Employee gives less than five (5) business days notice, then such payment shall be made within five (5) business days of the date of such notice. Notwithstanding the above, if Employee’s termination of employment occurs under the circumstances described in clause (ii) of Section 6(b) (i.e., for any reason, either voluntarily or involuntarily, during the 30-day period beginning on the first anniversary of such Change of Control, unless such termination is because of Employee’s death, Disability or Retirement), then if and to the extent required in order to comply with Section 409A of the Code, as determined by the Employer, the payment to Employee shall be delayed until six months and one day after the Termination Date;</w:t>
      </w:r>
    </w:p>
    <w:p>
      <w:pPr>
        <w:spacing w:after="0" w:line="28" w:lineRule="exact"/>
        <w:rPr>
          <w:rFonts w:ascii="Arial" w:cs="Arial" w:eastAsia="Arial" w:hAnsi="Arial"/>
          <w:sz w:val="16"/>
          <w:szCs w:val="16"/>
          <w:color w:val="auto"/>
        </w:rPr>
      </w:pPr>
    </w:p>
    <w:p>
      <w:pPr>
        <w:ind w:left="1136" w:hanging="259"/>
        <w:spacing w:after="0"/>
        <w:tabs>
          <w:tab w:leader="none" w:pos="1136" w:val="left"/>
        </w:tabs>
        <w:numPr>
          <w:ilvl w:val="2"/>
          <w:numId w:val="93"/>
        </w:numPr>
        <w:rPr>
          <w:rFonts w:ascii="Arial" w:cs="Arial" w:eastAsia="Arial" w:hAnsi="Arial"/>
          <w:sz w:val="18"/>
          <w:szCs w:val="18"/>
          <w:color w:val="auto"/>
        </w:rPr>
      </w:pPr>
      <w:r>
        <w:rPr>
          <w:rFonts w:ascii="Arial" w:cs="Arial" w:eastAsia="Arial" w:hAnsi="Arial"/>
          <w:sz w:val="18"/>
          <w:szCs w:val="18"/>
          <w:color w:val="auto"/>
        </w:rPr>
        <w:t>Employee shall receive Full Benefits for two (2) years following the Termination Date;</w:t>
      </w:r>
    </w:p>
    <w:p>
      <w:pPr>
        <w:spacing w:after="0" w:line="76" w:lineRule="exact"/>
        <w:rPr>
          <w:rFonts w:ascii="Arial" w:cs="Arial" w:eastAsia="Arial" w:hAnsi="Arial"/>
          <w:sz w:val="18"/>
          <w:szCs w:val="18"/>
          <w:color w:val="auto"/>
        </w:rPr>
      </w:pPr>
    </w:p>
    <w:p>
      <w:pPr>
        <w:ind w:left="456" w:firstLine="421"/>
        <w:spacing w:after="0" w:line="255" w:lineRule="auto"/>
        <w:tabs>
          <w:tab w:leader="none" w:pos="1183" w:val="left"/>
        </w:tabs>
        <w:numPr>
          <w:ilvl w:val="2"/>
          <w:numId w:val="93"/>
        </w:numPr>
        <w:rPr>
          <w:rFonts w:ascii="Arial" w:cs="Arial" w:eastAsia="Arial" w:hAnsi="Arial"/>
          <w:sz w:val="18"/>
          <w:szCs w:val="18"/>
          <w:color w:val="auto"/>
        </w:rPr>
      </w:pPr>
      <w:r>
        <w:rPr>
          <w:rFonts w:ascii="Arial" w:cs="Arial" w:eastAsia="Arial" w:hAnsi="Arial"/>
          <w:sz w:val="18"/>
          <w:szCs w:val="18"/>
          <w:color w:val="auto"/>
        </w:rPr>
        <w:t>Employer, to the extent legally permissible, shall continue to provide to Employee all other officer perquisites, allowances, accommodations of employment, and benefits on the same terms and conditions 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two (2) years following the Termination Date;</w:t>
      </w:r>
    </w:p>
    <w:p>
      <w:pPr>
        <w:spacing w:after="0" w:line="48" w:lineRule="exact"/>
        <w:rPr>
          <w:rFonts w:ascii="Arial" w:cs="Arial" w:eastAsia="Arial" w:hAnsi="Arial"/>
          <w:sz w:val="18"/>
          <w:szCs w:val="18"/>
          <w:color w:val="auto"/>
        </w:rPr>
      </w:pPr>
    </w:p>
    <w:p>
      <w:pPr>
        <w:ind w:left="456" w:right="220" w:firstLine="421"/>
        <w:spacing w:after="0" w:line="294" w:lineRule="auto"/>
        <w:tabs>
          <w:tab w:leader="none" w:pos="1173" w:val="left"/>
        </w:tabs>
        <w:numPr>
          <w:ilvl w:val="2"/>
          <w:numId w:val="93"/>
        </w:numPr>
        <w:rPr>
          <w:rFonts w:ascii="Arial" w:cs="Arial" w:eastAsia="Arial" w:hAnsi="Arial"/>
          <w:sz w:val="16"/>
          <w:szCs w:val="16"/>
          <w:color w:val="auto"/>
        </w:rPr>
      </w:pPr>
      <w:r>
        <w:rPr>
          <w:rFonts w:ascii="Arial" w:cs="Arial" w:eastAsia="Arial" w:hAnsi="Arial"/>
          <w:sz w:val="16"/>
          <w:szCs w:val="16"/>
          <w:color w:val="auto"/>
        </w:rPr>
        <w:t xml:space="preserve">For the purposes of this Section 6(c), Employee’s right to receive officer perquisites, allowances and accommodations of employment is intended to include (A) Employee’s right to have Employer provide Employee for a period not to exceed nine (9) months from Employee’s Termination Date with a telephone number assigned to Employee at Employer’s offices, telephone mail and a secretary to answer the telephone;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such benefits described in this Section 6(c)(iv)(A) shall not include an office or physical access to Employer’s offices and will</w:t>
      </w:r>
      <w:r>
        <w:rPr>
          <w:rFonts w:ascii="Arial" w:cs="Arial" w:eastAsia="Arial" w:hAnsi="Arial"/>
          <w:sz w:val="16"/>
          <w:szCs w:val="16"/>
          <w:i w:val="1"/>
          <w:iCs w:val="1"/>
          <w:color w:val="auto"/>
        </w:rPr>
        <w:t xml:space="preserve"> </w:t>
      </w:r>
      <w:r>
        <w:rPr>
          <w:rFonts w:ascii="Arial" w:cs="Arial" w:eastAsia="Arial" w:hAnsi="Arial"/>
          <w:sz w:val="16"/>
          <w:szCs w:val="16"/>
          <w:color w:val="auto"/>
        </w:rPr>
        <w:t>cease upon the commencement by Employee of employment with another employer, and (B) Employee’s right to have Employer</w:t>
      </w:r>
    </w:p>
    <w:p>
      <w:pPr>
        <w:spacing w:after="0" w:line="102" w:lineRule="exact"/>
        <w:rPr>
          <w:rFonts w:ascii="Arial" w:cs="Arial" w:eastAsia="Arial" w:hAnsi="Arial"/>
          <w:sz w:val="16"/>
          <w:szCs w:val="16"/>
          <w:color w:val="auto"/>
        </w:rPr>
      </w:pPr>
    </w:p>
    <w:p>
      <w:pPr>
        <w:ind w:left="5216" w:hanging="112"/>
        <w:spacing w:after="0"/>
        <w:tabs>
          <w:tab w:leader="none" w:pos="5216" w:val="left"/>
        </w:tabs>
        <w:numPr>
          <w:ilvl w:val="3"/>
          <w:numId w:val="9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56"/>
          </w:cols>
          <w:pgMar w:left="704" w:top="280" w:right="239" w:bottom="1440" w:gutter="0" w:footer="0" w:header="0"/>
        </w:sectPr>
      </w:pPr>
    </w:p>
    <w:bookmarkStart w:id="118" w:name="page119"/>
    <w:bookmarkEnd w:id="118"/>
    <w:p>
      <w:pPr>
        <w:ind w:left="92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available at Employer’s expense to Employee at Employee’s option the services of an employment search/outplacement agency selected by Employee for a period not to exceed nine (9) months.</w:t>
      </w:r>
    </w:p>
    <w:p>
      <w:pPr>
        <w:spacing w:after="0" w:line="37" w:lineRule="exact"/>
        <w:rPr>
          <w:sz w:val="20"/>
          <w:szCs w:val="20"/>
          <w:color w:val="auto"/>
        </w:rPr>
      </w:pPr>
    </w:p>
    <w:p>
      <w:pPr>
        <w:ind w:left="1580" w:hanging="239"/>
        <w:spacing w:after="0"/>
        <w:tabs>
          <w:tab w:leader="none" w:pos="1580" w:val="left"/>
        </w:tabs>
        <w:numPr>
          <w:ilvl w:val="2"/>
          <w:numId w:val="94"/>
        </w:numPr>
        <w:rPr>
          <w:rFonts w:ascii="Arial" w:cs="Arial" w:eastAsia="Arial" w:hAnsi="Arial"/>
          <w:sz w:val="16"/>
          <w:szCs w:val="16"/>
          <w:color w:val="auto"/>
        </w:rPr>
      </w:pPr>
      <w:r>
        <w:rPr>
          <w:rFonts w:ascii="Arial" w:cs="Arial" w:eastAsia="Arial" w:hAnsi="Arial"/>
          <w:sz w:val="16"/>
          <w:szCs w:val="16"/>
          <w:color w:val="auto"/>
        </w:rPr>
        <w:t>Upon the occurrence of a Change in Control, all restrictions on the receipt of any option to acquire or grant of Voting Securities to</w:t>
      </w:r>
    </w:p>
    <w:p>
      <w:pPr>
        <w:spacing w:after="0" w:line="38" w:lineRule="exact"/>
        <w:rPr>
          <w:rFonts w:ascii="Arial" w:cs="Arial" w:eastAsia="Arial" w:hAnsi="Arial"/>
          <w:sz w:val="16"/>
          <w:szCs w:val="16"/>
          <w:color w:val="auto"/>
        </w:rPr>
      </w:pPr>
    </w:p>
    <w:p>
      <w:pPr>
        <w:ind w:left="920"/>
        <w:spacing w:after="0" w:line="255" w:lineRule="auto"/>
        <w:rPr>
          <w:rFonts w:ascii="Arial" w:cs="Arial" w:eastAsia="Arial" w:hAnsi="Arial"/>
          <w:sz w:val="16"/>
          <w:szCs w:val="16"/>
          <w:color w:val="auto"/>
        </w:rPr>
      </w:pPr>
      <w:r>
        <w:rPr>
          <w:rFonts w:ascii="Arial" w:cs="Arial" w:eastAsia="Arial" w:hAnsi="Arial"/>
          <w:sz w:val="18"/>
          <w:szCs w:val="18"/>
          <w:color w:val="auto"/>
        </w:rPr>
        <w:t>Employee shall lapse and such option shall become immediately and fully exercisable.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30" w:lineRule="exact"/>
        <w:rPr>
          <w:rFonts w:ascii="Arial" w:cs="Arial" w:eastAsia="Arial" w:hAnsi="Arial"/>
          <w:sz w:val="16"/>
          <w:szCs w:val="16"/>
          <w:color w:val="auto"/>
        </w:rPr>
      </w:pPr>
    </w:p>
    <w:p>
      <w:pPr>
        <w:ind w:left="640" w:hanging="176"/>
        <w:spacing w:after="0"/>
        <w:tabs>
          <w:tab w:leader="none" w:pos="6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Section 6(d) of the Severance Agreement entitled “Redemption” is hereby deleted in its entirety and the following is substituted therefor: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amended hereby, the Severance Agreement shall be and remain in full force and effect.</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WITNESS WHEREOF, the parties have executed and delivered this Amendment to Severance Agreement to be effective as of the day and year indicated above.</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Permanent Address: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2403 Walled Oak Court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Falls Church, Virginia 22043</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S. 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Mark S. Ordan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Rockville, Maryland 20852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80" w:right="27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10.28</w:t>
      </w:r>
    </w:p>
    <w:p>
      <w:pPr>
        <w:spacing w:after="0" w:line="83"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LTIAP Award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under the Federal Realty Investment Trust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Long Term Incentive Award Program)</w:t>
      </w:r>
    </w:p>
    <w:p>
      <w:pPr>
        <w:spacing w:after="0" w:line="1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55753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parties to this Restricted Share Award Agreement (this “Agreement”) are </w:t>
      </w:r>
      <w:r>
        <w:rPr>
          <w:rFonts w:ascii="Arial" w:cs="Arial" w:eastAsia="Arial" w:hAnsi="Arial"/>
          <w:sz w:val="16"/>
          <w:szCs w:val="16"/>
          <w:b w:val="1"/>
          <w:bCs w:val="1"/>
          <w:color w:val="auto"/>
        </w:rPr>
        <w:t>Federal Realty Investment Trust</w:t>
      </w:r>
      <w:r>
        <w:rPr>
          <w:rFonts w:ascii="Arial" w:cs="Arial" w:eastAsia="Arial" w:hAnsi="Arial"/>
          <w:sz w:val="16"/>
          <w:szCs w:val="16"/>
          <w:color w:val="auto"/>
        </w:rPr>
        <w:t>, a Maryland real estate investment trust</w:t>
      </w:r>
    </w:p>
    <w:p>
      <w:pPr>
        <w:spacing w:after="0" w:line="44"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(the “Trust”), and</w:t>
      </w:r>
      <w:r>
        <w:rPr>
          <w:sz w:val="20"/>
          <w:szCs w:val="20"/>
          <w:color w:val="auto"/>
        </w:rPr>
        <w:tab/>
      </w:r>
      <w:r>
        <w:rPr>
          <w:rFonts w:ascii="Arial" w:cs="Arial" w:eastAsia="Arial" w:hAnsi="Arial"/>
          <w:sz w:val="16"/>
          <w:szCs w:val="16"/>
          <w:color w:val="auto"/>
        </w:rPr>
        <w:t>, an individual employee of the Trust (the “Key Employee”).</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Trustees of the Trust (the “Board of Trustees”) has authorized the award by the Trust to the Key Employee, under the Trust’s 2001 Long-Term Incentive Plan (the “Plan”) of a Restricted Share Award for a certain number of shares of beneficial interest of the Trust (the “Shares”), subject to certain restrictions and covenants on the part of Key Employee. The parties hereto desire to set forth in this Agreement their respective rights and obligations with respect to such Shares.</w:t>
      </w:r>
    </w:p>
    <w:p>
      <w:pPr>
        <w:spacing w:after="0" w:line="13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covenants set forth in this Agreement, and intending to be legally bound hereby, the parties hereto agree as follows:</w:t>
      </w:r>
    </w:p>
    <w:p>
      <w:pPr>
        <w:spacing w:after="0" w:line="175" w:lineRule="exact"/>
        <w:rPr>
          <w:sz w:val="20"/>
          <w:szCs w:val="20"/>
          <w:color w:val="auto"/>
        </w:rPr>
      </w:pPr>
    </w:p>
    <w:p>
      <w:pPr>
        <w:ind w:left="640" w:hanging="176"/>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Restricted Shares</w:t>
      </w:r>
      <w:r>
        <w:rPr>
          <w:rFonts w:ascii="Arial" w:cs="Arial" w:eastAsia="Arial" w:hAnsi="Arial"/>
          <w:sz w:val="18"/>
          <w:szCs w:val="18"/>
          <w:b w:val="1"/>
          <w:bCs w:val="1"/>
          <w:color w:val="auto"/>
        </w:rPr>
        <w:t>.</w:t>
      </w:r>
    </w:p>
    <w:p>
      <w:pPr>
        <w:spacing w:after="0" w:line="83" w:lineRule="exact"/>
        <w:rPr>
          <w:sz w:val="20"/>
          <w:szCs w:val="20"/>
          <w:color w:val="auto"/>
        </w:rPr>
      </w:pPr>
    </w:p>
    <w:p>
      <w:pPr>
        <w:ind w:left="900"/>
        <w:spacing w:after="0"/>
        <w:tabs>
          <w:tab w:leader="none" w:pos="6880" w:val="left"/>
          <w:tab w:leader="none" w:pos="7360" w:val="left"/>
          <w:tab w:leader="none" w:pos="10220" w:val="left"/>
          <w:tab w:leader="none" w:pos="10640" w:val="left"/>
        </w:tabs>
        <w:rPr>
          <w:sz w:val="20"/>
          <w:szCs w:val="20"/>
          <w:color w:val="auto"/>
        </w:rPr>
      </w:pPr>
      <w:r>
        <w:rPr>
          <w:rFonts w:ascii="Arial" w:cs="Arial" w:eastAsia="Arial" w:hAnsi="Arial"/>
          <w:sz w:val="18"/>
          <w:szCs w:val="18"/>
          <w:color w:val="auto"/>
        </w:rPr>
        <w:t>(a) The Trust hereby confirms the grant to the Key Employee, as of</w:t>
      </w:r>
      <w:r>
        <w:rPr>
          <w:sz w:val="20"/>
          <w:szCs w:val="20"/>
          <w:color w:val="auto"/>
        </w:rPr>
        <w:tab/>
      </w:r>
      <w:r>
        <w:rPr>
          <w:rFonts w:ascii="Arial" w:cs="Arial" w:eastAsia="Arial" w:hAnsi="Arial"/>
          <w:sz w:val="18"/>
          <w:szCs w:val="18"/>
          <w:color w:val="auto"/>
        </w:rPr>
        <w:t>, 200</w:t>
        <w:tab/>
        <w:t>(the “Grant Date”),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-13970</wp:posOffset>
            </wp:positionV>
            <wp:extent cx="10591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059180" cy="8890"/>
                    </a:xfrm>
                    <a:prstGeom prst="rect">
                      <a:avLst/>
                    </a:prstGeom>
                    <a:noFill/>
                  </pic:spPr>
                </pic:pic>
              </a:graphicData>
            </a:graphic>
          </wp:anchor>
        </w:drawing>
        <w:drawing>
          <wp:anchor simplePos="0" relativeHeight="251657728" behindDoc="1" locked="0" layoutInCell="0" allowOverlap="1">
            <wp:simplePos x="0" y="0"/>
            <wp:positionH relativeFrom="column">
              <wp:posOffset>5695950</wp:posOffset>
            </wp:positionH>
            <wp:positionV relativeFrom="paragraph">
              <wp:posOffset>-13970</wp:posOffset>
            </wp:positionV>
            <wp:extent cx="106807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“Restricted Shares”), subject to the restrictions and other terms and conditions set forth herein and in the Plan.</w:t>
      </w:r>
    </w:p>
    <w:p>
      <w:pPr>
        <w:spacing w:after="0" w:line="70" w:lineRule="exact"/>
        <w:rPr>
          <w:sz w:val="20"/>
          <w:szCs w:val="20"/>
          <w:color w:val="auto"/>
        </w:rPr>
      </w:pPr>
    </w:p>
    <w:p>
      <w:pPr>
        <w:ind w:left="460" w:right="200" w:firstLine="443"/>
        <w:spacing w:after="0" w:line="323" w:lineRule="auto"/>
        <w:tabs>
          <w:tab w:leader="none" w:pos="1147" w:val="left"/>
        </w:tabs>
        <w:numPr>
          <w:ilvl w:val="0"/>
          <w:numId w:val="97"/>
        </w:numPr>
        <w:rPr>
          <w:rFonts w:ascii="Arial" w:cs="Arial" w:eastAsia="Arial" w:hAnsi="Arial"/>
          <w:sz w:val="15"/>
          <w:szCs w:val="15"/>
          <w:color w:val="auto"/>
        </w:rPr>
      </w:pPr>
      <w:r>
        <w:rPr>
          <w:rFonts w:ascii="Arial" w:cs="Arial" w:eastAsia="Arial" w:hAnsi="Arial"/>
          <w:sz w:val="15"/>
          <w:szCs w:val="15"/>
          <w:color w:val="auto"/>
        </w:rPr>
        <w:t>On or as soon as practicable after the Grant Date, the Trust shall cause one or more stock certificates representing the Restricted Shares to be registered in the name of the Key Employee. Such stock certificate or certificates shall be subject to such stop-transfer orders and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w:t>
      </w:r>
    </w:p>
    <w:p>
      <w:pPr>
        <w:sectPr>
          <w:pgSz w:w="11900" w:h="16838" w:orient="portrait"/>
          <w:cols w:equalWidth="0" w:num="1">
            <w:col w:w="11420"/>
          </w:cols>
          <w:pgMar w:left="240" w:top="125" w:right="239"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legends to be placed on such certificate or certificates to make appropriate reference to such restrictions.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certificate or certificates representing the Restricted Shares shall be held in custody by the Chief Financial Officer of the Trust until the Restricted Period (as hereinafter defined in Paragraph 3) with respect thereto shall have lapsed. Simultaneously with the execution and delivery of this Agreement, the Key Employee 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shall have expired. Upon forfeiture, in accordance with Paragraph 4, of all or any portion of the Restricted Shares, the certificate or certificates representing the forfeited Restricted Shares shall be canceled.</w:t>
      </w:r>
    </w:p>
    <w:p>
      <w:pPr>
        <w:spacing w:after="0" w:line="101" w:lineRule="exact"/>
        <w:rPr>
          <w:sz w:val="20"/>
          <w:szCs w:val="20"/>
          <w:color w:val="auto"/>
        </w:rPr>
      </w:pPr>
    </w:p>
    <w:p>
      <w:pPr>
        <w:ind w:left="640" w:hanging="176"/>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Applicable to Restricted Shares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left="460" w:right="20" w:firstLine="443"/>
        <w:spacing w:after="0" w:line="268" w:lineRule="auto"/>
        <w:tabs>
          <w:tab w:leader="none" w:pos="1137" w:val="left"/>
        </w:tabs>
        <w:numPr>
          <w:ilvl w:val="1"/>
          <w:numId w:val="98"/>
        </w:numPr>
        <w:rPr>
          <w:rFonts w:ascii="Arial" w:cs="Arial" w:eastAsia="Arial" w:hAnsi="Arial"/>
          <w:sz w:val="18"/>
          <w:szCs w:val="18"/>
          <w:color w:val="auto"/>
        </w:rPr>
      </w:pPr>
      <w:r>
        <w:rPr>
          <w:rFonts w:ascii="Arial" w:cs="Arial" w:eastAsia="Arial" w:hAnsi="Arial"/>
          <w:sz w:val="18"/>
          <w:szCs w:val="18"/>
          <w:color w:val="auto"/>
        </w:rPr>
        <w:t>Beginning on the Grant Date, the Key Employee shall have all rights and privileges of a stockholder with respect to the Restricted Shares, except that the following restrictions shall apply:</w:t>
      </w:r>
    </w:p>
    <w:p>
      <w:pPr>
        <w:spacing w:after="0" w:line="37" w:lineRule="exact"/>
        <w:rPr>
          <w:rFonts w:ascii="Arial" w:cs="Arial" w:eastAsia="Arial" w:hAnsi="Arial"/>
          <w:sz w:val="18"/>
          <w:szCs w:val="18"/>
          <w:color w:val="auto"/>
        </w:rPr>
      </w:pPr>
    </w:p>
    <w:p>
      <w:pPr>
        <w:ind w:left="920" w:right="540" w:firstLine="421"/>
        <w:spacing w:after="0" w:line="259" w:lineRule="auto"/>
        <w:tabs>
          <w:tab w:leader="none" w:pos="1549" w:val="left"/>
        </w:tabs>
        <w:numPr>
          <w:ilvl w:val="2"/>
          <w:numId w:val="98"/>
        </w:numPr>
        <w:rPr>
          <w:rFonts w:ascii="Arial" w:cs="Arial" w:eastAsia="Arial" w:hAnsi="Arial"/>
          <w:sz w:val="18"/>
          <w:szCs w:val="18"/>
          <w:color w:val="auto"/>
        </w:rPr>
      </w:pPr>
      <w:r>
        <w:rPr>
          <w:rFonts w:ascii="Arial" w:cs="Arial" w:eastAsia="Arial" w:hAnsi="Arial"/>
          <w:sz w:val="18"/>
          <w:szCs w:val="18"/>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during the Restricted Period (as hereinafter defined in Paragraph 3);</w:t>
      </w:r>
    </w:p>
    <w:p>
      <w:pPr>
        <w:spacing w:after="0" w:line="45" w:lineRule="exact"/>
        <w:rPr>
          <w:rFonts w:ascii="Arial" w:cs="Arial" w:eastAsia="Arial" w:hAnsi="Arial"/>
          <w:sz w:val="18"/>
          <w:szCs w:val="18"/>
          <w:color w:val="auto"/>
        </w:rPr>
      </w:pPr>
    </w:p>
    <w:p>
      <w:pPr>
        <w:ind w:left="1600" w:hanging="259"/>
        <w:spacing w:after="0"/>
        <w:tabs>
          <w:tab w:leader="none" w:pos="16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all or a portion of the Restricted Shares may be forfeited in accordance with Paragraph 4; and</w:t>
      </w:r>
    </w:p>
    <w:p>
      <w:pPr>
        <w:spacing w:after="0" w:line="76" w:lineRule="exact"/>
        <w:rPr>
          <w:rFonts w:ascii="Arial" w:cs="Arial" w:eastAsia="Arial" w:hAnsi="Arial"/>
          <w:sz w:val="18"/>
          <w:szCs w:val="18"/>
          <w:color w:val="auto"/>
        </w:rPr>
      </w:pPr>
    </w:p>
    <w:p>
      <w:pPr>
        <w:ind w:left="920" w:right="300" w:firstLine="421"/>
        <w:spacing w:after="0" w:line="259" w:lineRule="auto"/>
        <w:tabs>
          <w:tab w:leader="none" w:pos="164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45"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21" w:name="page122"/>
    <w:bookmarkEnd w:id="121"/>
    <w:p>
      <w:pPr>
        <w:ind w:left="640" w:hanging="176"/>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Period</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left="460" w:right="100" w:firstLine="443"/>
        <w:spacing w:after="0" w:line="268" w:lineRule="auto"/>
        <w:tabs>
          <w:tab w:leader="none" w:pos="1137"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restrictions set forth in Paragraph 2 shall apply for a period (the “Restricted Period”) from the Grant Date until such Restricted Period lapses as follows:</w:t>
      </w:r>
    </w:p>
    <w:p>
      <w:pPr>
        <w:spacing w:after="0" w:line="1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w w:val="91"/>
              </w:rPr>
              <w:t>(i) with respect to</w:t>
            </w:r>
          </w:p>
        </w:tc>
        <w:tc>
          <w:tcPr>
            <w:tcW w:w="1760" w:type="dxa"/>
            <w:vAlign w:val="bottom"/>
            <w:gridSpan w:val="3"/>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5520" w:type="dxa"/>
            <w:vAlign w:val="bottom"/>
            <w:gridSpan w:val="12"/>
          </w:tcPr>
          <w:p>
            <w:pPr>
              <w:ind w:left="360"/>
              <w:spacing w:after="0"/>
              <w:rPr>
                <w:sz w:val="20"/>
                <w:szCs w:val="20"/>
                <w:color w:val="auto"/>
              </w:rPr>
            </w:pPr>
            <w:r>
              <w:rPr>
                <w:rFonts w:ascii="Arial" w:cs="Arial" w:eastAsia="Arial" w:hAnsi="Arial"/>
                <w:sz w:val="18"/>
                <w:szCs w:val="18"/>
                <w:color w:val="auto"/>
              </w:rPr>
              <w:t>) Restricted Shares, the Restricted Period shall lapse on</w:t>
            </w:r>
          </w:p>
        </w:tc>
        <w:tc>
          <w:tcPr>
            <w:tcW w:w="1000" w:type="dxa"/>
            <w:vAlign w:val="bottom"/>
            <w:gridSpan w:val="3"/>
          </w:tcPr>
          <w:p>
            <w:pPr>
              <w:jc w:val="right"/>
              <w:ind w:right="520"/>
              <w:spacing w:after="0"/>
              <w:rPr>
                <w:sz w:val="20"/>
                <w:szCs w:val="20"/>
                <w:color w:val="auto"/>
              </w:rPr>
            </w:pPr>
            <w:r>
              <w:rPr>
                <w:rFonts w:ascii="Arial" w:cs="Arial" w:eastAsia="Arial" w:hAnsi="Arial"/>
                <w:sz w:val="18"/>
                <w:szCs w:val="18"/>
                <w:color w:val="auto"/>
                <w:w w:val="91"/>
              </w:rPr>
              <w:t>, 200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60" w:type="dxa"/>
            <w:vAlign w:val="bottom"/>
            <w:gridSpan w:val="2"/>
          </w:tcPr>
          <w:p>
            <w:pPr>
              <w:ind w:left="60"/>
              <w:spacing w:after="0"/>
              <w:rPr>
                <w:sz w:val="20"/>
                <w:szCs w:val="20"/>
                <w:color w:val="auto"/>
              </w:rPr>
            </w:pPr>
            <w:r>
              <w:rPr>
                <w:rFonts w:ascii="Arial" w:cs="Arial" w:eastAsia="Arial" w:hAnsi="Arial"/>
                <w:sz w:val="18"/>
                <w:szCs w:val="18"/>
                <w:color w:val="auto"/>
                <w:w w:val="91"/>
              </w:rPr>
              <w:t>(ii) with respect to an additional</w:t>
            </w:r>
          </w:p>
        </w:tc>
        <w:tc>
          <w:tcPr>
            <w:tcW w:w="740" w:type="dxa"/>
            <w:vAlign w:val="bottom"/>
            <w:tcBorders>
              <w:bottom w:val="single" w:sz="8" w:color="auto"/>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87"/>
              </w:rPr>
              <w:t>) Restricted Shares, the Restricted Period shall lapse on</w:t>
            </w:r>
          </w:p>
        </w:tc>
        <w:tc>
          <w:tcPr>
            <w:tcW w:w="220" w:type="dxa"/>
            <w:vAlign w:val="bottom"/>
            <w:tcBorders>
              <w:bottom w:val="single" w:sz="8" w:color="auto"/>
            </w:tcBorders>
            <w:gridSpan w:val="2"/>
          </w:tcPr>
          <w:p>
            <w:pPr>
              <w:spacing w:after="0"/>
              <w:rPr>
                <w:sz w:val="22"/>
                <w:szCs w:val="22"/>
                <w:color w:val="auto"/>
              </w:rPr>
            </w:pPr>
          </w:p>
        </w:tc>
        <w:tc>
          <w:tcPr>
            <w:tcW w:w="1000" w:type="dxa"/>
            <w:vAlign w:val="bottom"/>
            <w:tcBorders>
              <w:bottom w:val="single" w:sz="8" w:color="auto"/>
            </w:tcBorders>
            <w:gridSpan w:val="3"/>
          </w:tcPr>
          <w:p>
            <w:pPr>
              <w:spacing w:after="0"/>
              <w:rPr>
                <w:sz w:val="22"/>
                <w:szCs w:val="22"/>
                <w:color w:val="auto"/>
              </w:rPr>
            </w:pPr>
          </w:p>
        </w:tc>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c>
          <w:tcPr>
            <w:tcW w:w="60" w:type="dxa"/>
            <w:vAlign w:val="bottom"/>
          </w:tcPr>
          <w:p>
            <w:pPr>
              <w:spacing w:after="0"/>
              <w:rPr>
                <w:sz w:val="22"/>
                <w:szCs w:val="22"/>
                <w:color w:val="auto"/>
              </w:rPr>
            </w:pPr>
          </w:p>
        </w:tc>
      </w:tr>
      <w:tr>
        <w:trPr>
          <w:trHeight w:val="196"/>
        </w:trPr>
        <w:tc>
          <w:tcPr>
            <w:tcW w:w="260" w:type="dxa"/>
            <w:vAlign w:val="bottom"/>
          </w:tcPr>
          <w:p>
            <w:pPr>
              <w:jc w:val="right"/>
              <w:spacing w:after="0" w:line="196" w:lineRule="exact"/>
              <w:rPr>
                <w:sz w:val="20"/>
                <w:szCs w:val="20"/>
                <w:color w:val="auto"/>
              </w:rPr>
            </w:pPr>
            <w:r>
              <w:rPr>
                <w:rFonts w:ascii="Arial" w:cs="Arial" w:eastAsia="Arial" w:hAnsi="Arial"/>
                <w:sz w:val="18"/>
                <w:szCs w:val="18"/>
                <w:color w:val="auto"/>
                <w:w w:val="79"/>
              </w:rPr>
              <w:t>200</w:t>
            </w:r>
          </w:p>
        </w:tc>
        <w:tc>
          <w:tcPr>
            <w:tcW w:w="100" w:type="dxa"/>
            <w:vAlign w:val="bottom"/>
            <w:tcBorders>
              <w:bottom w:val="single" w:sz="8" w:color="auto"/>
            </w:tcBorders>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 and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4"/>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auto"/>
              </w:rPr>
              <w:t>(iii) with respect to the remaining</w:t>
            </w:r>
          </w:p>
        </w:tc>
        <w:tc>
          <w:tcPr>
            <w:tcW w:w="100" w:type="dxa"/>
            <w:vAlign w:val="bottom"/>
          </w:tcPr>
          <w:p>
            <w:pPr>
              <w:spacing w:after="0"/>
              <w:rPr>
                <w:sz w:val="22"/>
                <w:szCs w:val="22"/>
                <w:color w:val="auto"/>
              </w:rPr>
            </w:pPr>
          </w:p>
        </w:tc>
        <w:tc>
          <w:tcPr>
            <w:tcW w:w="1240" w:type="dxa"/>
            <w:vAlign w:val="bottom"/>
            <w:gridSpan w:val="6"/>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160" w:type="dxa"/>
            <w:vAlign w:val="bottom"/>
            <w:gridSpan w:val="5"/>
          </w:tcPr>
          <w:p>
            <w:pPr>
              <w:ind w:left="100"/>
              <w:spacing w:after="0"/>
              <w:rPr>
                <w:sz w:val="20"/>
                <w:szCs w:val="20"/>
                <w:color w:val="auto"/>
              </w:rPr>
            </w:pPr>
            <w:r>
              <w:rPr>
                <w:rFonts w:ascii="Arial" w:cs="Arial" w:eastAsia="Arial" w:hAnsi="Arial"/>
                <w:sz w:val="18"/>
                <w:szCs w:val="18"/>
                <w:color w:val="auto"/>
                <w:w w:val="90"/>
              </w:rPr>
              <w:t>) Restricted Shares, the Restricted Period shall lapse on</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60" w:type="dxa"/>
            <w:vAlign w:val="bottom"/>
          </w:tcPr>
          <w:p>
            <w:pPr>
              <w:jc w:val="right"/>
              <w:spacing w:after="0" w:line="196" w:lineRule="exact"/>
              <w:rPr>
                <w:sz w:val="20"/>
                <w:szCs w:val="20"/>
                <w:color w:val="auto"/>
              </w:rPr>
            </w:pPr>
            <w:r>
              <w:rPr>
                <w:rFonts w:ascii="Arial" w:cs="Arial" w:eastAsia="Arial" w:hAnsi="Arial"/>
                <w:sz w:val="18"/>
                <w:szCs w:val="18"/>
                <w:color w:val="auto"/>
                <w:w w:val="79"/>
              </w:rPr>
              <w:t>200</w:t>
            </w:r>
          </w:p>
        </w:tc>
        <w:tc>
          <w:tcPr>
            <w:tcW w:w="14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provided, however, that the Restricted Period for any particular Restricted Shares shall not lapse on the date set forth above unless the Key Employee has tendered to the Trust, on or before that date, the amount of any state and federal withholding tax obligation which will be imposed on the Trust by reason of the lapsing of the Restricted Period for such Restricted Shares on that date.</w:t>
      </w:r>
    </w:p>
    <w:p>
      <w:pPr>
        <w:spacing w:after="0" w:line="46" w:lineRule="exact"/>
        <w:rPr>
          <w:sz w:val="20"/>
          <w:szCs w:val="20"/>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Notwithstanding the foregoing and subject to the proviso below, the Restricted Period shall lapse as follows:</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as to all Restricted Shares in the event of the death or Disability of the Key Employee;</w:t>
      </w:r>
    </w:p>
    <w:p>
      <w:pPr>
        <w:spacing w:after="0" w:line="76" w:lineRule="exact"/>
        <w:rPr>
          <w:rFonts w:ascii="Arial" w:cs="Arial" w:eastAsia="Arial" w:hAnsi="Arial"/>
          <w:sz w:val="18"/>
          <w:szCs w:val="18"/>
          <w:color w:val="auto"/>
        </w:rPr>
      </w:pPr>
    </w:p>
    <w:p>
      <w:pPr>
        <w:ind w:left="920" w:firstLine="421"/>
        <w:spacing w:after="0" w:line="298" w:lineRule="auto"/>
        <w:tabs>
          <w:tab w:leader="none" w:pos="159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as to: (A) 50% of the then unvested Restricted Shares in the event of the Key Employee’s retirement on or after the Key Employee reaches the age of 58 but before the Key Employee reaches the age of 62; (B) 75% of the then unvested Restricted Shares in the event of the Key Employee’s retirement on or after the Key Employee reaches the age of 62 but before the Key Employee reaches the age of 65; and (C) all of the Restricted Shares in the event of the Key Employee’s retirement on or after the Key Employee reaches the age of 65;</w:t>
      </w:r>
    </w:p>
    <w:p>
      <w:pPr>
        <w:spacing w:after="0" w:line="18" w:lineRule="exact"/>
        <w:rPr>
          <w:rFonts w:ascii="Arial" w:cs="Arial" w:eastAsia="Arial" w:hAnsi="Arial"/>
          <w:sz w:val="16"/>
          <w:szCs w:val="16"/>
          <w:color w:val="auto"/>
        </w:rPr>
      </w:pPr>
    </w:p>
    <w:p>
      <w:pPr>
        <w:ind w:left="1640" w:hanging="299"/>
        <w:spacing w:after="0"/>
        <w:tabs>
          <w:tab w:leader="none" w:pos="164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as to all Restricted Shares in the event that the Key Employee is discharged by the Trust without Cause as defined in the Plan;</w:t>
      </w:r>
    </w:p>
    <w:p>
      <w:pPr>
        <w:spacing w:after="0" w:line="18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provided in any case that the Key Employee or his legal representative shall first tender, within ninety (90) days after the death, Disability or discharge without Cause, the amount of any state and federal withholding tax obligation which will be imposed on the Trust by reason of the lapsing of the Restricted Period for such Restricted Shares. For purposes of this Agreement, “Normal Retirement Date” means the date on which the Key Employee terminates active employment with the Trust on or after attainment of age 65, but does not include termination of the Key Employee’s employment by the Trust for Cause, and “Other Retirement Date” means the date, on or after the Key Employee’s attainment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2" w:name="page123"/>
    <w:bookmarkEnd w:id="122"/>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 55 but earlier than the Key Employee’s Normal Retirement Date, which is specifically approved and designated in writing by the Committee to be the date upon which the Key Employee retires for purposes of the Plan.</w:t>
      </w:r>
    </w:p>
    <w:p>
      <w:pPr>
        <w:spacing w:after="0" w:line="37" w:lineRule="exact"/>
        <w:rPr>
          <w:sz w:val="20"/>
          <w:szCs w:val="20"/>
          <w:color w:val="auto"/>
        </w:rPr>
      </w:pPr>
    </w:p>
    <w:p>
      <w:pPr>
        <w:ind w:left="460" w:firstLine="443"/>
        <w:spacing w:after="0" w:line="294" w:lineRule="auto"/>
        <w:tabs>
          <w:tab w:leader="none" w:pos="113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Also notwithstanding the foregoing, the Restricted Period shall lapse as to all Restricted Shares if the Key Employee shall incur an Involuntary Termination (as defined in the Plan) during the one year period commencing with the occurrence of a Change in Control, and in such event, the Trust shall deliver or cause to be delivered to the Key Employee within ten (10) business days after the Involuntary Termination one or more stock certificates representing those Shares as to which the Restricted Period shall have lapsed, provided that the Key Employee shall first tender the amount of any state and federal withholding tax obligation which will be imposed on the Trust by reason of the lapsing of the Restricted Period for such Restricted Shares.</w:t>
      </w:r>
    </w:p>
    <w:p>
      <w:pPr>
        <w:spacing w:after="0" w:line="96" w:lineRule="exact"/>
        <w:rPr>
          <w:rFonts w:ascii="Arial" w:cs="Arial" w:eastAsia="Arial" w:hAnsi="Arial"/>
          <w:sz w:val="16"/>
          <w:szCs w:val="16"/>
          <w:color w:val="auto"/>
        </w:rPr>
      </w:pPr>
    </w:p>
    <w:p>
      <w:pPr>
        <w:jc w:val="both"/>
        <w:ind w:right="180" w:firstLine="464"/>
        <w:spacing w:after="0" w:line="301" w:lineRule="auto"/>
        <w:tabs>
          <w:tab w:leader="none" w:pos="632"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If there is a termination of the Key Employee’s Service with the Trust for any reason, then all rights of the Key Employee to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then-remaining Restricted Shares, after giving application to Paragraphs 3(a), (b), and 3(c), shall terminate and be forfeited. In addition, in the event the Key Employee or his legal representative fails to tender to the Trust any required tax withholding amount in accordance with Paragraphs 3(a), 3(b), or 3(c) above by the date specified therein, then the Trust shall retain a portion of the Restricted Shares sufficient to meet its tax withholding obligation.</w:t>
      </w:r>
    </w:p>
    <w:p>
      <w:pPr>
        <w:spacing w:after="0" w:line="89" w:lineRule="exact"/>
        <w:rPr>
          <w:rFonts w:ascii="Arial" w:cs="Arial" w:eastAsia="Arial" w:hAnsi="Arial"/>
          <w:sz w:val="16"/>
          <w:szCs w:val="16"/>
          <w:b w:val="1"/>
          <w:bCs w:val="1"/>
          <w:color w:val="auto"/>
        </w:rPr>
      </w:pPr>
    </w:p>
    <w:p>
      <w:pPr>
        <w:ind w:right="260" w:firstLine="464"/>
        <w:spacing w:after="0" w:line="378" w:lineRule="auto"/>
        <w:tabs>
          <w:tab w:leader="none" w:pos="632"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Assignment</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shall be binding upon and inure to the benefit of the heirs and representatives of the Key Employee and the assigns and</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of the Trust, but neither this Agreement nor any rights hereunder shall be assignable or otherwise subject to hypothecation by the Key Employee.</w:t>
      </w:r>
    </w:p>
    <w:p>
      <w:pPr>
        <w:spacing w:after="0" w:line="37" w:lineRule="exact"/>
        <w:rPr>
          <w:rFonts w:ascii="Arial" w:cs="Arial" w:eastAsia="Arial" w:hAnsi="Arial"/>
          <w:sz w:val="15"/>
          <w:szCs w:val="15"/>
          <w:b w:val="1"/>
          <w:bCs w:val="1"/>
          <w:color w:val="auto"/>
        </w:rPr>
      </w:pPr>
    </w:p>
    <w:p>
      <w:pPr>
        <w:jc w:val="both"/>
        <w:ind w:right="380" w:firstLine="464"/>
        <w:spacing w:after="0" w:line="262" w:lineRule="auto"/>
        <w:tabs>
          <w:tab w:leader="none" w:pos="63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of the parties with respect to the subject matter hereof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 all prior agreements and understandings, oral or written, between the parties with respect thereto. This Agreement may be amended at any time by written agreement of the parties hereto.</w:t>
      </w:r>
    </w:p>
    <w:p>
      <w:pPr>
        <w:spacing w:after="0" w:line="118" w:lineRule="exact"/>
        <w:rPr>
          <w:rFonts w:ascii="Arial" w:cs="Arial" w:eastAsia="Arial" w:hAnsi="Arial"/>
          <w:sz w:val="18"/>
          <w:szCs w:val="18"/>
          <w:b w:val="1"/>
          <w:bCs w:val="1"/>
          <w:color w:val="auto"/>
        </w:rPr>
      </w:pPr>
    </w:p>
    <w:p>
      <w:pPr>
        <w:ind w:right="180" w:firstLine="464"/>
        <w:spacing w:after="0" w:line="275" w:lineRule="auto"/>
        <w:tabs>
          <w:tab w:leader="none" w:pos="63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its validity, interpretation, performance and enforcement shall be governed by the laws of the State of Maryland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conflict of laws provisions of such laws, and shall be construed in accordance therewith.</w:t>
      </w:r>
    </w:p>
    <w:p>
      <w:pPr>
        <w:spacing w:after="0" w:line="106" w:lineRule="exact"/>
        <w:rPr>
          <w:rFonts w:ascii="Arial" w:cs="Arial" w:eastAsia="Arial" w:hAnsi="Arial"/>
          <w:sz w:val="18"/>
          <w:szCs w:val="18"/>
          <w:b w:val="1"/>
          <w:bCs w:val="1"/>
          <w:color w:val="auto"/>
        </w:rPr>
      </w:pPr>
    </w:p>
    <w:p>
      <w:pPr>
        <w:ind w:right="160" w:firstLine="464"/>
        <w:spacing w:after="0" w:line="310" w:lineRule="auto"/>
        <w:tabs>
          <w:tab w:leader="none" w:pos="632"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for any reason, any provision of this Agreement is held invalid, such invalidity shall not affect any other provision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rest of such provision, together with all other provisions of this Agreement, shall to the full extent consistent with law continue in full force and effect.</w:t>
      </w:r>
    </w:p>
    <w:p>
      <w:pPr>
        <w:spacing w:after="0" w:line="175" w:lineRule="exact"/>
        <w:rPr>
          <w:sz w:val="20"/>
          <w:szCs w:val="20"/>
          <w:color w:val="auto"/>
        </w:rPr>
      </w:pPr>
    </w:p>
    <w:p>
      <w:pPr>
        <w:ind w:left="640" w:hanging="176"/>
        <w:spacing w:after="0"/>
        <w:tabs>
          <w:tab w:leader="none" w:pos="64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not confer upon the Key Employee any right with respect to continuance of employment by the Trust.</w:t>
      </w:r>
    </w:p>
    <w:p>
      <w:pPr>
        <w:spacing w:after="0" w:line="180" w:lineRule="exact"/>
        <w:rPr>
          <w:rFonts w:ascii="Arial" w:cs="Arial" w:eastAsia="Arial" w:hAnsi="Arial"/>
          <w:sz w:val="16"/>
          <w:szCs w:val="16"/>
          <w:b w:val="1"/>
          <w:bCs w:val="1"/>
          <w:color w:val="auto"/>
        </w:rPr>
      </w:pPr>
    </w:p>
    <w:p>
      <w:pPr>
        <w:ind w:firstLine="464"/>
        <w:spacing w:after="0" w:line="310" w:lineRule="auto"/>
        <w:tabs>
          <w:tab w:leader="none" w:pos="72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References to the Key Employee in any provision of this Agreement under circumstances where the provision should logically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83" w:lineRule="exact"/>
        <w:rPr>
          <w:rFonts w:ascii="Arial" w:cs="Arial" w:eastAsia="Arial" w:hAnsi="Arial"/>
          <w:sz w:val="16"/>
          <w:szCs w:val="16"/>
          <w:b w:val="1"/>
          <w:bCs w:val="1"/>
          <w:color w:val="auto"/>
        </w:rPr>
      </w:pPr>
    </w:p>
    <w:p>
      <w:pPr>
        <w:ind w:right="20" w:firstLine="464"/>
        <w:spacing w:after="0" w:line="310" w:lineRule="auto"/>
        <w:tabs>
          <w:tab w:leader="none" w:pos="71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Key Employee acknowledges that it is the Key Employee’s sole responsibility, and not the Trust’s, to file a timely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section 83(b) of the Internal Revenue Code, of 1986, as amended. The Key Employee acknowledges that he or she is relying on his or her own advisors with respect to the decision as to whether or not to file any section 83(b) election.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24" w:name="page125"/>
    <w:bookmarkEnd w:id="12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Trust has caused this Agreement to be duly executed and the Key Employee has hereunto set his hand effective as of the day and year first above written.</w:t>
      </w:r>
    </w:p>
    <w:p>
      <w:pPr>
        <w:spacing w:after="0" w:line="11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2540</wp:posOffset>
            </wp:positionV>
            <wp:extent cx="320738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00"/>
        <w:spacing w:after="0"/>
        <w:tabs>
          <w:tab w:leader="none" w:pos="6460" w:val="left"/>
        </w:tabs>
        <w:rPr>
          <w:sz w:val="20"/>
          <w:szCs w:val="20"/>
          <w:color w:val="auto"/>
        </w:rPr>
      </w:pPr>
      <w:r>
        <w:rPr>
          <w:rFonts w:ascii="Arial" w:cs="Arial" w:eastAsia="Arial" w:hAnsi="Arial"/>
          <w:sz w:val="18"/>
          <w:szCs w:val="18"/>
          <w:color w:val="auto"/>
        </w:rPr>
        <w:t>Title:</w:t>
        <w:tab/>
        <w:t>Chairman, Compensation Committee</w:t>
      </w:r>
    </w:p>
    <w:p>
      <w:pPr>
        <w:spacing w:after="0" w:line="21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WITNESS:</w:t>
      </w:r>
      <w:r>
        <w:rPr>
          <w:sz w:val="20"/>
          <w:szCs w:val="20"/>
          <w:color w:val="auto"/>
        </w:rPr>
        <w:tab/>
      </w:r>
      <w:r>
        <w:rPr>
          <w:rFonts w:ascii="Arial" w:cs="Arial" w:eastAsia="Arial" w:hAnsi="Arial"/>
          <w:sz w:val="18"/>
          <w:szCs w:val="18"/>
          <w:color w:val="auto"/>
        </w:rPr>
        <w:t>KEY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280" w:right="5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10.29</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Bonus Award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AWARD AGREEMENT</w:t>
      </w:r>
    </w:p>
    <w:p>
      <w:pPr>
        <w:spacing w:after="0" w:line="9" w:lineRule="exact"/>
        <w:rPr>
          <w:sz w:val="20"/>
          <w:szCs w:val="20"/>
          <w:color w:val="auto"/>
        </w:rPr>
      </w:pPr>
    </w:p>
    <w:p>
      <w:pPr>
        <w:ind w:left="2560"/>
        <w:spacing w:after="0"/>
        <w:tabs>
          <w:tab w:leader="none" w:pos="5140" w:val="left"/>
        </w:tabs>
        <w:rPr>
          <w:sz w:val="20"/>
          <w:szCs w:val="20"/>
          <w:color w:val="auto"/>
        </w:rPr>
      </w:pPr>
      <w:r>
        <w:rPr>
          <w:rFonts w:ascii="Arial" w:cs="Arial" w:eastAsia="Arial" w:hAnsi="Arial"/>
          <w:sz w:val="18"/>
          <w:szCs w:val="18"/>
          <w:b w:val="1"/>
          <w:bCs w:val="1"/>
          <w:color w:val="auto"/>
        </w:rPr>
        <w:t>(Award in connection with</w:t>
      </w:r>
      <w:r>
        <w:rPr>
          <w:sz w:val="20"/>
          <w:szCs w:val="20"/>
          <w:color w:val="auto"/>
        </w:rPr>
        <w:tab/>
      </w:r>
      <w:r>
        <w:rPr>
          <w:rFonts w:ascii="Arial" w:cs="Arial" w:eastAsia="Arial" w:hAnsi="Arial"/>
          <w:sz w:val="15"/>
          <w:szCs w:val="15"/>
          <w:b w:val="1"/>
          <w:bCs w:val="1"/>
          <w:color w:val="auto"/>
        </w:rPr>
        <w:t>bonus under the 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-17780</wp:posOffset>
            </wp:positionV>
            <wp:extent cx="33464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5320" w:hanging="108"/>
        <w:spacing w:after="0"/>
        <w:tabs>
          <w:tab w:leader="none" w:pos="53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Bonus Plan)</w:t>
      </w:r>
    </w:p>
    <w:p>
      <w:pPr>
        <w:spacing w:after="0" w:line="151" w:lineRule="exact"/>
        <w:rPr>
          <w:rFonts w:ascii="Arial" w:cs="Arial" w:eastAsia="Arial" w:hAnsi="Arial"/>
          <w:sz w:val="18"/>
          <w:szCs w:val="18"/>
          <w:b w:val="1"/>
          <w:bCs w:val="1"/>
          <w:color w:val="auto"/>
        </w:rPr>
      </w:pPr>
    </w:p>
    <w:p>
      <w:pPr>
        <w:ind w:left="6020" w:hanging="87"/>
        <w:spacing w:after="0"/>
        <w:tabs>
          <w:tab w:leader="none" w:pos="60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-245745</wp:posOffset>
            </wp:positionV>
            <wp:extent cx="44577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-13970</wp:posOffset>
            </wp:positionV>
            <wp:extent cx="55753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parties to this Restricted Share Award Agreement (this “Agreement”) are </w:t>
      </w:r>
      <w:r>
        <w:rPr>
          <w:rFonts w:ascii="Arial" w:cs="Arial" w:eastAsia="Arial" w:hAnsi="Arial"/>
          <w:sz w:val="16"/>
          <w:szCs w:val="16"/>
          <w:b w:val="1"/>
          <w:bCs w:val="1"/>
          <w:color w:val="auto"/>
        </w:rPr>
        <w:t>Federal Realty Investment Trust</w:t>
      </w:r>
      <w:r>
        <w:rPr>
          <w:rFonts w:ascii="Arial" w:cs="Arial" w:eastAsia="Arial" w:hAnsi="Arial"/>
          <w:sz w:val="16"/>
          <w:szCs w:val="16"/>
          <w:color w:val="auto"/>
        </w:rPr>
        <w:t>, a Maryland real estate investment trust</w:t>
      </w:r>
    </w:p>
    <w:p>
      <w:pPr>
        <w:spacing w:after="0" w:line="44"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(the “Trust”), and</w:t>
      </w:r>
      <w:r>
        <w:rPr>
          <w:sz w:val="20"/>
          <w:szCs w:val="20"/>
          <w:color w:val="auto"/>
        </w:rPr>
        <w:tab/>
      </w:r>
      <w:r>
        <w:rPr>
          <w:rFonts w:ascii="Arial" w:cs="Arial" w:eastAsia="Arial" w:hAnsi="Arial"/>
          <w:sz w:val="16"/>
          <w:szCs w:val="16"/>
          <w:color w:val="auto"/>
        </w:rPr>
        <w:t>, an individual employee of the Trust (the “Key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-17780</wp:posOffset>
            </wp:positionV>
            <wp:extent cx="78041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Trustees of the Trust (the “Board of Trustees”) has authorized the award by the Trust to the Key Employee, under the Trust’s 2001 Long-Term Incentive Plan (the “Plan”) of a Restricted Share Award for a certain number of shares of beneficial interest of the Trust (the “Shares”), subject to certain restrictions and covenants on the part of Key Employee. The parties hereto desire to set forth in this Agreement their respective rights and obligations with respect to such Shares.</w:t>
      </w:r>
    </w:p>
    <w:p>
      <w:pPr>
        <w:spacing w:after="0" w:line="13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covenants set forth in this Agreement, and intending to be legally bound hereby, the parties hereto agree as follows:</w:t>
      </w:r>
    </w:p>
    <w:p>
      <w:pPr>
        <w:spacing w:after="0" w:line="175" w:lineRule="exact"/>
        <w:rPr>
          <w:sz w:val="20"/>
          <w:szCs w:val="20"/>
          <w:color w:val="auto"/>
        </w:rPr>
      </w:pPr>
    </w:p>
    <w:p>
      <w:pPr>
        <w:ind w:left="640" w:hanging="176"/>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Restricted Shares</w:t>
      </w:r>
      <w:r>
        <w:rPr>
          <w:rFonts w:ascii="Arial" w:cs="Arial" w:eastAsia="Arial" w:hAnsi="Arial"/>
          <w:sz w:val="18"/>
          <w:szCs w:val="18"/>
          <w:b w:val="1"/>
          <w:bCs w:val="1"/>
          <w:color w:val="auto"/>
        </w:rPr>
        <w:t>.</w:t>
      </w:r>
    </w:p>
    <w:p>
      <w:pPr>
        <w:spacing w:after="0" w:line="83" w:lineRule="exact"/>
        <w:rPr>
          <w:sz w:val="20"/>
          <w:szCs w:val="20"/>
          <w:color w:val="auto"/>
        </w:rPr>
      </w:pPr>
    </w:p>
    <w:p>
      <w:pPr>
        <w:ind w:left="900"/>
        <w:spacing w:after="0"/>
        <w:tabs>
          <w:tab w:leader="none" w:pos="6700" w:val="left"/>
          <w:tab w:leader="none" w:pos="7200" w:val="left"/>
          <w:tab w:leader="none" w:pos="10400" w:val="left"/>
          <w:tab w:leader="none" w:pos="10800" w:val="left"/>
        </w:tabs>
        <w:rPr>
          <w:sz w:val="20"/>
          <w:szCs w:val="20"/>
          <w:color w:val="auto"/>
        </w:rPr>
      </w:pPr>
      <w:r>
        <w:rPr>
          <w:rFonts w:ascii="Arial" w:cs="Arial" w:eastAsia="Arial" w:hAnsi="Arial"/>
          <w:sz w:val="18"/>
          <w:szCs w:val="18"/>
          <w:color w:val="auto"/>
        </w:rPr>
        <w:t>(a) The Trust hereby confirms the grant to the Key Employee, as of</w:t>
      </w:r>
      <w:r>
        <w:rPr>
          <w:sz w:val="20"/>
          <w:szCs w:val="20"/>
          <w:color w:val="auto"/>
        </w:rPr>
        <w:tab/>
      </w:r>
      <w:r>
        <w:rPr>
          <w:rFonts w:ascii="Arial" w:cs="Arial" w:eastAsia="Arial" w:hAnsi="Arial"/>
          <w:sz w:val="18"/>
          <w:szCs w:val="18"/>
          <w:color w:val="auto"/>
        </w:rPr>
        <w:t>, 200</w:t>
        <w:tab/>
        <w:t>(the “Grant Date”),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-13970</wp:posOffset>
            </wp:positionV>
            <wp:extent cx="9474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947420" cy="889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-13970</wp:posOffset>
            </wp:positionV>
            <wp:extent cx="12915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“Restricted Shares”), subject to the restrictions and other terms and conditions set forth herein and in the Plan.</w:t>
      </w:r>
    </w:p>
    <w:p>
      <w:pPr>
        <w:spacing w:after="0" w:line="70" w:lineRule="exact"/>
        <w:rPr>
          <w:sz w:val="20"/>
          <w:szCs w:val="20"/>
          <w:color w:val="auto"/>
        </w:rPr>
      </w:pPr>
    </w:p>
    <w:p>
      <w:pPr>
        <w:ind w:left="460" w:right="200" w:firstLine="443"/>
        <w:spacing w:after="0" w:line="294"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On or as soon as practicable after the Grant Date, the Trust shall cause one or more stock certificates representing the Restricted Shares to be registered in the name of the Key Employee. Such stock certificate or certificates shall be subject to such stop-transfer orders and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ectPr>
          <w:pgSz w:w="11900" w:h="16838" w:orient="portrait"/>
          <w:cols w:equalWidth="0" w:num="1">
            <w:col w:w="11420"/>
          </w:cols>
          <w:pgMar w:left="240" w:top="125" w:right="239" w:bottom="1440" w:gutter="0" w:footer="0" w:header="0"/>
        </w:sectPr>
      </w:pPr>
    </w:p>
    <w:bookmarkStart w:id="126" w:name="page127"/>
    <w:bookmarkEnd w:id="126"/>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certificate or certificates representing the Restricted Shares shall be held in custody by the Chief Financial Officer of the Trust until the Restricted Period (as hereinafter defined in Paragraph 3) with respect thereto shall have lapsed. Simultaneously with the execution and delivery of this Agreement, the Key Employee 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shall have expired. Upon forfeiture, in accordance with Paragraph 4, of all or any portion of the Restricted Shares, the certificate or certificates representing the forfeited Restricted Shares shall be canceled.</w:t>
      </w:r>
    </w:p>
    <w:p>
      <w:pPr>
        <w:spacing w:after="0" w:line="101" w:lineRule="exact"/>
        <w:rPr>
          <w:sz w:val="20"/>
          <w:szCs w:val="20"/>
          <w:color w:val="auto"/>
        </w:rPr>
      </w:pPr>
    </w:p>
    <w:p>
      <w:pPr>
        <w:ind w:left="640" w:hanging="17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Applicable to Restricted Shares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left="460" w:firstLine="443"/>
        <w:spacing w:after="0" w:line="268" w:lineRule="auto"/>
        <w:tabs>
          <w:tab w:leader="none" w:pos="113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Beginning on the Grant Date, the Key Employee shall have all rights and privileges of a stockholder with respect to the Restricted Shares, except that the following restrictions shall apply:</w:t>
      </w:r>
    </w:p>
    <w:p>
      <w:pPr>
        <w:spacing w:after="0" w:line="37" w:lineRule="exact"/>
        <w:rPr>
          <w:rFonts w:ascii="Arial" w:cs="Arial" w:eastAsia="Arial" w:hAnsi="Arial"/>
          <w:sz w:val="18"/>
          <w:szCs w:val="18"/>
          <w:color w:val="auto"/>
        </w:rPr>
      </w:pPr>
    </w:p>
    <w:p>
      <w:pPr>
        <w:ind w:left="920" w:right="520" w:firstLine="421"/>
        <w:spacing w:after="0" w:line="259" w:lineRule="auto"/>
        <w:tabs>
          <w:tab w:leader="none" w:pos="1549" w:val="left"/>
        </w:tabs>
        <w:numPr>
          <w:ilvl w:val="2"/>
          <w:numId w:val="107"/>
        </w:numPr>
        <w:rPr>
          <w:rFonts w:ascii="Arial" w:cs="Arial" w:eastAsia="Arial" w:hAnsi="Arial"/>
          <w:sz w:val="18"/>
          <w:szCs w:val="18"/>
          <w:color w:val="auto"/>
        </w:rPr>
      </w:pPr>
      <w:r>
        <w:rPr>
          <w:rFonts w:ascii="Arial" w:cs="Arial" w:eastAsia="Arial" w:hAnsi="Arial"/>
          <w:sz w:val="18"/>
          <w:szCs w:val="18"/>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during the Restricted Period (as hereinafter defined in Paragraph 3);</w:t>
      </w:r>
    </w:p>
    <w:p>
      <w:pPr>
        <w:spacing w:after="0" w:line="45" w:lineRule="exact"/>
        <w:rPr>
          <w:rFonts w:ascii="Arial" w:cs="Arial" w:eastAsia="Arial" w:hAnsi="Arial"/>
          <w:sz w:val="18"/>
          <w:szCs w:val="18"/>
          <w:color w:val="auto"/>
        </w:rPr>
      </w:pPr>
    </w:p>
    <w:p>
      <w:pPr>
        <w:ind w:left="1600" w:hanging="259"/>
        <w:spacing w:after="0"/>
        <w:tabs>
          <w:tab w:leader="none" w:pos="160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all or a portion of the Restricted Shares may be forfeited in accordance with Paragraph 4; and</w:t>
      </w:r>
    </w:p>
    <w:p>
      <w:pPr>
        <w:spacing w:after="0" w:line="76" w:lineRule="exact"/>
        <w:rPr>
          <w:rFonts w:ascii="Arial" w:cs="Arial" w:eastAsia="Arial" w:hAnsi="Arial"/>
          <w:sz w:val="18"/>
          <w:szCs w:val="18"/>
          <w:color w:val="auto"/>
        </w:rPr>
      </w:pPr>
    </w:p>
    <w:p>
      <w:pPr>
        <w:ind w:left="920" w:right="280" w:firstLine="421"/>
        <w:spacing w:after="0" w:line="259" w:lineRule="auto"/>
        <w:tabs>
          <w:tab w:leader="none" w:pos="1647"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45" w:lineRule="exact"/>
        <w:rPr>
          <w:rFonts w:ascii="Arial" w:cs="Arial" w:eastAsia="Arial" w:hAnsi="Arial"/>
          <w:sz w:val="18"/>
          <w:szCs w:val="18"/>
          <w:color w:val="auto"/>
        </w:rPr>
      </w:pPr>
    </w:p>
    <w:p>
      <w:pPr>
        <w:ind w:left="460" w:firstLine="443"/>
        <w:spacing w:after="0" w:line="259" w:lineRule="auto"/>
        <w:tabs>
          <w:tab w:leader="none" w:pos="113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127" w:name="page128"/>
    <w:bookmarkEnd w:id="127"/>
    <w:p>
      <w:pPr>
        <w:ind w:left="640" w:hanging="17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Period</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left="460" w:right="100" w:firstLine="443"/>
        <w:spacing w:after="0" w:line="268" w:lineRule="auto"/>
        <w:tabs>
          <w:tab w:leader="none" w:pos="113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restrictions set forth in Paragraph 2 shall apply for a period (the “Restricted Period”) from the Grant Date until such Restricted Period lapses as follows:</w:t>
      </w:r>
    </w:p>
    <w:p>
      <w:pPr>
        <w:spacing w:after="0" w:line="1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760" w:type="dxa"/>
            <w:vAlign w:val="bottom"/>
            <w:gridSpan w:val="2"/>
          </w:tcPr>
          <w:p>
            <w:pPr>
              <w:ind w:left="420"/>
              <w:spacing w:after="0"/>
              <w:rPr>
                <w:sz w:val="20"/>
                <w:szCs w:val="20"/>
                <w:color w:val="auto"/>
              </w:rPr>
            </w:pPr>
            <w:r>
              <w:rPr>
                <w:rFonts w:ascii="Arial" w:cs="Arial" w:eastAsia="Arial" w:hAnsi="Arial"/>
                <w:sz w:val="18"/>
                <w:szCs w:val="18"/>
                <w:color w:val="auto"/>
                <w:w w:val="94"/>
              </w:rPr>
              <w:t>(i) with respect to</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340" w:type="dxa"/>
            <w:vAlign w:val="bottom"/>
            <w:gridSpan w:val="9"/>
          </w:tcPr>
          <w:p>
            <w:pPr>
              <w:ind w:left="180"/>
              <w:spacing w:after="0"/>
              <w:rPr>
                <w:sz w:val="20"/>
                <w:szCs w:val="20"/>
                <w:color w:val="auto"/>
              </w:rPr>
            </w:pPr>
            <w:r>
              <w:rPr>
                <w:rFonts w:ascii="Arial" w:cs="Arial" w:eastAsia="Arial" w:hAnsi="Arial"/>
                <w:sz w:val="18"/>
                <w:szCs w:val="18"/>
                <w:color w:val="auto"/>
              </w:rPr>
              <w:t>) Restricted Shares, the Restricted Period shall lapse on</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200 ;</w:t>
            </w:r>
          </w:p>
        </w:tc>
      </w:tr>
      <w:tr>
        <w:trPr>
          <w:trHeight w:val="20"/>
        </w:trPr>
        <w:tc>
          <w:tcPr>
            <w:tcW w:w="14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720" w:type="dxa"/>
            <w:vAlign w:val="bottom"/>
            <w:gridSpan w:val="4"/>
          </w:tcPr>
          <w:p>
            <w:pPr>
              <w:ind w:left="420"/>
              <w:spacing w:after="0"/>
              <w:rPr>
                <w:sz w:val="20"/>
                <w:szCs w:val="20"/>
                <w:color w:val="auto"/>
              </w:rPr>
            </w:pPr>
            <w:r>
              <w:rPr>
                <w:rFonts w:ascii="Arial" w:cs="Arial" w:eastAsia="Arial" w:hAnsi="Arial"/>
                <w:sz w:val="18"/>
                <w:szCs w:val="18"/>
                <w:color w:val="auto"/>
                <w:w w:val="91"/>
              </w:rPr>
              <w:t>(ii) with respect to an additional</w:t>
            </w:r>
          </w:p>
        </w:tc>
        <w:tc>
          <w:tcPr>
            <w:tcW w:w="9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w w:val="92"/>
              </w:rPr>
              <w:t>) Restricted Shares, the Restricted Period shall lapse on</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96"/>
        </w:trPr>
        <w:tc>
          <w:tcPr>
            <w:tcW w:w="1400" w:type="dxa"/>
            <w:vAlign w:val="bottom"/>
            <w:tcBorders>
              <w:bottom w:val="single" w:sz="8" w:color="auto"/>
            </w:tcBorders>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4"/>
              </w:rPr>
              <w:t>, 200</w:t>
            </w:r>
          </w:p>
        </w:tc>
        <w:tc>
          <w:tcPr>
            <w:tcW w:w="80" w:type="dxa"/>
            <w:vAlign w:val="bottom"/>
            <w:tcBorders>
              <w:bottom w:val="single" w:sz="8" w:color="auto"/>
            </w:tcBorders>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 and</w:t>
            </w:r>
          </w:p>
        </w:tc>
        <w:tc>
          <w:tcPr>
            <w:tcW w:w="96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4"/>
        </w:trPr>
        <w:tc>
          <w:tcPr>
            <w:tcW w:w="3680" w:type="dxa"/>
            <w:vAlign w:val="bottom"/>
            <w:gridSpan w:val="6"/>
          </w:tcPr>
          <w:p>
            <w:pPr>
              <w:ind w:left="420"/>
              <w:spacing w:after="0"/>
              <w:rPr>
                <w:sz w:val="20"/>
                <w:szCs w:val="20"/>
                <w:color w:val="auto"/>
              </w:rPr>
            </w:pPr>
            <w:r>
              <w:rPr>
                <w:rFonts w:ascii="Arial" w:cs="Arial" w:eastAsia="Arial" w:hAnsi="Arial"/>
                <w:sz w:val="18"/>
                <w:szCs w:val="18"/>
                <w:color w:val="auto"/>
              </w:rPr>
              <w:t>(iii) with respect to the remaining</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6"/>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0"/>
              </w:rPr>
              <w:t>) Restricted Shares, the Restricted Period shall lapse on</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96"/>
        </w:trPr>
        <w:tc>
          <w:tcPr>
            <w:tcW w:w="1400" w:type="dxa"/>
            <w:vAlign w:val="bottom"/>
            <w:tcBorders>
              <w:bottom w:val="single" w:sz="8" w:color="auto"/>
            </w:tcBorders>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4"/>
              </w:rPr>
              <w:t>, 200</w:t>
            </w:r>
          </w:p>
        </w:tc>
        <w:tc>
          <w:tcPr>
            <w:tcW w:w="80" w:type="dxa"/>
            <w:vAlign w:val="bottom"/>
            <w:tcBorders>
              <w:bottom w:val="single" w:sz="8" w:color="auto"/>
            </w:tcBorders>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provided, however, that the Restricted Period for any particular Restricted Shares shall not lapse on the date set forth above unless the Key Employee has tendered to the Trust, on or before that date, the amount of any state and federal withholding tax obligation which will be imposed on the Trust by reason of the lapsing of the Restricted Period for such Restricted Shares on that date.</w:t>
      </w:r>
    </w:p>
    <w:p>
      <w:pPr>
        <w:spacing w:after="0" w:line="46" w:lineRule="exact"/>
        <w:rPr>
          <w:sz w:val="20"/>
          <w:szCs w:val="20"/>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Notwithstanding the foregoing and subject to the proviso below, the Restricted Period shall lapse as follows:</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as to all Restricted Shares in the event of the death or Disability of the Key Employee;</w:t>
      </w:r>
    </w:p>
    <w:p>
      <w:pPr>
        <w:spacing w:after="0" w:line="76" w:lineRule="exact"/>
        <w:rPr>
          <w:rFonts w:ascii="Arial" w:cs="Arial" w:eastAsia="Arial" w:hAnsi="Arial"/>
          <w:sz w:val="18"/>
          <w:szCs w:val="18"/>
          <w:color w:val="auto"/>
        </w:rPr>
      </w:pPr>
    </w:p>
    <w:p>
      <w:pPr>
        <w:ind w:left="920" w:firstLine="421"/>
        <w:spacing w:after="0" w:line="298" w:lineRule="auto"/>
        <w:tabs>
          <w:tab w:leader="none" w:pos="159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as to: (A) 50% of the then unvested Restricted Shares in the event of the Key Employee’s retirement on or after the Key Employee reaches the age of 58 but before the Key Employee reaches the age of 62; (B) 75% of the then unvested Restricted Shares in the event of the Key Employee’s retirement on or after the Key Employee reaches the age of 62 but before the Key Employee reaches the age of 65; and (C) all of the Restricted Shares in the event of the Key Employee’s retirement on or after the Key Employee reaches the age of 65;</w:t>
      </w:r>
    </w:p>
    <w:p>
      <w:pPr>
        <w:spacing w:after="0" w:line="18" w:lineRule="exact"/>
        <w:rPr>
          <w:rFonts w:ascii="Arial" w:cs="Arial" w:eastAsia="Arial" w:hAnsi="Arial"/>
          <w:sz w:val="16"/>
          <w:szCs w:val="16"/>
          <w:color w:val="auto"/>
        </w:rPr>
      </w:pPr>
    </w:p>
    <w:p>
      <w:pPr>
        <w:ind w:left="1640" w:hanging="299"/>
        <w:spacing w:after="0"/>
        <w:tabs>
          <w:tab w:leader="none" w:pos="164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as to all Restricted Shares in the event that the Key Employee is discharged by the Trust without Cause as defined in the Plan;</w:t>
      </w:r>
    </w:p>
    <w:p>
      <w:pPr>
        <w:spacing w:after="0" w:line="18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provided in any case that the Key Employee or his legal representative shall first tender, within ninety (90) days after the death, Disability or discharge without Cause, the amount of any state and federal withholding tax obligation which will be imposed on the Trust by reason of the lapsing of the Restricted Period for such Restricted Shares. For purposes of this Agreement, “Normal Retirement Date” means the date on which the Key Employee terminates active employment with the Trust on or after attainment of age 65, but does not include termination of the Key Employee’s employment by the Trust for Cause, and “Other Retirement Date” means the date, on or after the Key Employee’s attainment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8" w:name="page129"/>
    <w:bookmarkEnd w:id="128"/>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 55 but earlier than the Key Employee’s Normal Retirement Date, which is specifically approved and designated in writing by the Committee to be the date upon which the Key Employee retires for purposes of the Plan.</w:t>
      </w:r>
    </w:p>
    <w:p>
      <w:pPr>
        <w:spacing w:after="0" w:line="37" w:lineRule="exact"/>
        <w:rPr>
          <w:sz w:val="20"/>
          <w:szCs w:val="20"/>
          <w:color w:val="auto"/>
        </w:rPr>
      </w:pPr>
    </w:p>
    <w:p>
      <w:pPr>
        <w:ind w:left="460" w:firstLine="443"/>
        <w:spacing w:after="0" w:line="294" w:lineRule="auto"/>
        <w:tabs>
          <w:tab w:leader="none" w:pos="113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Also notwithstanding the foregoing, the Restricted Period shall lapse as to all Restricted Shares if the Key Employee shall incur an Involuntary Termination (as defined in the Plan) during the one year period commencing with the occurrence of a Change in Control, and in such event, the Trust shall deliver or cause to be delivered to the Key Employee within ten (10) business days after the Involuntary Termination one or more stock certificates representing those Shares as to which the Restricted Period shall have lapsed, provided that the Key Employee shall first tender the amount of any state and federal withholding tax obligation which will be imposed on the Trust by reason of the lapsing of the Restricted Period for such Restricted Shares.</w:t>
      </w:r>
    </w:p>
    <w:p>
      <w:pPr>
        <w:spacing w:after="0" w:line="96" w:lineRule="exact"/>
        <w:rPr>
          <w:rFonts w:ascii="Arial" w:cs="Arial" w:eastAsia="Arial" w:hAnsi="Arial"/>
          <w:sz w:val="16"/>
          <w:szCs w:val="16"/>
          <w:color w:val="auto"/>
        </w:rPr>
      </w:pPr>
    </w:p>
    <w:p>
      <w:pPr>
        <w:jc w:val="both"/>
        <w:ind w:right="180" w:firstLine="464"/>
        <w:spacing w:after="0" w:line="301" w:lineRule="auto"/>
        <w:tabs>
          <w:tab w:leader="none" w:pos="632"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If there is a termination of the Key Employee’s Service with the Trust for any reason, then all rights of the Key Employee to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then-remaining Restricted Shares, after giving application to Paragraphs 3(a), (b), and 3(c), shall terminate and be forfeited. In addition, in the event the Key Employee or his legal representative fails to tender to the Trust any required tax withholding amount in accordance with Paragraphs 3(a), 3(b), or 3(c) above by the date specified therein, then the Trust shall retain a portion of the Restricted Shares sufficient to meet its tax withholding obligation.</w:t>
      </w:r>
    </w:p>
    <w:p>
      <w:pPr>
        <w:spacing w:after="0" w:line="89" w:lineRule="exact"/>
        <w:rPr>
          <w:rFonts w:ascii="Arial" w:cs="Arial" w:eastAsia="Arial" w:hAnsi="Arial"/>
          <w:sz w:val="16"/>
          <w:szCs w:val="16"/>
          <w:b w:val="1"/>
          <w:bCs w:val="1"/>
          <w:color w:val="auto"/>
        </w:rPr>
      </w:pPr>
    </w:p>
    <w:p>
      <w:pPr>
        <w:ind w:right="260" w:firstLine="464"/>
        <w:spacing w:after="0" w:line="378" w:lineRule="auto"/>
        <w:tabs>
          <w:tab w:leader="none" w:pos="632"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Assignment</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shall be binding upon and inure to the benefit of the heirs and representatives of the Key Employee and the assigns and</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of the Trust, but neither this Agreement nor any rights hereunder shall be assignable or otherwise subject to hypothecation by the Key Employee.</w:t>
      </w:r>
    </w:p>
    <w:p>
      <w:pPr>
        <w:spacing w:after="0" w:line="37" w:lineRule="exact"/>
        <w:rPr>
          <w:rFonts w:ascii="Arial" w:cs="Arial" w:eastAsia="Arial" w:hAnsi="Arial"/>
          <w:sz w:val="15"/>
          <w:szCs w:val="15"/>
          <w:b w:val="1"/>
          <w:bCs w:val="1"/>
          <w:color w:val="auto"/>
        </w:rPr>
      </w:pPr>
    </w:p>
    <w:p>
      <w:pPr>
        <w:jc w:val="both"/>
        <w:ind w:right="380" w:firstLine="464"/>
        <w:spacing w:after="0" w:line="262" w:lineRule="auto"/>
        <w:tabs>
          <w:tab w:leader="none" w:pos="63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of the parties with respect to the subject matter hereof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 all prior agreements and understandings, oral or written, between the parties with respect thereto. This Agreement may be amended at any time by written agreement of the parties hereto.</w:t>
      </w:r>
    </w:p>
    <w:p>
      <w:pPr>
        <w:spacing w:after="0" w:line="118" w:lineRule="exact"/>
        <w:rPr>
          <w:rFonts w:ascii="Arial" w:cs="Arial" w:eastAsia="Arial" w:hAnsi="Arial"/>
          <w:sz w:val="18"/>
          <w:szCs w:val="18"/>
          <w:b w:val="1"/>
          <w:bCs w:val="1"/>
          <w:color w:val="auto"/>
        </w:rPr>
      </w:pPr>
    </w:p>
    <w:p>
      <w:pPr>
        <w:ind w:right="180" w:firstLine="464"/>
        <w:spacing w:after="0" w:line="275" w:lineRule="auto"/>
        <w:tabs>
          <w:tab w:leader="none" w:pos="63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its validity, interpretation, performance and enforcement shall be governed by the laws of the State of Maryland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conflict of laws provisions of such laws, and shall be construed in accordance therewith.</w:t>
      </w:r>
    </w:p>
    <w:p>
      <w:pPr>
        <w:spacing w:after="0" w:line="106" w:lineRule="exact"/>
        <w:rPr>
          <w:rFonts w:ascii="Arial" w:cs="Arial" w:eastAsia="Arial" w:hAnsi="Arial"/>
          <w:sz w:val="18"/>
          <w:szCs w:val="18"/>
          <w:b w:val="1"/>
          <w:bCs w:val="1"/>
          <w:color w:val="auto"/>
        </w:rPr>
      </w:pPr>
    </w:p>
    <w:p>
      <w:pPr>
        <w:ind w:right="160" w:firstLine="464"/>
        <w:spacing w:after="0" w:line="310" w:lineRule="auto"/>
        <w:tabs>
          <w:tab w:leader="none" w:pos="632"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for any reason, any provision of this Agreement is held invalid, such invalidity shall not affect any other provision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rest of such provision, together with all other provisions of this Agreement, shall to the full extent consistent with law continue in full force and effect.</w:t>
      </w:r>
    </w:p>
    <w:p>
      <w:pPr>
        <w:spacing w:after="0" w:line="175" w:lineRule="exact"/>
        <w:rPr>
          <w:sz w:val="20"/>
          <w:szCs w:val="20"/>
          <w:color w:val="auto"/>
        </w:rPr>
      </w:pPr>
    </w:p>
    <w:p>
      <w:pPr>
        <w:ind w:left="640" w:hanging="176"/>
        <w:spacing w:after="0"/>
        <w:tabs>
          <w:tab w:leader="none" w:pos="64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not confer upon the Key Employee any right with respect to continuance of employment by the Trust.</w:t>
      </w:r>
    </w:p>
    <w:p>
      <w:pPr>
        <w:spacing w:after="0" w:line="180" w:lineRule="exact"/>
        <w:rPr>
          <w:rFonts w:ascii="Arial" w:cs="Arial" w:eastAsia="Arial" w:hAnsi="Arial"/>
          <w:sz w:val="16"/>
          <w:szCs w:val="16"/>
          <w:b w:val="1"/>
          <w:bCs w:val="1"/>
          <w:color w:val="auto"/>
        </w:rPr>
      </w:pPr>
    </w:p>
    <w:p>
      <w:pPr>
        <w:ind w:firstLine="464"/>
        <w:spacing w:after="0" w:line="310" w:lineRule="auto"/>
        <w:tabs>
          <w:tab w:leader="none" w:pos="7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References to the Key Employee in any provision of this Agreement under circumstances where the provision should logically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83" w:lineRule="exact"/>
        <w:rPr>
          <w:rFonts w:ascii="Arial" w:cs="Arial" w:eastAsia="Arial" w:hAnsi="Arial"/>
          <w:sz w:val="16"/>
          <w:szCs w:val="16"/>
          <w:b w:val="1"/>
          <w:bCs w:val="1"/>
          <w:color w:val="auto"/>
        </w:rPr>
      </w:pPr>
    </w:p>
    <w:p>
      <w:pPr>
        <w:ind w:right="20" w:firstLine="464"/>
        <w:spacing w:after="0" w:line="310" w:lineRule="auto"/>
        <w:tabs>
          <w:tab w:leader="none" w:pos="71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Key Employee acknowledges that it is the Key Employee’s sole responsibility, and not the Trust’s, to file a timely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section 83(b) of the Internal Revenue Code, of 1986, as amended. The Key Employee acknowledges that he or she is relying on his or her own advisors with respect to the decision as to whether or not to file any section 83(b) election.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30" w:name="page131"/>
    <w:bookmarkEnd w:id="13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Trust has caused this Agreement to be duly executed and the Key Employee has hereunto set his hand effective as of the day and year first above written.</w:t>
      </w:r>
    </w:p>
    <w:p>
      <w:pPr>
        <w:spacing w:after="0" w:line="11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2540</wp:posOffset>
            </wp:positionV>
            <wp:extent cx="320738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00"/>
        <w:spacing w:after="0"/>
        <w:tabs>
          <w:tab w:leader="none" w:pos="6460" w:val="left"/>
        </w:tabs>
        <w:rPr>
          <w:sz w:val="20"/>
          <w:szCs w:val="20"/>
          <w:color w:val="auto"/>
        </w:rPr>
      </w:pPr>
      <w:r>
        <w:rPr>
          <w:rFonts w:ascii="Arial" w:cs="Arial" w:eastAsia="Arial" w:hAnsi="Arial"/>
          <w:sz w:val="18"/>
          <w:szCs w:val="18"/>
          <w:color w:val="auto"/>
        </w:rPr>
        <w:t>Title:</w:t>
        <w:tab/>
        <w:t>Chairman, Compensation Committee</w:t>
      </w:r>
    </w:p>
    <w:p>
      <w:pPr>
        <w:spacing w:after="0" w:line="21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WITNESS:</w:t>
      </w:r>
      <w:r>
        <w:rPr>
          <w:sz w:val="20"/>
          <w:szCs w:val="20"/>
          <w:color w:val="auto"/>
        </w:rPr>
        <w:tab/>
      </w:r>
      <w:r>
        <w:rPr>
          <w:rFonts w:ascii="Arial" w:cs="Arial" w:eastAsia="Arial" w:hAnsi="Arial"/>
          <w:sz w:val="18"/>
          <w:szCs w:val="18"/>
          <w:color w:val="auto"/>
        </w:rPr>
        <w:t>KEY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428" w:right="5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10.30</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Current Employees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COMBINED INCENTIVE AND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 FOR EMPLOYEES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ind w:left="460"/>
              <w:spacing w:after="0"/>
              <w:rPr>
                <w:sz w:val="20"/>
                <w:szCs w:val="20"/>
                <w:color w:val="auto"/>
              </w:rPr>
            </w:pPr>
            <w:r>
              <w:rPr>
                <w:rFonts w:ascii="Arial" w:cs="Arial" w:eastAsia="Arial" w:hAnsi="Arial"/>
                <w:sz w:val="18"/>
                <w:szCs w:val="18"/>
                <w:color w:val="auto"/>
                <w:w w:val="92"/>
              </w:rPr>
              <w:t>AGREEMENT (“Agreement”) dated this</w:t>
            </w:r>
          </w:p>
        </w:tc>
        <w:tc>
          <w:tcPr>
            <w:tcW w:w="540" w:type="dxa"/>
            <w:vAlign w:val="bottom"/>
          </w:tcPr>
          <w:p>
            <w:pPr>
              <w:spacing w:after="0"/>
              <w:rPr>
                <w:sz w:val="17"/>
                <w:szCs w:val="17"/>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3"/>
              </w:rPr>
              <w:t>day of</w:t>
            </w:r>
          </w:p>
        </w:tc>
        <w:tc>
          <w:tcPr>
            <w:tcW w:w="880" w:type="dxa"/>
            <w:vAlign w:val="bottom"/>
          </w:tcPr>
          <w:p>
            <w:pPr>
              <w:spacing w:after="0"/>
              <w:rPr>
                <w:sz w:val="17"/>
                <w:szCs w:val="17"/>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w w:val="92"/>
              </w:rPr>
              <w:t>, 200 , by and between FEDERAL REALTY INVESTMENT TRUST, a Maryland</w:t>
            </w:r>
          </w:p>
        </w:tc>
      </w:tr>
      <w:tr>
        <w:trPr>
          <w:trHeight w:val="20"/>
        </w:trPr>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196"/>
        </w:trPr>
        <w:tc>
          <w:tcPr>
            <w:tcW w:w="2960" w:type="dxa"/>
            <w:vAlign w:val="bottom"/>
          </w:tcPr>
          <w:p>
            <w:pPr>
              <w:spacing w:after="0" w:line="196" w:lineRule="exact"/>
              <w:rPr>
                <w:sz w:val="20"/>
                <w:szCs w:val="20"/>
                <w:color w:val="auto"/>
              </w:rPr>
            </w:pPr>
            <w:r>
              <w:rPr>
                <w:rFonts w:ascii="Arial" w:cs="Arial" w:eastAsia="Arial" w:hAnsi="Arial"/>
                <w:sz w:val="18"/>
                <w:szCs w:val="18"/>
                <w:color w:val="auto"/>
                <w:w w:val="90"/>
              </w:rPr>
              <w:t>real estate investment trust (“Trust”), and</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0" w:type="dxa"/>
            <w:vAlign w:val="bottom"/>
            <w:gridSpan w:val="5"/>
          </w:tcPr>
          <w:p>
            <w:pPr>
              <w:spacing w:after="0" w:line="196" w:lineRule="exact"/>
              <w:rPr>
                <w:sz w:val="20"/>
                <w:szCs w:val="20"/>
                <w:color w:val="auto"/>
              </w:rPr>
            </w:pPr>
            <w:r>
              <w:rPr>
                <w:rFonts w:ascii="Arial" w:cs="Arial" w:eastAsia="Arial" w:hAnsi="Arial"/>
                <w:sz w:val="18"/>
                <w:szCs w:val="18"/>
                <w:color w:val="auto"/>
              </w:rPr>
              <w:t>, an employee of the Trust (“Optionee”).</w:t>
            </w: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Trust desires to have Optionee continue in its employ and to provide Optionee with an incentive by sharing in the success of the Trust;</w:t>
      </w:r>
    </w:p>
    <w:p>
      <w:pPr>
        <w:spacing w:after="0" w:line="18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WHEREAS, in order to provide such an incentive to its key employees, the Trust has adopted the Federal Realty Investment Trust 2001 Long-Term Incentive Plan (“Plan”);</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WHEREAS, the Trust desires to grant, as set forth herein, to Optionee under the Plan (1) options that qualify as “Incentive Stock Options” within the meaning of Section 422 or any successor provision of the Internal Revenue Code of 1986, as amended (“Code”), and/or (2) options not intended to qualify as Incentive Stock Options (“Non-Qualified Stock Options”); 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unless otherwise provided herein, capitalized terms used in this Agreement shall have the meaning given them in the Plan;</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representations herein contained and intending to be legally bound, the parties hereto agree as follows:</w:t>
      </w:r>
    </w:p>
    <w:p>
      <w:pPr>
        <w:spacing w:after="0" w:line="112" w:lineRule="exact"/>
        <w:rPr>
          <w:sz w:val="20"/>
          <w:szCs w:val="20"/>
          <w:color w:val="auto"/>
        </w:rPr>
      </w:pPr>
    </w:p>
    <w:p>
      <w:pPr>
        <w:ind w:right="40" w:firstLine="464"/>
        <w:spacing w:after="0" w:line="293" w:lineRule="auto"/>
        <w:tabs>
          <w:tab w:leader="none" w:pos="63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of Shares and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 hereby grants to the Optionee an option (“Option”) to purchase the number of Shares set forth on the last page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this Agreement. The exercise price per Share of the Option shall be as is set forth on the last page of this Agreement, such price being the Fair Market Value per Share on the Grant Date of the Option. The portion of the Option indicated on the last page of this Agreement as an Incentive Stock Option is intended to be an Incentive Stock Option;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but only to the extent, that the provisions of this Agreement or the nature of any actions taken by the Optionee are inconsistent with the treatment of such portion of the Option as an Incentive Stock Option, such portion of the Option shall be deemed a Non-Qualified Stock Option. The other portion of the Option indicated on the last page of this Agreement is a Non-Qualified Stock Option.</w:t>
      </w:r>
    </w:p>
    <w:p>
      <w:pPr>
        <w:sectPr>
          <w:pgSz w:w="11900" w:h="16838" w:orient="portrait"/>
          <w:cols w:equalWidth="0" w:num="1">
            <w:col w:w="11420"/>
          </w:cols>
          <w:pgMar w:left="240" w:top="125" w:right="239" w:bottom="1440" w:gutter="0" w:footer="0" w:header="0"/>
        </w:sectPr>
      </w:pPr>
    </w:p>
    <w:bookmarkStart w:id="132" w:name="page133"/>
    <w:bookmarkEnd w:id="132"/>
    <w:p>
      <w:pPr>
        <w:ind w:left="-20" w:right="280" w:firstLine="464"/>
        <w:spacing w:after="0" w:line="339" w:lineRule="auto"/>
        <w:tabs>
          <w:tab w:leader="none" w:pos="612"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and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shall expire ten (10) years from the Grant Date, subject to earlier termination as set forth in Section 4.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Sections 3 and 4, the Option shall become exercisable in installments as set forth on the last page of this Agreement.</w:t>
      </w:r>
    </w:p>
    <w:p>
      <w:pPr>
        <w:spacing w:after="0" w:line="60" w:lineRule="exact"/>
        <w:rPr>
          <w:rFonts w:ascii="Arial" w:cs="Arial" w:eastAsia="Arial" w:hAnsi="Arial"/>
          <w:sz w:val="16"/>
          <w:szCs w:val="16"/>
          <w:b w:val="1"/>
          <w:bCs w:val="1"/>
          <w:color w:val="auto"/>
        </w:rPr>
      </w:pPr>
    </w:p>
    <w:p>
      <w:pPr>
        <w:ind w:left="-20" w:right="60" w:firstLine="464"/>
        <w:spacing w:after="0" w:line="301" w:lineRule="auto"/>
        <w:tabs>
          <w:tab w:leader="none" w:pos="612"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If the Optionee incurs an Involuntary Termination within the one year period commencing with a Change in Control, the Option,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it is outstanding and unexercised on the date of such Involuntary Termination shall become immediately and fully exercisable for the period indicated in Section 4(a)(i) below. The provisions of this Section 3 shall not be applicable to the Option if such Change in Control results from the Optionee’s beneficial ownership (within the meaning of Rule 13d-3 under the Exchange Act) of Shares or Trust Voting Securities.</w:t>
      </w:r>
    </w:p>
    <w:p>
      <w:pPr>
        <w:spacing w:after="0" w:line="89" w:lineRule="exact"/>
        <w:rPr>
          <w:rFonts w:ascii="Arial" w:cs="Arial" w:eastAsia="Arial" w:hAnsi="Arial"/>
          <w:sz w:val="16"/>
          <w:szCs w:val="16"/>
          <w:b w:val="1"/>
          <w:bCs w:val="1"/>
          <w:color w:val="auto"/>
        </w:rPr>
      </w:pPr>
    </w:p>
    <w:p>
      <w:pPr>
        <w:ind w:left="620" w:hanging="176"/>
        <w:spacing w:after="0"/>
        <w:tabs>
          <w:tab w:leader="none" w:pos="6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 Upon Termination of Service</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left="1120" w:hanging="237"/>
        <w:spacing w:after="0"/>
        <w:tabs>
          <w:tab w:leader="none" w:pos="1120" w:val="left"/>
        </w:tabs>
        <w:numPr>
          <w:ilvl w:val="1"/>
          <w:numId w:val="114"/>
        </w:numPr>
        <w:rPr>
          <w:rFonts w:ascii="Arial" w:cs="Arial" w:eastAsia="Arial" w:hAnsi="Arial"/>
          <w:sz w:val="18"/>
          <w:szCs w:val="18"/>
          <w:color w:val="auto"/>
        </w:rPr>
      </w:pPr>
      <w:r>
        <w:rPr>
          <w:rFonts w:ascii="Arial" w:cs="Arial" w:eastAsia="Arial" w:hAnsi="Arial"/>
          <w:sz w:val="18"/>
          <w:szCs w:val="18"/>
          <w:i w:val="1"/>
          <w:iCs w:val="1"/>
          <w:u w:val="single" w:color="auto"/>
          <w:color w:val="auto"/>
        </w:rPr>
        <w:t>Exercise of Vested Option Upon Termination of Service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00" w:firstLine="421"/>
        <w:spacing w:after="0" w:line="287" w:lineRule="auto"/>
        <w:tabs>
          <w:tab w:leader="none" w:pos="1529" w:val="left"/>
        </w:tabs>
        <w:numPr>
          <w:ilvl w:val="2"/>
          <w:numId w:val="114"/>
        </w:numPr>
        <w:rPr>
          <w:rFonts w:ascii="Arial" w:cs="Arial" w:eastAsia="Arial" w:hAnsi="Arial"/>
          <w:sz w:val="16"/>
          <w:szCs w:val="16"/>
          <w:color w:val="auto"/>
        </w:rPr>
      </w:pPr>
      <w:r>
        <w:rPr>
          <w:rFonts w:ascii="Arial" w:cs="Arial" w:eastAsia="Arial" w:hAnsi="Arial"/>
          <w:sz w:val="16"/>
          <w:szCs w:val="16"/>
          <w:u w:val="single" w:color="auto"/>
          <w:color w:val="auto"/>
        </w:rPr>
        <w:t>Termination of Service</w:t>
      </w:r>
      <w:r>
        <w:rPr>
          <w:rFonts w:ascii="Arial" w:cs="Arial" w:eastAsia="Arial" w:hAnsi="Arial"/>
          <w:sz w:val="16"/>
          <w:szCs w:val="16"/>
          <w:color w:val="auto"/>
        </w:rPr>
        <w:t xml:space="preserve">. Upon the Optionee’s Termination of Service other than by reason of death, Disability, retirement on or after the Optionee’s Normal Retirement Date or Other Retirement Date, or Involuntary Termination within the one year period commencing with a Change in Control the Optionee may, within [three months] [one year in the case of Form 4 reporting officers] from the date of such termination of Service, exercise all or any part of the Option to the extent it was exercisable at the date of termination of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such termination of Service is for Cause, the right of the Optionee to exercise the Option shall terminate at the date of termination of Service. In no event may the Option be exercised later than the expiration date described in Section 2. For purposes of this Agreement, “Normal Retirement Date” means the date on which the Optionee terminates active employment with the Trust on or after attainment of age 65, but does not include termination of the Optionee’s employment by the Trust for Cause, and “Other Retirement Date” means the date, on or after the Optionee’s attainment of age 55 but earlier than the Optionee’s Normal Retirement Date, which is specifically approved and designated in writing by the Committee to be the date upon which the Optionee retires for purposes of this Agreement.</w:t>
      </w:r>
    </w:p>
    <w:p>
      <w:pPr>
        <w:spacing w:after="0" w:line="28" w:lineRule="exact"/>
        <w:rPr>
          <w:rFonts w:ascii="Arial" w:cs="Arial" w:eastAsia="Arial" w:hAnsi="Arial"/>
          <w:sz w:val="16"/>
          <w:szCs w:val="16"/>
          <w:color w:val="auto"/>
        </w:rPr>
      </w:pPr>
    </w:p>
    <w:p>
      <w:pPr>
        <w:ind w:left="900" w:right="380" w:firstLine="421"/>
        <w:spacing w:after="0" w:line="268" w:lineRule="auto"/>
        <w:tabs>
          <w:tab w:leader="none" w:pos="1578" w:val="left"/>
        </w:tabs>
        <w:numPr>
          <w:ilvl w:val="2"/>
          <w:numId w:val="114"/>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Upon the Optionee’s termination of Service by reason of retirement on or after the Optionee’s Normal Retirement Date or Other Retirement Date, the Optionee may, within two years after such termination of Service,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133" w:name="page134"/>
    <w:bookmarkEnd w:id="133"/>
    <w:p>
      <w:pPr>
        <w:ind w:left="46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all or a part of the Option to the extent that it was exercisable upon such termination of Service. In no event, however, may the Option be exercised later than the expiration date described in Section 2.</w:t>
      </w:r>
    </w:p>
    <w:p>
      <w:pPr>
        <w:spacing w:after="0" w:line="37" w:lineRule="exact"/>
        <w:rPr>
          <w:sz w:val="20"/>
          <w:szCs w:val="20"/>
          <w:color w:val="auto"/>
        </w:rPr>
      </w:pPr>
    </w:p>
    <w:p>
      <w:pPr>
        <w:ind w:left="460" w:right="420" w:firstLine="421"/>
        <w:spacing w:after="0" w:line="306" w:lineRule="auto"/>
        <w:tabs>
          <w:tab w:leader="none" w:pos="1187"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Upon the Optionee’s termination of Service by reason of Disability, all Options shall become immediately exercisable notwithstanding anything to the contrary set forth in this Agreement, and the Optionee may, within two years after such termination of Service, exercise all or a part of the Option. In no event, however, may the Option be exercised later than the expiration date described in Section 2.</w:t>
      </w:r>
    </w:p>
    <w:p>
      <w:pPr>
        <w:spacing w:after="0" w:line="12" w:lineRule="exact"/>
        <w:rPr>
          <w:rFonts w:ascii="Arial" w:cs="Arial" w:eastAsia="Arial" w:hAnsi="Arial"/>
          <w:sz w:val="16"/>
          <w:szCs w:val="16"/>
          <w:color w:val="auto"/>
        </w:rPr>
      </w:pPr>
    </w:p>
    <w:p>
      <w:pPr>
        <w:ind w:left="1180" w:hanging="299"/>
        <w:spacing w:after="0"/>
        <w:tabs>
          <w:tab w:leader="none" w:pos="118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In the event of the death of the Optionee while employed by the Trust, all Options shall become immediately exercisable</w:t>
      </w:r>
    </w:p>
    <w:p>
      <w:pPr>
        <w:spacing w:after="0" w:line="38" w:lineRule="exact"/>
        <w:rPr>
          <w:rFonts w:ascii="Arial" w:cs="Arial" w:eastAsia="Arial" w:hAnsi="Arial"/>
          <w:sz w:val="16"/>
          <w:szCs w:val="16"/>
          <w:color w:val="auto"/>
        </w:rPr>
      </w:pPr>
    </w:p>
    <w:p>
      <w:pPr>
        <w:ind w:left="460"/>
        <w:spacing w:after="0" w:line="287" w:lineRule="auto"/>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In the event of the death of the Optionee while employed by the Trust or within the additional period of time from the date of termination of Service by reason of Disability or retirement on or after the Optionee’s Normal Retirement Date or Other Retirement Date and prior to the expiration of the Option as provided in Sections 4(a)(ii) and (iii), the right of the Optionee’s beneficiary to exercise the Option shall expire upon the expiration of two years from the date of the Optionee’s death (but in no event more than two years from the Optionee’s termination of Service by reason of retirement on or after the Optionee’s Normal Retirement Date or Other Retirement Date or Disability, as the case may be) or, if earlier, on the date of expiration of the Option determined pursuant to Section 2. In all other cases of death following the Optionee’s termination of Service, the Optionee’s beneficiary may exercise the Option within the remaining time, if any, provided in Section 4(a)(i).</w:t>
      </w:r>
    </w:p>
    <w:p>
      <w:pPr>
        <w:spacing w:after="0" w:line="29" w:lineRule="exact"/>
        <w:rPr>
          <w:rFonts w:ascii="Arial" w:cs="Arial" w:eastAsia="Arial" w:hAnsi="Arial"/>
          <w:sz w:val="16"/>
          <w:szCs w:val="16"/>
          <w:color w:val="auto"/>
        </w:rPr>
      </w:pPr>
    </w:p>
    <w:p>
      <w:pPr>
        <w:ind w:left="460" w:right="200" w:firstLine="421"/>
        <w:spacing w:after="0" w:line="259" w:lineRule="auto"/>
        <w:tabs>
          <w:tab w:leader="none" w:pos="1128"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If the Optionee incurs an Involuntary Termination within the one year period commencing with a Change in Control, the Option shall remain exercisable for a period ending on the date which is the earlier of (A) the first anniversary of the termination of the Optionee’s Service or (B) the expiration date described in Section 2.</w:t>
      </w:r>
    </w:p>
    <w:p>
      <w:pPr>
        <w:spacing w:after="0" w:line="45" w:lineRule="exact"/>
        <w:rPr>
          <w:rFonts w:ascii="Arial" w:cs="Arial" w:eastAsia="Arial" w:hAnsi="Arial"/>
          <w:sz w:val="18"/>
          <w:szCs w:val="18"/>
          <w:color w:val="auto"/>
        </w:rPr>
      </w:pPr>
    </w:p>
    <w:p>
      <w:pPr>
        <w:ind w:right="100" w:firstLine="443"/>
        <w:spacing w:after="0" w:line="332" w:lineRule="auto"/>
        <w:tabs>
          <w:tab w:leader="none" w:pos="687" w:val="left"/>
        </w:tabs>
        <w:numPr>
          <w:ilvl w:val="0"/>
          <w:numId w:val="116"/>
        </w:numPr>
        <w:rPr>
          <w:rFonts w:ascii="Arial" w:cs="Arial" w:eastAsia="Arial" w:hAnsi="Arial"/>
          <w:sz w:val="16"/>
          <w:szCs w:val="16"/>
          <w:color w:val="auto"/>
        </w:rPr>
      </w:pPr>
      <w:r>
        <w:rPr>
          <w:rFonts w:ascii="Arial" w:cs="Arial" w:eastAsia="Arial" w:hAnsi="Arial"/>
          <w:sz w:val="16"/>
          <w:szCs w:val="16"/>
          <w:i w:val="1"/>
          <w:iCs w:val="1"/>
          <w:u w:val="single" w:color="auto"/>
          <w:color w:val="auto"/>
        </w:rPr>
        <w:t>Exercise of Unvested Option Upon Termination of Service</w:t>
      </w:r>
      <w:r>
        <w:rPr>
          <w:rFonts w:ascii="Arial" w:cs="Arial" w:eastAsia="Arial" w:hAnsi="Arial"/>
          <w:sz w:val="16"/>
          <w:szCs w:val="16"/>
          <w:color w:val="auto"/>
        </w:rPr>
        <w:t>. Subject to Section 3, to the extent all or any part of the Option was not exercisable as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date of termination of Service, the unexercisable portion of the Option shall expire at the date of such termination of Service.</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134" w:name="page135"/>
    <w:bookmarkEnd w:id="134"/>
    <w:p>
      <w:pPr>
        <w:ind w:left="180" w:hanging="176"/>
        <w:spacing w:after="0"/>
        <w:tabs>
          <w:tab w:leader="none" w:pos="1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Procedures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right="60" w:firstLine="443"/>
        <w:spacing w:after="0" w:line="294" w:lineRule="auto"/>
        <w:tabs>
          <w:tab w:leader="none" w:pos="677" w:val="left"/>
        </w:tabs>
        <w:numPr>
          <w:ilvl w:val="1"/>
          <w:numId w:val="117"/>
        </w:numPr>
        <w:rPr>
          <w:rFonts w:ascii="Arial" w:cs="Arial" w:eastAsia="Arial" w:hAnsi="Arial"/>
          <w:sz w:val="16"/>
          <w:szCs w:val="16"/>
          <w:color w:val="auto"/>
        </w:rPr>
      </w:pPr>
      <w:r>
        <w:rPr>
          <w:rFonts w:ascii="Arial" w:cs="Arial" w:eastAsia="Arial" w:hAnsi="Arial"/>
          <w:sz w:val="16"/>
          <w:szCs w:val="16"/>
          <w:i w:val="1"/>
          <w:iCs w:val="1"/>
          <w:u w:val="single" w:color="auto"/>
          <w:color w:val="auto"/>
        </w:rPr>
        <w:t>Method of Exercise</w:t>
      </w:r>
      <w:r>
        <w:rPr>
          <w:rFonts w:ascii="Arial" w:cs="Arial" w:eastAsia="Arial" w:hAnsi="Arial"/>
          <w:sz w:val="16"/>
          <w:szCs w:val="16"/>
          <w:color w:val="auto"/>
        </w:rPr>
        <w:t>. The Option shall be exercisable by written notice to the Trust, which must be received by the Secretary of the Trust not later</w:t>
      </w:r>
      <w:r>
        <w:rPr>
          <w:rFonts w:ascii="Arial" w:cs="Arial" w:eastAsia="Arial" w:hAnsi="Arial"/>
          <w:sz w:val="16"/>
          <w:szCs w:val="16"/>
          <w:i w:val="1"/>
          <w:iCs w:val="1"/>
          <w:color w:val="auto"/>
        </w:rPr>
        <w:t xml:space="preserve"> </w:t>
      </w:r>
      <w:r>
        <w:rPr>
          <w:rFonts w:ascii="Arial" w:cs="Arial" w:eastAsia="Arial" w:hAnsi="Arial"/>
          <w:sz w:val="16"/>
          <w:szCs w:val="16"/>
          <w:color w:val="auto"/>
        </w:rPr>
        <w:t>than 5:00 P.M. local time at the principal executive office of the Trust on the expiration date of the Option. Such written notice shall set forth (a) the number of Shares being purchased and whether those Shares are issuable as a result of the exercise of the Incentive Stock Option portion of the Option or the Non-Qualified Stock Option portion of the Option, (b) the total exercise price for the Shares being purchased, (c) the exact name as it should appear on the stock certificate(s) to be issued for the Shares being purchased, and (d) the address to which the stock certificate(s) should be sent.</w:t>
      </w:r>
    </w:p>
    <w:p>
      <w:pPr>
        <w:spacing w:after="0" w:line="21" w:lineRule="exact"/>
        <w:rPr>
          <w:rFonts w:ascii="Arial" w:cs="Arial" w:eastAsia="Arial" w:hAnsi="Arial"/>
          <w:sz w:val="16"/>
          <w:szCs w:val="16"/>
          <w:color w:val="auto"/>
        </w:rPr>
      </w:pPr>
    </w:p>
    <w:p>
      <w:pPr>
        <w:ind w:firstLine="443"/>
        <w:spacing w:after="0" w:line="294" w:lineRule="auto"/>
        <w:tabs>
          <w:tab w:leader="none" w:pos="687" w:val="left"/>
        </w:tabs>
        <w:numPr>
          <w:ilvl w:val="1"/>
          <w:numId w:val="117"/>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of Exercise Price</w:t>
      </w:r>
      <w:r>
        <w:rPr>
          <w:rFonts w:ascii="Arial" w:cs="Arial" w:eastAsia="Arial" w:hAnsi="Arial"/>
          <w:sz w:val="16"/>
          <w:szCs w:val="16"/>
          <w:color w:val="auto"/>
        </w:rPr>
        <w:t>. The exercise price of Shares purchased upon exercise of the Option shall be paid in full (a) in cash, (b) by delivery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Trust of Shares which if acquired from the Trust shall have been held by the Optionee for at least six months, (c) in any combination of cash and Shares, or (d) by delivery of such other consideration as the Committee deems appropriate and in compliance with applicable law (including payment in accordance with a cashless exercise program under which, if so instructed by the Optionee, Shares may be issued directly to the Optionee’s broker or dealer against receipt of the exercise price in cash from the broker or dealer).</w:t>
      </w:r>
    </w:p>
    <w:p>
      <w:pPr>
        <w:spacing w:after="0" w:line="21"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In the event that any Shares shall be transferred to the Trust to satisfy all or any part of the exercise price, the part of the exercise price deemed to have been satisfied by such transfer of Shares shall be equal to the product derived by multiplying the Fair Market Value as of the date of exercise times the number of Shares transferred to the Trust. The Optionee may not transfer to the Trust in satisfaction of the exercise price any fraction of a Share, and any portion of the exercise price that would represent less than a full Share must be paid in cash by the Optionee. If payment in full or part is to be made in the form of Restricted Shares, an equivalent number of Shares issued on exercise of the Option shall be subject to the same restrictions and conditions for the remainder of the Award Period applicable to the Restricted Shares surrendered therefor.</w:t>
      </w:r>
    </w:p>
    <w:p>
      <w:pPr>
        <w:spacing w:after="0" w:line="26" w:lineRule="exact"/>
        <w:rPr>
          <w:sz w:val="20"/>
          <w:szCs w:val="20"/>
          <w:color w:val="auto"/>
        </w:rPr>
      </w:pPr>
    </w:p>
    <w:p>
      <w:pPr>
        <w:ind w:right="40" w:firstLine="443"/>
        <w:spacing w:after="0" w:line="256" w:lineRule="auto"/>
        <w:tabs>
          <w:tab w:leader="none" w:pos="677" w:val="left"/>
        </w:tabs>
        <w:numPr>
          <w:ilvl w:val="0"/>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Delivery of Certificate</w:t>
      </w:r>
      <w:r>
        <w:rPr>
          <w:rFonts w:ascii="Arial" w:cs="Arial" w:eastAsia="Arial" w:hAnsi="Arial"/>
          <w:sz w:val="18"/>
          <w:szCs w:val="18"/>
          <w:color w:val="auto"/>
        </w:rPr>
        <w:t>. Subject to Section 9 hereof, certificates for the purchased Shares will be issued and delivered to the Optionee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practicable after the receipt of payment of the exercise price in accordance with Section 5(b)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delivery of any such Shares shall be deemed effected for all purposes when a stock transfer agent of the Trust shall have deposited such certificates in the United States mail, addressed to Optionee, at the address set forth on</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135" w:name="page136"/>
    <w:bookmarkEnd w:id="135"/>
    <w:p>
      <w:pPr>
        <w:ind w:left="30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last page of this Agreement or to such other address as Optionee may from time to time designate in a written notice to the Trust. The Optionee shall not be deemed for any purpose to be a shareholder of the Trust in respect of any Shares as to which the Option shall not have been exercised, as herein provided, until such Shares have been issued to Optionee by the Trust hereunder.</w:t>
      </w:r>
    </w:p>
    <w:p>
      <w:pPr>
        <w:spacing w:after="0" w:line="121" w:lineRule="exact"/>
        <w:rPr>
          <w:sz w:val="20"/>
          <w:szCs w:val="20"/>
          <w:color w:val="auto"/>
        </w:rPr>
      </w:pPr>
    </w:p>
    <w:p>
      <w:pPr>
        <w:ind w:left="-160" w:right="80" w:firstLine="464"/>
        <w:spacing w:after="0" w:line="256" w:lineRule="auto"/>
        <w:tabs>
          <w:tab w:leader="none" w:pos="47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Provisions Control Option Terms; Modifications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granted pursuant and subject to the terms and conditions of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of which are incorporated herein by reference. In the event any provision of this Agreement shall conflict with any of the terms in the Plan as constituted on the Grant Date, the terms of the Plan as constituted on the Grant Date shall control. The Option shall not be modified after the Grant Date except by express written agreement between the Trust and the Optionee;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modification (a) shall not be inconsistent with the terms of the Plan, and (b) shall be approved by the Committee.</w:t>
      </w:r>
    </w:p>
    <w:p>
      <w:pPr>
        <w:spacing w:after="0" w:line="125" w:lineRule="exact"/>
        <w:rPr>
          <w:rFonts w:ascii="Arial" w:cs="Arial" w:eastAsia="Arial" w:hAnsi="Arial"/>
          <w:sz w:val="18"/>
          <w:szCs w:val="18"/>
          <w:b w:val="1"/>
          <w:bCs w:val="1"/>
          <w:color w:val="auto"/>
        </w:rPr>
      </w:pPr>
    </w:p>
    <w:p>
      <w:pPr>
        <w:ind w:left="-160" w:firstLine="464"/>
        <w:spacing w:after="0" w:line="290" w:lineRule="auto"/>
        <w:tabs>
          <w:tab w:leader="none" w:pos="472"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Limitations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in this Section 7, the Option may not be assigned or transferred other than by will or the laws of descent</w:t>
      </w:r>
      <w:r>
        <w:rPr>
          <w:rFonts w:ascii="Arial" w:cs="Arial" w:eastAsia="Arial" w:hAnsi="Arial"/>
          <w:sz w:val="16"/>
          <w:szCs w:val="16"/>
          <w:b w:val="1"/>
          <w:bCs w:val="1"/>
          <w:color w:val="auto"/>
        </w:rPr>
        <w:t xml:space="preserve"> </w:t>
      </w:r>
      <w:r>
        <w:rPr>
          <w:rFonts w:ascii="Arial" w:cs="Arial" w:eastAsia="Arial" w:hAnsi="Arial"/>
          <w:sz w:val="16"/>
          <w:szCs w:val="16"/>
          <w:color w:val="auto"/>
        </w:rPr>
        <w:t>and distribution. The Optionee may transfer, in a not for value transfer, all or part of this Option that is a Non-Qualified Stock Option to any Family Member (as defined in the Plan). For the purpose of this Section 7, a “not for value” transfer is a transfer which is (i) a gift, (ii) a transfer under a domestic relations order in settlement of marital property rights; or (iii) a transfer to an entity in which more than fifty percent of the voting interests are owned by Family Members (or the Optionee) in exchange for an interest in that entity. Following a transfer under this Section 7, the Option shall continue to be subject to the same terms and conditions as were applicable immediately prior to transfer. Subsequent transfers of transferred Options are prohibited except to Family Members of the original Optionee in accordance with this Section 7 or by will or the laws of descent and distribution. The Optionee’s beneficiary may exercise the Optionee’s rights hereunder only to the extent they were exercisable under this Agreement at the date of the death of the Optionee and are otherwise currently exercisable.</w:t>
      </w:r>
    </w:p>
    <w:p>
      <w:pPr>
        <w:spacing w:after="0" w:line="98" w:lineRule="exact"/>
        <w:rPr>
          <w:rFonts w:ascii="Arial" w:cs="Arial" w:eastAsia="Arial" w:hAnsi="Arial"/>
          <w:sz w:val="16"/>
          <w:szCs w:val="16"/>
          <w:b w:val="1"/>
          <w:bCs w:val="1"/>
          <w:color w:val="auto"/>
        </w:rPr>
      </w:pPr>
    </w:p>
    <w:p>
      <w:pPr>
        <w:ind w:left="-160" w:right="40" w:firstLine="464"/>
        <w:spacing w:after="0" w:line="258" w:lineRule="auto"/>
        <w:tabs>
          <w:tab w:leader="none" w:pos="47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 shall be entitled to withhold (or secure payment from the Optionee in lieu of withholding) the amount of any withholding or other tax</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law to be withheld or paid by the Trust with respect to any Shares issuable under this Agreement, or upon a disqualifying disposition of Shares received pursuant to the exercise of the portion of the Option that is an Incentive Stock Option, and the Trust may defer issuance of Shares upon the exercise of the Option unless the Trust is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400" w:top="280" w:right="379" w:bottom="1440" w:gutter="0" w:footer="0" w:header="0"/>
        </w:sectPr>
      </w:pPr>
    </w:p>
    <w:bookmarkStart w:id="136" w:name="page137"/>
    <w:bookmarkEnd w:id="13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indemnified to its satisfaction against any liability for any such tax. The amount of such withholding or tax payment shall be determined by the Committee or its delegate and shall be payable by the Optionee at such time as the Committee determines. The Optionee may satisfy his or her tax withholding obligation by the payment of cash to the Trust and/or by the withholding from the Option, at the appropriate time, of a number of Shares sufficient, based upon the Fair Market Value of such Shares, to satisfy such tax withholding requirements. The Committee shall be authorized, in its sole discretion, to establish such rules and procedures relating to any such withholding methods as it deems necessary or appropriate, including, without limitation, rules and procedures relating to elections to have Shares withheld upon exercise of the Option to meet such withholding obligations.</w:t>
      </w:r>
    </w:p>
    <w:p>
      <w:pPr>
        <w:spacing w:after="0" w:line="101" w:lineRule="exact"/>
        <w:rPr>
          <w:sz w:val="20"/>
          <w:szCs w:val="20"/>
          <w:color w:val="auto"/>
        </w:rPr>
      </w:pPr>
    </w:p>
    <w:p>
      <w:pPr>
        <w:ind w:right="20" w:firstLine="464"/>
        <w:spacing w:after="0" w:line="258" w:lineRule="auto"/>
        <w:tabs>
          <w:tab w:leader="none" w:pos="632"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Exercise in Violation of Law</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of the provisions of this Agreement, the Optionee hereby agrees that he or she will not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granted hereby, and that the Trust will not be obligated to issue any Shares to the Optionee hereunder, if the exercise thereof or the issuance of such Shares shall constitute a violation by the Optionee or the Trust of any provision of any law or regulation of any governmental authority. Any determination in this connection by the Committee shall be final, binding and conclusive.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15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2540</wp:posOffset>
            </wp:positionV>
            <wp:extent cx="320738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00"/>
        <w:spacing w:after="0"/>
        <w:tabs>
          <w:tab w:leader="none" w:pos="6460" w:val="left"/>
        </w:tabs>
        <w:rPr>
          <w:sz w:val="20"/>
          <w:szCs w:val="20"/>
          <w:color w:val="auto"/>
        </w:rPr>
      </w:pPr>
      <w:r>
        <w:rPr>
          <w:rFonts w:ascii="Arial" w:cs="Arial" w:eastAsia="Arial" w:hAnsi="Arial"/>
          <w:sz w:val="18"/>
          <w:szCs w:val="18"/>
          <w:color w:val="auto"/>
        </w:rPr>
        <w:t>Title:</w:t>
        <w:tab/>
        <w:t>Chairman, Compensation Committee</w:t>
      </w:r>
    </w:p>
    <w:p>
      <w:pPr>
        <w:spacing w:after="0" w:line="21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color w:val="auto"/>
        </w:rPr>
        <w:t>WITNESS:</w:t>
      </w:r>
      <w:r>
        <w:rPr>
          <w:sz w:val="20"/>
          <w:szCs w:val="20"/>
          <w:color w:val="auto"/>
        </w:rPr>
        <w:tab/>
      </w:r>
      <w:r>
        <w:rPr>
          <w:rFonts w:ascii="Arial" w:cs="Arial" w:eastAsia="Arial" w:hAnsi="Arial"/>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i w:val="1"/>
                <w:iCs w:val="1"/>
                <w:color w:val="auto"/>
                <w:w w:val="96"/>
              </w:rPr>
              <w:t>G</w:t>
            </w:r>
            <w:r>
              <w:rPr>
                <w:rFonts w:ascii="Arial" w:cs="Arial" w:eastAsia="Arial" w:hAnsi="Arial"/>
                <w:sz w:val="14"/>
                <w:szCs w:val="14"/>
                <w:i w:val="1"/>
                <w:iCs w:val="1"/>
                <w:color w:val="auto"/>
                <w:w w:val="96"/>
              </w:rPr>
              <w:t>RANT</w:t>
            </w:r>
            <w:r>
              <w:rPr>
                <w:rFonts w:ascii="Arial" w:cs="Arial" w:eastAsia="Arial" w:hAnsi="Arial"/>
                <w:sz w:val="18"/>
                <w:szCs w:val="18"/>
                <w:i w:val="1"/>
                <w:iCs w:val="1"/>
                <w:color w:val="auto"/>
                <w:w w:val="96"/>
              </w:rPr>
              <w:t xml:space="preserve"> D</w:t>
            </w:r>
            <w:r>
              <w:rPr>
                <w:rFonts w:ascii="Arial" w:cs="Arial" w:eastAsia="Arial" w:hAnsi="Arial"/>
                <w:sz w:val="14"/>
                <w:szCs w:val="14"/>
                <w:i w:val="1"/>
                <w:iCs w:val="1"/>
                <w:color w:val="auto"/>
                <w:w w:val="96"/>
              </w:rPr>
              <w:t>ATE</w:t>
            </w:r>
          </w:p>
        </w:tc>
        <w:tc>
          <w:tcPr>
            <w:tcW w:w="1220" w:type="dxa"/>
            <w:vAlign w:val="bottom"/>
            <w:gridSpan w:val="2"/>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w w:val="84"/>
              </w:rPr>
              <w:t>, 200</w:t>
            </w:r>
          </w:p>
        </w:tc>
        <w:tc>
          <w:tcPr>
            <w:tcW w:w="20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45"/>
        </w:trPr>
        <w:tc>
          <w:tcPr>
            <w:tcW w:w="4620" w:type="dxa"/>
            <w:vAlign w:val="bottom"/>
            <w:gridSpan w:val="6"/>
          </w:tcPr>
          <w:p>
            <w:pPr>
              <w:spacing w:after="0"/>
              <w:rPr>
                <w:sz w:val="20"/>
                <w:szCs w:val="20"/>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UMBER OF</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HARES</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UBJECT TO THE</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PTION</w:t>
            </w:r>
            <w:r>
              <w:rPr>
                <w:rFonts w:ascii="Arial" w:cs="Arial" w:eastAsia="Arial" w:hAnsi="Arial"/>
                <w:sz w:val="18"/>
                <w:szCs w:val="18"/>
                <w:i w:val="1"/>
                <w:iCs w:val="1"/>
                <w:color w:val="auto"/>
              </w:rPr>
              <w:t>:</w:t>
            </w:r>
          </w:p>
        </w:tc>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i w:val="1"/>
                <w:iCs w:val="1"/>
                <w:color w:val="auto"/>
                <w:w w:val="92"/>
              </w:rPr>
              <w:t>S</w:t>
            </w:r>
            <w:r>
              <w:rPr>
                <w:rFonts w:ascii="Arial" w:cs="Arial" w:eastAsia="Arial" w:hAnsi="Arial"/>
                <w:sz w:val="14"/>
                <w:szCs w:val="14"/>
                <w:i w:val="1"/>
                <w:iCs w:val="1"/>
                <w:color w:val="auto"/>
                <w:w w:val="92"/>
              </w:rPr>
              <w:t>HARES</w:t>
            </w:r>
          </w:p>
        </w:tc>
      </w:tr>
      <w:tr>
        <w:trPr>
          <w:trHeight w:val="196"/>
        </w:trPr>
        <w:tc>
          <w:tcPr>
            <w:tcW w:w="2180" w:type="dxa"/>
            <w:vAlign w:val="bottom"/>
            <w:gridSpan w:val="3"/>
          </w:tcPr>
          <w:p>
            <w:pPr>
              <w:ind w:left="440"/>
              <w:spacing w:after="0" w:line="196" w:lineRule="exact"/>
              <w:rPr>
                <w:sz w:val="20"/>
                <w:szCs w:val="20"/>
                <w:color w:val="auto"/>
              </w:rPr>
            </w:pPr>
            <w:r>
              <w:rPr>
                <w:rFonts w:ascii="Arial" w:cs="Arial" w:eastAsia="Arial" w:hAnsi="Arial"/>
                <w:sz w:val="18"/>
                <w:szCs w:val="18"/>
                <w:color w:val="auto"/>
                <w:w w:val="95"/>
              </w:rPr>
              <w:t>Incentive Stock Option</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87"/>
              </w:rPr>
              <w:t>Shares</w:t>
            </w:r>
          </w:p>
        </w:tc>
      </w:tr>
      <w:tr>
        <w:trPr>
          <w:trHeight w:val="196"/>
        </w:trPr>
        <w:tc>
          <w:tcPr>
            <w:tcW w:w="46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Non-Qualified Stock Option</w:t>
            </w:r>
          </w:p>
        </w:tc>
        <w:tc>
          <w:tcPr>
            <w:tcW w:w="4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87"/>
              </w:rPr>
              <w:t>Shares</w:t>
            </w:r>
          </w:p>
        </w:tc>
      </w:tr>
      <w:tr>
        <w:trPr>
          <w:trHeight w:val="412"/>
        </w:trPr>
        <w:tc>
          <w:tcPr>
            <w:tcW w:w="2180" w:type="dxa"/>
            <w:vAlign w:val="bottom"/>
            <w:gridSpan w:val="3"/>
          </w:tcPr>
          <w:p>
            <w:pPr>
              <w:spacing w:after="0"/>
              <w:rPr>
                <w:sz w:val="20"/>
                <w:szCs w:val="20"/>
                <w:color w:val="auto"/>
              </w:rPr>
            </w:pPr>
            <w:r>
              <w:rPr>
                <w:rFonts w:ascii="Arial" w:cs="Arial" w:eastAsia="Arial" w:hAnsi="Arial"/>
                <w:sz w:val="18"/>
                <w:szCs w:val="18"/>
                <w:i w:val="1"/>
                <w:iCs w:val="1"/>
                <w:color w:val="auto"/>
                <w:w w:val="99"/>
              </w:rPr>
              <w:t>E</w:t>
            </w:r>
            <w:r>
              <w:rPr>
                <w:rFonts w:ascii="Arial" w:cs="Arial" w:eastAsia="Arial" w:hAnsi="Arial"/>
                <w:sz w:val="14"/>
                <w:szCs w:val="14"/>
                <w:i w:val="1"/>
                <w:iCs w:val="1"/>
                <w:color w:val="auto"/>
                <w:w w:val="99"/>
              </w:rPr>
              <w:t>XERCISE</w:t>
            </w:r>
            <w:r>
              <w:rPr>
                <w:rFonts w:ascii="Arial" w:cs="Arial" w:eastAsia="Arial" w:hAnsi="Arial"/>
                <w:sz w:val="18"/>
                <w:szCs w:val="18"/>
                <w:i w:val="1"/>
                <w:iCs w:val="1"/>
                <w:color w:val="auto"/>
                <w:w w:val="99"/>
              </w:rPr>
              <w:t xml:space="preserve"> P</w:t>
            </w:r>
            <w:r>
              <w:rPr>
                <w:rFonts w:ascii="Arial" w:cs="Arial" w:eastAsia="Arial" w:hAnsi="Arial"/>
                <w:sz w:val="14"/>
                <w:szCs w:val="14"/>
                <w:i w:val="1"/>
                <w:iCs w:val="1"/>
                <w:color w:val="auto"/>
                <w:w w:val="99"/>
              </w:rPr>
              <w:t>RICE</w:t>
            </w:r>
            <w:r>
              <w:rPr>
                <w:rFonts w:ascii="Arial" w:cs="Arial" w:eastAsia="Arial" w:hAnsi="Arial"/>
                <w:sz w:val="18"/>
                <w:szCs w:val="18"/>
                <w:i w:val="1"/>
                <w:iCs w:val="1"/>
                <w:color w:val="auto"/>
                <w:w w:val="99"/>
              </w:rPr>
              <w:t xml:space="preserve"> P</w:t>
            </w:r>
            <w:r>
              <w:rPr>
                <w:rFonts w:ascii="Arial" w:cs="Arial" w:eastAsia="Arial" w:hAnsi="Arial"/>
                <w:sz w:val="14"/>
                <w:szCs w:val="14"/>
                <w:i w:val="1"/>
                <w:iCs w:val="1"/>
                <w:color w:val="auto"/>
                <w:w w:val="99"/>
              </w:rPr>
              <w:t>ER</w:t>
            </w:r>
            <w:r>
              <w:rPr>
                <w:rFonts w:ascii="Arial" w:cs="Arial" w:eastAsia="Arial" w:hAnsi="Arial"/>
                <w:sz w:val="18"/>
                <w:szCs w:val="18"/>
                <w:i w:val="1"/>
                <w:iCs w:val="1"/>
                <w:color w:val="auto"/>
                <w:w w:val="99"/>
              </w:rPr>
              <w:t xml:space="preserve"> S</w:t>
            </w:r>
            <w:r>
              <w:rPr>
                <w:rFonts w:ascii="Arial" w:cs="Arial" w:eastAsia="Arial" w:hAnsi="Arial"/>
                <w:sz w:val="14"/>
                <w:szCs w:val="14"/>
                <w:i w:val="1"/>
                <w:iCs w:val="1"/>
                <w:color w:val="auto"/>
                <w:w w:val="99"/>
              </w:rPr>
              <w:t>HARE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jc w:val="right"/>
              <w:ind w:right="66"/>
              <w:spacing w:after="0"/>
              <w:rPr>
                <w:sz w:val="20"/>
                <w:szCs w:val="20"/>
                <w:color w:val="auto"/>
              </w:rPr>
            </w:pPr>
            <w:r>
              <w:rPr>
                <w:rFonts w:ascii="Arial" w:cs="Arial" w:eastAsia="Arial" w:hAnsi="Arial"/>
                <w:sz w:val="18"/>
                <w:szCs w:val="18"/>
                <w:i w:val="1"/>
                <w:iCs w:val="1"/>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451"/>
        </w:trPr>
        <w:tc>
          <w:tcPr>
            <w:tcW w:w="4620" w:type="dxa"/>
            <w:vAlign w:val="bottom"/>
            <w:gridSpan w:val="6"/>
          </w:tcPr>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NSTALLMENT</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XERCISE</w:t>
            </w:r>
            <w:r>
              <w:rPr>
                <w:rFonts w:ascii="Arial" w:cs="Arial" w:eastAsia="Arial" w:hAnsi="Arial"/>
                <w:sz w:val="18"/>
                <w:szCs w:val="18"/>
                <w:i w:val="1"/>
                <w:iCs w:val="1"/>
                <w:color w:val="auto"/>
              </w:rPr>
              <w:t xml:space="preserve"> S</w:t>
            </w:r>
            <w:r>
              <w:rPr>
                <w:rFonts w:ascii="Arial" w:cs="Arial" w:eastAsia="Arial" w:hAnsi="Arial"/>
                <w:sz w:val="14"/>
                <w:szCs w:val="14"/>
                <w:i w:val="1"/>
                <w:iCs w:val="1"/>
                <w:color w:val="auto"/>
              </w:rPr>
              <w:t>CHEDULE</w:t>
            </w:r>
          </w:p>
        </w:tc>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86"/>
        </w:trPr>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180" w:type="dxa"/>
            <w:vAlign w:val="bottom"/>
            <w:gridSpan w:val="8"/>
          </w:tcPr>
          <w:p>
            <w:pPr>
              <w:jc w:val="center"/>
              <w:spacing w:after="0"/>
              <w:rPr>
                <w:sz w:val="20"/>
                <w:szCs w:val="20"/>
                <w:color w:val="auto"/>
              </w:rPr>
            </w:pPr>
            <w:r>
              <w:rPr>
                <w:rFonts w:ascii="Arial" w:cs="Arial" w:eastAsia="Arial" w:hAnsi="Arial"/>
                <w:sz w:val="14"/>
                <w:szCs w:val="14"/>
                <w:b w:val="1"/>
                <w:bCs w:val="1"/>
                <w:color w:val="auto"/>
                <w:w w:val="89"/>
              </w:rPr>
              <w:t>Cumulative Number of</w:t>
            </w:r>
          </w:p>
        </w:tc>
      </w:tr>
      <w:tr>
        <w:trPr>
          <w:trHeight w:val="149"/>
        </w:trPr>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18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83"/>
              </w:rPr>
              <w:t>Shares in Respect of</w:t>
            </w:r>
          </w:p>
        </w:tc>
      </w:tr>
      <w:tr>
        <w:trPr>
          <w:trHeight w:val="149"/>
        </w:trPr>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gridSpan w:val="7"/>
          </w:tcPr>
          <w:p>
            <w:pPr>
              <w:jc w:val="center"/>
              <w:ind w:right="452"/>
              <w:spacing w:after="0" w:line="149" w:lineRule="exact"/>
              <w:rPr>
                <w:sz w:val="20"/>
                <w:szCs w:val="20"/>
                <w:color w:val="auto"/>
              </w:rPr>
            </w:pPr>
            <w:r>
              <w:rPr>
                <w:rFonts w:ascii="Arial" w:cs="Arial" w:eastAsia="Arial" w:hAnsi="Arial"/>
                <w:sz w:val="14"/>
                <w:szCs w:val="14"/>
                <w:b w:val="1"/>
                <w:bCs w:val="1"/>
                <w:color w:val="auto"/>
                <w:w w:val="86"/>
              </w:rPr>
              <w:t>which Option is</w:t>
            </w:r>
          </w:p>
        </w:tc>
      </w:tr>
      <w:tr>
        <w:trPr>
          <w:trHeight w:val="174"/>
        </w:trPr>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7"/>
          </w:tcPr>
          <w:p>
            <w:pPr>
              <w:jc w:val="center"/>
              <w:ind w:right="452"/>
              <w:spacing w:after="0"/>
              <w:rPr>
                <w:sz w:val="20"/>
                <w:szCs w:val="20"/>
                <w:color w:val="auto"/>
              </w:rPr>
            </w:pPr>
            <w:r>
              <w:rPr>
                <w:rFonts w:ascii="Arial" w:cs="Arial" w:eastAsia="Arial" w:hAnsi="Arial"/>
                <w:sz w:val="14"/>
                <w:szCs w:val="14"/>
                <w:b w:val="1"/>
                <w:bCs w:val="1"/>
                <w:color w:val="auto"/>
                <w:w w:val="84"/>
              </w:rPr>
              <w:t>Exercisable</w:t>
            </w:r>
          </w:p>
        </w:tc>
      </w:tr>
      <w:tr>
        <w:trPr>
          <w:trHeight w:val="95"/>
        </w:trPr>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263"/>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Anniversary of Grant Date</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5"/>
              </w:rPr>
              <w:t>Incentive</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Non-Qualified</w:t>
            </w:r>
          </w:p>
        </w:tc>
      </w:tr>
      <w:tr>
        <w:trPr>
          <w:trHeight w:val="95"/>
        </w:trPr>
        <w:tc>
          <w:tcPr>
            <w:tcW w:w="9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309"/>
        </w:trPr>
        <w:tc>
          <w:tcPr>
            <w:tcW w:w="2180" w:type="dxa"/>
            <w:vAlign w:val="bottom"/>
            <w:gridSpan w:val="3"/>
          </w:tcPr>
          <w:p>
            <w:pPr>
              <w:spacing w:after="0"/>
              <w:rPr>
                <w:sz w:val="20"/>
                <w:szCs w:val="20"/>
                <w:color w:val="auto"/>
              </w:rPr>
            </w:pPr>
            <w:r>
              <w:rPr>
                <w:rFonts w:ascii="Arial" w:cs="Arial" w:eastAsia="Arial" w:hAnsi="Arial"/>
                <w:sz w:val="18"/>
                <w:szCs w:val="18"/>
                <w:color w:val="auto"/>
              </w:rPr>
              <w:t>Prior to 1</w:t>
            </w:r>
            <w:r>
              <w:rPr>
                <w:rFonts w:ascii="Arial" w:cs="Arial" w:eastAsia="Arial" w:hAnsi="Arial"/>
                <w:sz w:val="22"/>
                <w:szCs w:val="22"/>
                <w:color w:val="auto"/>
                <w:vertAlign w:val="superscript"/>
              </w:rPr>
              <w:t>st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w w:val="93"/>
              </w:rPr>
              <w:t>On and After 1st-Prior to 2nd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w w:val="93"/>
              </w:rPr>
              <w:t>On and After 2nd-Prior to 3rd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2180" w:type="dxa"/>
            <w:vAlign w:val="bottom"/>
            <w:gridSpan w:val="3"/>
          </w:tcPr>
          <w:p>
            <w:pPr>
              <w:spacing w:after="0"/>
              <w:rPr>
                <w:sz w:val="20"/>
                <w:szCs w:val="20"/>
                <w:color w:val="auto"/>
              </w:rPr>
            </w:pPr>
            <w:r>
              <w:rPr>
                <w:rFonts w:ascii="Arial" w:cs="Arial" w:eastAsia="Arial" w:hAnsi="Arial"/>
                <w:sz w:val="18"/>
                <w:szCs w:val="18"/>
                <w:color w:val="auto"/>
              </w:rPr>
              <w:t>On and After 3rd</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5"/>
        </w:trPr>
        <w:tc>
          <w:tcPr>
            <w:tcW w:w="2180" w:type="dxa"/>
            <w:vAlign w:val="bottom"/>
            <w:gridSpan w:val="3"/>
          </w:tcPr>
          <w:p>
            <w:pPr>
              <w:spacing w:after="0"/>
              <w:rPr>
                <w:sz w:val="20"/>
                <w:szCs w:val="20"/>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OTICE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DDRESSES</w:t>
            </w:r>
            <w:r>
              <w:rPr>
                <w:rFonts w:ascii="Arial" w:cs="Arial" w:eastAsia="Arial" w:hAnsi="Arial"/>
                <w:sz w:val="18"/>
                <w:szCs w:val="18"/>
                <w:i w:val="1"/>
                <w:iCs w:val="1"/>
                <w:color w:val="auto"/>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5"/>
        </w:trPr>
        <w:tc>
          <w:tcPr>
            <w:tcW w:w="2180" w:type="dxa"/>
            <w:vAlign w:val="bottom"/>
            <w:gridSpan w:val="3"/>
          </w:tcPr>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F TO THE</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RUST</w:t>
            </w:r>
            <w:r>
              <w:rPr>
                <w:rFonts w:ascii="Arial" w:cs="Arial" w:eastAsia="Arial" w:hAnsi="Arial"/>
                <w:sz w:val="18"/>
                <w:szCs w:val="18"/>
                <w:i w:val="1"/>
                <w:iCs w:val="1"/>
                <w:color w:val="auto"/>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160" w:type="dxa"/>
            <w:vAlign w:val="bottom"/>
            <w:gridSpan w:val="2"/>
          </w:tcPr>
          <w:p>
            <w:pPr>
              <w:ind w:left="1340"/>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F TO THE</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PTIONEE</w:t>
            </w:r>
            <w:r>
              <w:rPr>
                <w:rFonts w:ascii="Arial" w:cs="Arial" w:eastAsia="Arial" w:hAnsi="Arial"/>
                <w:sz w:val="18"/>
                <w:szCs w:val="18"/>
                <w:i w:val="1"/>
                <w:iCs w:val="1"/>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Secretary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57"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SUBSIDIARIES OF FEDERAL REALTY INVESTMENT TRUST</w:t>
      </w:r>
    </w:p>
    <w:p>
      <w:pPr>
        <w:spacing w:after="0" w:line="14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5"/>
              </w:rPr>
              <w:t>STATE OF INCORPORATION</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6"/>
              </w:rPr>
              <w:t>NAME OF SUBSIDIARY</w:t>
            </w:r>
          </w:p>
        </w:tc>
        <w:tc>
          <w:tcPr>
            <w:tcW w:w="322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9"/>
              </w:rPr>
              <w:t>OR ORGANIZATION</w:t>
            </w:r>
          </w:p>
        </w:tc>
      </w:tr>
      <w:tr>
        <w:trPr>
          <w:trHeight w:val="95"/>
        </w:trPr>
        <w:tc>
          <w:tcPr>
            <w:tcW w:w="244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r>
      <w:tr>
        <w:trPr>
          <w:trHeight w:val="316"/>
        </w:trPr>
        <w:tc>
          <w:tcPr>
            <w:tcW w:w="2440" w:type="dxa"/>
            <w:vAlign w:val="bottom"/>
          </w:tcPr>
          <w:p>
            <w:pPr>
              <w:jc w:val="center"/>
              <w:spacing w:after="0"/>
              <w:rPr>
                <w:sz w:val="20"/>
                <w:szCs w:val="20"/>
                <w:color w:val="auto"/>
              </w:rPr>
            </w:pPr>
            <w:r>
              <w:rPr>
                <w:rFonts w:ascii="Arial" w:cs="Arial" w:eastAsia="Arial" w:hAnsi="Arial"/>
                <w:sz w:val="18"/>
                <w:szCs w:val="18"/>
                <w:color w:val="auto"/>
                <w:w w:val="88"/>
              </w:rPr>
              <w:t>Street Retail, Inc</w:t>
            </w:r>
          </w:p>
        </w:tc>
        <w:tc>
          <w:tcPr>
            <w:tcW w:w="32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Maryland</w:t>
            </w:r>
          </w:p>
        </w:tc>
      </w:tr>
    </w:tbl>
    <w:p>
      <w:pPr>
        <w:sectPr>
          <w:pgSz w:w="11900" w:h="16838" w:orient="portrait"/>
          <w:cols w:equalWidth="0" w:num="1">
            <w:col w:w="10220"/>
          </w:cols>
          <w:pgMar w:left="14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issued our report dated March 2, 2005 accompanying the consolidated financial statements and schedules included in the Annual Report of Federal Realty Investment Trust on Form 10-K for the year ended December 31, 2004. We hereby consent to the incorporation by reference of said report in the Registration Statements of Federal Realty Investment Trust on Form S-3 (File No. 333-100819, 333-84210, 333-97945, 333-63619, File No. 33-63687, File No. 33-63955, File No. 33-15264 and File No. 33-55111).</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Vienna, VA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 2005</w:t>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77"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60" w:hanging="446"/>
        <w:spacing w:after="0" w:line="286"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90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70" w:lineRule="exact"/>
        <w:rPr>
          <w:rFonts w:ascii="Arial" w:cs="Arial" w:eastAsia="Arial" w:hAnsi="Arial"/>
          <w:sz w:val="16"/>
          <w:szCs w:val="16"/>
          <w:color w:val="auto"/>
        </w:rPr>
      </w:pPr>
    </w:p>
    <w:p>
      <w:pPr>
        <w:ind w:left="1480" w:right="160" w:hanging="567"/>
        <w:spacing w:after="0" w:line="259"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 in accordance with generally accepted accounting principles;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40" w:hanging="567"/>
        <w:spacing w:after="0" w:line="259"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year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740"/>
        <w:spacing w:after="0"/>
        <w:tabs>
          <w:tab w:leader="none" w:pos="8080" w:val="left"/>
        </w:tabs>
        <w:rPr>
          <w:sz w:val="20"/>
          <w:szCs w:val="20"/>
          <w:color w:val="auto"/>
        </w:rPr>
      </w:pPr>
      <w:r>
        <w:rPr>
          <w:rFonts w:ascii="Arial" w:cs="Arial" w:eastAsia="Arial" w:hAnsi="Arial"/>
          <w:sz w:val="18"/>
          <w:szCs w:val="18"/>
          <w:color w:val="auto"/>
        </w:rPr>
        <w:t>/s/</w:t>
        <w:tab/>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38772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March 2, 2005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Donald C. Wood, President, Chief Executive Officer</w:t>
      </w:r>
    </w:p>
    <w:p>
      <w:pPr>
        <w:spacing w:after="0" w:line="24"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2">
            <w:col w:w="6460" w:space="720"/>
            <w:col w:w="4240"/>
          </w:cols>
          <w:pgMar w:left="240" w:top="125" w:right="239"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Larry E. Finger, certify that:</w:t>
      </w:r>
    </w:p>
    <w:p>
      <w:pPr>
        <w:spacing w:after="0" w:line="77"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45"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 in accordance with generally accepted accounting principles;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40" w:hanging="567"/>
        <w:spacing w:after="0" w:line="259"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year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320" w:type="dxa"/>
            <w:vAlign w:val="bottom"/>
          </w:tcPr>
          <w:p>
            <w:pPr>
              <w:ind w:left="1840"/>
              <w:spacing w:after="0"/>
              <w:rPr>
                <w:sz w:val="20"/>
                <w:szCs w:val="20"/>
                <w:color w:val="auto"/>
              </w:rPr>
            </w:pPr>
            <w:r>
              <w:rPr>
                <w:rFonts w:ascii="Arial" w:cs="Arial" w:eastAsia="Arial" w:hAnsi="Arial"/>
                <w:sz w:val="18"/>
                <w:szCs w:val="18"/>
                <w:color w:val="auto"/>
              </w:rPr>
              <w:t>/s/  Larry E. Finger</w:t>
            </w:r>
          </w:p>
        </w:tc>
      </w:tr>
      <w:tr>
        <w:trPr>
          <w:trHeight w:val="110"/>
        </w:trPr>
        <w:tc>
          <w:tcPr>
            <w:tcW w:w="5960" w:type="dxa"/>
            <w:vAlign w:val="bottom"/>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r>
      <w:tr>
        <w:trPr>
          <w:trHeight w:val="251"/>
        </w:trPr>
        <w:tc>
          <w:tcPr>
            <w:tcW w:w="5960" w:type="dxa"/>
            <w:vAlign w:val="bottom"/>
          </w:tcPr>
          <w:p>
            <w:pPr>
              <w:spacing w:after="0"/>
              <w:rPr>
                <w:sz w:val="20"/>
                <w:szCs w:val="20"/>
                <w:color w:val="auto"/>
              </w:rPr>
            </w:pPr>
            <w:r>
              <w:rPr>
                <w:rFonts w:ascii="Arial" w:cs="Arial" w:eastAsia="Arial" w:hAnsi="Arial"/>
                <w:sz w:val="18"/>
                <w:szCs w:val="18"/>
                <w:color w:val="auto"/>
              </w:rPr>
              <w:t>March 2, 2005</w:t>
            </w:r>
          </w:p>
        </w:tc>
        <w:tc>
          <w:tcPr>
            <w:tcW w:w="5320" w:type="dxa"/>
            <w:vAlign w:val="bottom"/>
          </w:tcPr>
          <w:p>
            <w:pPr>
              <w:jc w:val="center"/>
              <w:ind w:left="66"/>
              <w:spacing w:after="0"/>
              <w:rPr>
                <w:sz w:val="20"/>
                <w:szCs w:val="20"/>
                <w:color w:val="auto"/>
              </w:rPr>
            </w:pPr>
            <w:r>
              <w:rPr>
                <w:rFonts w:ascii="Arial" w:cs="Arial" w:eastAsia="Arial" w:hAnsi="Arial"/>
                <w:sz w:val="14"/>
                <w:szCs w:val="14"/>
                <w:b w:val="1"/>
                <w:bCs w:val="1"/>
                <w:color w:val="auto"/>
                <w:w w:val="88"/>
              </w:rPr>
              <w:t>Larry E. Finger, Executive Vice President and Chief Financial</w:t>
            </w:r>
          </w:p>
        </w:tc>
      </w:tr>
      <w:tr>
        <w:trPr>
          <w:trHeight w:val="174"/>
        </w:trPr>
        <w:tc>
          <w:tcPr>
            <w:tcW w:w="5960" w:type="dxa"/>
            <w:vAlign w:val="bottom"/>
          </w:tcPr>
          <w:p>
            <w:pPr>
              <w:spacing w:after="0"/>
              <w:rPr>
                <w:sz w:val="15"/>
                <w:szCs w:val="15"/>
                <w:color w:val="auto"/>
              </w:rPr>
            </w:pPr>
          </w:p>
        </w:tc>
        <w:tc>
          <w:tcPr>
            <w:tcW w:w="5320" w:type="dxa"/>
            <w:vAlign w:val="bottom"/>
          </w:tcPr>
          <w:p>
            <w:pPr>
              <w:jc w:val="center"/>
              <w:ind w:left="46"/>
              <w:spacing w:after="0"/>
              <w:rPr>
                <w:sz w:val="20"/>
                <w:szCs w:val="20"/>
                <w:color w:val="auto"/>
              </w:rPr>
            </w:pPr>
            <w:r>
              <w:rPr>
                <w:rFonts w:ascii="Arial" w:cs="Arial" w:eastAsia="Arial" w:hAnsi="Arial"/>
                <w:sz w:val="14"/>
                <w:szCs w:val="14"/>
                <w:b w:val="1"/>
                <w:bCs w:val="1"/>
                <w:color w:val="auto"/>
                <w:w w:val="88"/>
              </w:rPr>
              <w:t>Officer (Principal Accounting Officer)</w:t>
            </w:r>
          </w:p>
        </w:tc>
      </w:tr>
    </w:tbl>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“Trust”), has executed this certification in connection with the filing with the Securities and Exchange Commission of the Trust’s Annual Report on Form 10-K for the year ended December 31, 2004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Trust.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  Donald C. Wood</w:t>
            </w:r>
          </w:p>
        </w:tc>
      </w:tr>
      <w:tr>
        <w:trPr>
          <w:trHeight w:val="110"/>
        </w:trPr>
        <w:tc>
          <w:tcPr>
            <w:tcW w:w="36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309"/>
        </w:trPr>
        <w:tc>
          <w:tcPr>
            <w:tcW w:w="3600" w:type="dxa"/>
            <w:vAlign w:val="bottom"/>
          </w:tcPr>
          <w:p>
            <w:pPr>
              <w:spacing w:after="0"/>
              <w:rPr>
                <w:sz w:val="20"/>
                <w:szCs w:val="20"/>
                <w:color w:val="auto"/>
              </w:rPr>
            </w:pPr>
            <w:r>
              <w:rPr>
                <w:rFonts w:ascii="Arial" w:cs="Arial" w:eastAsia="Arial" w:hAnsi="Arial"/>
                <w:sz w:val="18"/>
                <w:szCs w:val="18"/>
                <w:color w:val="auto"/>
              </w:rPr>
              <w:t>Date:  March 2, 2005</w:t>
            </w:r>
          </w:p>
        </w:tc>
        <w:tc>
          <w:tcPr>
            <w:tcW w:w="3140" w:type="dxa"/>
            <w:vAlign w:val="bottom"/>
          </w:tcPr>
          <w:p>
            <w:pPr>
              <w:jc w:val="right"/>
              <w:ind w:right="472"/>
              <w:spacing w:after="0"/>
              <w:rPr>
                <w:sz w:val="20"/>
                <w:szCs w:val="20"/>
                <w:color w:val="auto"/>
              </w:rPr>
            </w:pPr>
            <w:r>
              <w:rPr>
                <w:rFonts w:ascii="Arial" w:cs="Arial" w:eastAsia="Arial" w:hAnsi="Arial"/>
                <w:sz w:val="18"/>
                <w:szCs w:val="18"/>
                <w:color w:val="auto"/>
              </w:rPr>
              <w:t>NAME:</w:t>
            </w:r>
          </w:p>
        </w:tc>
        <w:tc>
          <w:tcPr>
            <w:tcW w:w="386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22"/>
        </w:trPr>
        <w:tc>
          <w:tcPr>
            <w:tcW w:w="3600" w:type="dxa"/>
            <w:vAlign w:val="bottom"/>
          </w:tcPr>
          <w:p>
            <w:pPr>
              <w:spacing w:after="0"/>
              <w:rPr>
                <w:sz w:val="19"/>
                <w:szCs w:val="19"/>
                <w:color w:val="auto"/>
              </w:rPr>
            </w:pPr>
          </w:p>
        </w:tc>
        <w:tc>
          <w:tcPr>
            <w:tcW w:w="3140" w:type="dxa"/>
            <w:vAlign w:val="bottom"/>
          </w:tcPr>
          <w:p>
            <w:pPr>
              <w:jc w:val="right"/>
              <w:ind w:right="472"/>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Larry E. Finger, the Senior Vice President—Chief Financial Officer and Treasurer of Federal Realty Investment Trust (the “Trust”), has executed this certification in connection with the filing with the Securities and Exchange Commission of the Trust’s Annual Report on Form 10-K for the year ended December 31, 2004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Trust.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  Larry E. Finger</w:t>
            </w:r>
          </w:p>
        </w:tc>
      </w:tr>
      <w:tr>
        <w:trPr>
          <w:trHeight w:val="110"/>
        </w:trPr>
        <w:tc>
          <w:tcPr>
            <w:tcW w:w="34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r>
      <w:tr>
        <w:trPr>
          <w:trHeight w:val="309"/>
        </w:trPr>
        <w:tc>
          <w:tcPr>
            <w:tcW w:w="3440" w:type="dxa"/>
            <w:vAlign w:val="bottom"/>
          </w:tcPr>
          <w:p>
            <w:pPr>
              <w:spacing w:after="0"/>
              <w:rPr>
                <w:sz w:val="20"/>
                <w:szCs w:val="20"/>
                <w:color w:val="auto"/>
              </w:rPr>
            </w:pPr>
            <w:r>
              <w:rPr>
                <w:rFonts w:ascii="Arial" w:cs="Arial" w:eastAsia="Arial" w:hAnsi="Arial"/>
                <w:sz w:val="18"/>
                <w:szCs w:val="18"/>
                <w:color w:val="auto"/>
              </w:rPr>
              <w:t>Date:  March 2, 2005</w:t>
            </w:r>
          </w:p>
        </w:tc>
        <w:tc>
          <w:tcPr>
            <w:tcW w:w="7800" w:type="dxa"/>
            <w:vAlign w:val="bottom"/>
            <w:gridSpan w:val="2"/>
          </w:tcPr>
          <w:p>
            <w:pPr>
              <w:ind w:left="1840"/>
              <w:spacing w:after="0"/>
              <w:rPr>
                <w:sz w:val="20"/>
                <w:szCs w:val="20"/>
                <w:color w:val="auto"/>
              </w:rPr>
            </w:pPr>
            <w:r>
              <w:rPr>
                <w:rFonts w:ascii="Arial" w:cs="Arial" w:eastAsia="Arial" w:hAnsi="Arial"/>
                <w:sz w:val="18"/>
                <w:szCs w:val="18"/>
                <w:color w:val="auto"/>
              </w:rPr>
              <w:t>NAME:  Larry E. Finger</w:t>
            </w:r>
          </w:p>
        </w:tc>
      </w:tr>
      <w:tr>
        <w:trPr>
          <w:trHeight w:val="222"/>
        </w:trPr>
        <w:tc>
          <w:tcPr>
            <w:tcW w:w="3440" w:type="dxa"/>
            <w:vAlign w:val="bottom"/>
          </w:tcPr>
          <w:p>
            <w:pPr>
              <w:spacing w:after="0"/>
              <w:rPr>
                <w:sz w:val="19"/>
                <w:szCs w:val="19"/>
                <w:color w:val="auto"/>
              </w:rPr>
            </w:pPr>
          </w:p>
        </w:tc>
        <w:tc>
          <w:tcPr>
            <w:tcW w:w="7800" w:type="dxa"/>
            <w:vAlign w:val="bottom"/>
            <w:gridSpan w:val="2"/>
          </w:tcPr>
          <w:p>
            <w:pPr>
              <w:ind w:left="1860"/>
              <w:spacing w:after="0"/>
              <w:rPr>
                <w:sz w:val="20"/>
                <w:szCs w:val="20"/>
                <w:color w:val="auto"/>
              </w:rPr>
            </w:pPr>
            <w:r>
              <w:rPr>
                <w:rFonts w:ascii="Arial" w:cs="Arial" w:eastAsia="Arial" w:hAnsi="Arial"/>
                <w:sz w:val="18"/>
                <w:szCs w:val="18"/>
                <w:color w:val="auto"/>
              </w:rPr>
              <w:t>TITLE:  Executive Vice President—Chief Financial Officer and Treasurer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lvl w:ilvl="1">
      <w:lvlJc w:val="left"/>
      <w:lvlText w:val="☐"/>
      <w:numFmt w:val="bullet"/>
      <w:start w:val="1"/>
    </w:lvl>
  </w:abstractNum>
  <w:abstractNum w:abstractNumId="1">
    <w:nsid w:val="77AE35EB"/>
    <w:multiLevelType w:val="hybridMultilevel"/>
    <w:lvl w:ilvl="0">
      <w:lvlJc w:val="left"/>
      <w:lvlText w:val="%1."/>
      <w:numFmt w:val="upperLetter"/>
      <w:start w:val="1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lvl w:ilvl="1">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1)"/>
      <w:numFmt w:val="decimal"/>
      <w:start w:val="1"/>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1)"/>
      <w:numFmt w:val="decimal"/>
      <w:start w:val="3"/>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lvl w:ilvl="1">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1)"/>
      <w:numFmt w:val="lowerLetter"/>
      <w:start w:val="1"/>
    </w:lvl>
  </w:abstractNum>
  <w:abstractNum w:abstractNumId="37">
    <w:nsid w:val="60B6DF70"/>
    <w:multiLevelType w:val="hybridMultilevel"/>
    <w:lvl w:ilvl="0">
      <w:lvlJc w:val="left"/>
      <w:lvlText w:val="(%1)"/>
      <w:numFmt w:val="lowerLetter"/>
      <w:start w:val="2"/>
    </w:lvl>
  </w:abstractNum>
  <w:abstractNum w:abstractNumId="38">
    <w:nsid w:val="6A5EE64"/>
    <w:multiLevelType w:val="hybridMultilevel"/>
    <w:lvl w:ilvl="0">
      <w:lvlJc w:val="left"/>
      <w:lvlText w:val="(%1)"/>
      <w:numFmt w:val="lowerLetter"/>
      <w:start w:val="5"/>
    </w:lvl>
  </w:abstractNum>
  <w:abstractNum w:abstractNumId="39">
    <w:nsid w:val="14330624"/>
    <w:multiLevelType w:val="hybridMultilevel"/>
    <w:lvl w:ilvl="0">
      <w:lvlJc w:val="left"/>
      <w:lvlText w:val="%1)"/>
      <w:numFmt w:val="decimal"/>
      <w:start w:val="1"/>
    </w:lvl>
  </w:abstractNum>
  <w:abstractNum w:abstractNumId="40">
    <w:nsid w:val="7FFFCA11"/>
    <w:multiLevelType w:val="hybridMultilevel"/>
    <w:lvl w:ilvl="0">
      <w:lvlJc w:val="left"/>
      <w:lvlText w:val="%1)"/>
      <w:numFmt w:val="decimal"/>
      <w:start w:val="4"/>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1)"/>
      <w:numFmt w:val="decimal"/>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1)"/>
      <w:numFmt w:val="decimal"/>
      <w:start w:val="1"/>
    </w:lvl>
  </w:abstractNum>
  <w:abstractNum w:abstractNumId="49">
    <w:nsid w:val="76272110"/>
    <w:multiLevelType w:val="hybridMultilevel"/>
    <w:lvl w:ilvl="0">
      <w:lvlJc w:val="left"/>
      <w:lvlText w:val="(%1)"/>
      <w:numFmt w:val="upperLetter"/>
      <w:start w:val="1"/>
    </w:lvl>
  </w:abstractNum>
  <w:abstractNum w:abstractNumId="50">
    <w:nsid w:val="4C04A8AF"/>
    <w:multiLevelType w:val="hybridMultilevel"/>
    <w:lvl w:ilvl="0">
      <w:lvlJc w:val="left"/>
      <w:lvlText w:val="(%1)"/>
      <w:numFmt w:val="upperLetter"/>
      <w:start w:val="1"/>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1)"/>
      <w:numFmt w:val="decimal"/>
      <w:start w:val="3"/>
    </w:lvl>
  </w:abstractNum>
  <w:abstractNum w:abstractNumId="54">
    <w:nsid w:val="74DE0EE3"/>
    <w:multiLevelType w:val="hybridMultilevel"/>
    <w:lvl w:ilvl="0">
      <w:lvlJc w:val="left"/>
      <w:lvlText w:val="(%1)"/>
      <w:numFmt w:val="lowerLetter"/>
      <w:start w:val="2"/>
    </w:lvl>
  </w:abstractNum>
  <w:abstractNum w:abstractNumId="55">
    <w:nsid w:val="68EBC550"/>
    <w:multiLevelType w:val="hybridMultilevel"/>
    <w:lvl w:ilvl="0">
      <w:lvlJc w:val="left"/>
      <w:lvlText w:val="*"/>
      <w:numFmt w:val="bullet"/>
      <w:start w:val="1"/>
    </w:lvl>
    <w:lvl w:ilvl="1">
      <w:lvlJc w:val="left"/>
      <w:lvlText w:val="(%2)"/>
      <w:numFmt w:val="lowerLetter"/>
      <w:start w:val="3"/>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decimal"/>
      <w:start w:val="1"/>
    </w:lvl>
    <w:lvl w:ilvl="1">
      <w:lvlJc w:val="left"/>
      <w:lvlText w:val="%2."/>
      <w:numFmt w:val="decimal"/>
      <w:start w:val="2"/>
    </w:lvl>
    <w:lvl w:ilvl="2">
      <w:lvlJc w:val="left"/>
      <w:lvlText w:val="(%3)"/>
      <w:numFmt w:val="upperLetter"/>
      <w:start w:val="1"/>
    </w:lvl>
  </w:abstractNum>
  <w:abstractNum w:abstractNumId="58">
    <w:nsid w:val="4A2AC315"/>
    <w:multiLevelType w:val="hybridMultilevel"/>
    <w:lvl w:ilvl="0">
      <w:lvlJc w:val="left"/>
      <w:lvlText w:val="(%1)"/>
      <w:numFmt w:val="upperLetter"/>
      <w:start w:val="2"/>
    </w:lvl>
  </w:abstractNum>
  <w:abstractNum w:abstractNumId="59">
    <w:nsid w:val="39EE015C"/>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lvl w:ilvl="3">
      <w:lvlJc w:val="left"/>
      <w:lvlText w:val="-"/>
      <w:numFmt w:val="bullet"/>
      <w:start w:val="1"/>
    </w:lvl>
  </w:abstractNum>
  <w:abstractNum w:abstractNumId="60">
    <w:nsid w:val="57FC4FBB"/>
    <w:multiLevelType w:val="hybridMultilevel"/>
    <w:lvl w:ilvl="0">
      <w:lvlJc w:val="left"/>
      <w:lvlText w:val="(%1)"/>
      <w:numFmt w:val="lowerLetter"/>
      <w:start w:val="2"/>
    </w:lvl>
    <w:lvl w:ilvl="1">
      <w:lvlJc w:val="left"/>
      <w:lvlText w:val="-"/>
      <w:numFmt w:val="bullet"/>
      <w:start w:val="1"/>
    </w:lvl>
  </w:abstractNum>
  <w:abstractNum w:abstractNumId="61">
    <w:nsid w:val="CC1016F"/>
    <w:multiLevelType w:val="hybridMultilevel"/>
    <w:lvl w:ilvl="0">
      <w:lvlJc w:val="left"/>
      <w:lvlText w:val="(%1)"/>
      <w:numFmt w:val="lowerLetter"/>
      <w:start w:val="3"/>
    </w:lvl>
    <w:lvl w:ilvl="1">
      <w:lvlJc w:val="left"/>
      <w:lvlText w:val="-"/>
      <w:numFmt w:val="bullet"/>
      <w:start w:val="1"/>
    </w:lvl>
  </w:abstractNum>
  <w:abstractNum w:abstractNumId="62">
    <w:nsid w:val="43F18422"/>
    <w:multiLevelType w:val="hybridMultilevel"/>
    <w:lvl w:ilvl="0">
      <w:lvlJc w:val="left"/>
      <w:lvlText w:val="%1."/>
      <w:numFmt w:val="decimal"/>
      <w:start w:val="3"/>
    </w:lvl>
    <w:lvl w:ilvl="1">
      <w:lvlJc w:val="left"/>
      <w:lvlText w:val="%2."/>
      <w:numFmt w:val="decimal"/>
      <w:start w:val="5"/>
    </w:lvl>
  </w:abstractNum>
  <w:abstractNum w:abstractNumId="63">
    <w:nsid w:val="60EF0119"/>
    <w:multiLevelType w:val="hybridMultilevel"/>
    <w:lvl w:ilvl="0">
      <w:lvlJc w:val="left"/>
      <w:lvlText w:val="%1."/>
      <w:numFmt w:val="decimal"/>
      <w:start w:val="1"/>
    </w:lvl>
    <w:lvl w:ilvl="1">
      <w:lvlJc w:val="left"/>
      <w:lvlText w:val="(%2)"/>
      <w:numFmt w:val="lowerLetter"/>
      <w:start w:val="1"/>
    </w:lvl>
  </w:abstractNum>
  <w:abstractNum w:abstractNumId="64">
    <w:nsid w:val="26F324BA"/>
    <w:multiLevelType w:val="hybridMultilevel"/>
    <w:lvl w:ilvl="0">
      <w:lvlJc w:val="left"/>
      <w:lvlText w:val="%1"/>
      <w:numFmt w:val="decimal"/>
      <w:start w:val="1"/>
    </w:lvl>
    <w:lvl w:ilvl="1">
      <w:lvlJc w:val="left"/>
      <w:lvlText w:val="(%2)"/>
      <w:numFmt w:val="lowerLetter"/>
      <w:start w:val="4"/>
    </w:lvl>
  </w:abstractNum>
  <w:abstractNum w:abstractNumId="65">
    <w:nsid w:val="7F01579B"/>
    <w:multiLevelType w:val="hybridMultilevel"/>
    <w:lvl w:ilvl="0">
      <w:lvlJc w:val="left"/>
      <w:lvlText w:val="%1."/>
      <w:numFmt w:val="decimal"/>
      <w:start w:val="3"/>
    </w:lvl>
    <w:lvl w:ilvl="1">
      <w:lvlJc w:val="left"/>
      <w:lvlText w:val="(%2)"/>
      <w:numFmt w:val="lowerLetter"/>
      <w:start w:val="2"/>
    </w:lvl>
    <w:lvl w:ilvl="2">
      <w:lvlJc w:val="left"/>
      <w:lvlText w:val="-"/>
      <w:numFmt w:val="bullet"/>
      <w:start w:val="1"/>
    </w:lvl>
  </w:abstractNum>
  <w:abstractNum w:abstractNumId="66">
    <w:nsid w:val="49DA307D"/>
    <w:multiLevelType w:val="hybridMultilevel"/>
    <w:lvl w:ilvl="0">
      <w:lvlJc w:val="left"/>
      <w:lvlText w:val="%1."/>
      <w:numFmt w:val="decimal"/>
      <w:start w:val="4"/>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67">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68">
    <w:nsid w:val="5FB8370B"/>
    <w:multiLevelType w:val="hybridMultilevel"/>
    <w:lvl w:ilvl="0">
      <w:lvlJc w:val="left"/>
      <w:lvlText w:val="%1."/>
      <w:numFmt w:val="decimal"/>
      <w:start w:val="5"/>
    </w:lvl>
    <w:lvl w:ilvl="1">
      <w:lvlJc w:val="left"/>
      <w:lvlText w:val="(%2)"/>
      <w:numFmt w:val="lowerLetter"/>
      <w:start w:val="4"/>
    </w:lvl>
    <w:lvl w:ilvl="2">
      <w:lvlJc w:val="left"/>
      <w:lvlText w:val="%3"/>
      <w:numFmt w:val="lowerLetter"/>
      <w:start w:val="1"/>
    </w:lvl>
  </w:abstractNum>
  <w:abstractNum w:abstractNumId="69">
    <w:nsid w:val="50801EE1"/>
    <w:multiLevelType w:val="hybridMultilevel"/>
    <w:lvl w:ilvl="0">
      <w:lvlJc w:val="left"/>
      <w:lvlText w:val="%1."/>
      <w:numFmt w:val="decimal"/>
      <w:start w:val="1"/>
    </w:lvl>
    <w:lvl w:ilvl="1">
      <w:lvlJc w:val="left"/>
      <w:lvlText w:val="(%2)"/>
      <w:numFmt w:val="lowerLetter"/>
      <w:start w:val="2"/>
    </w:lvl>
  </w:abstractNum>
  <w:abstractNum w:abstractNumId="70">
    <w:nsid w:val="488AC1A"/>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lvl w:ilvl="3">
      <w:lvlJc w:val="left"/>
      <w:lvlText w:val="(%4)"/>
      <w:numFmt w:val="lowerRoman"/>
      <w:start w:val="1"/>
    </w:lvl>
    <w:lvl w:ilvl="4">
      <w:lvlJc w:val="left"/>
      <w:lvlText w:val="-"/>
      <w:numFmt w:val="bullet"/>
      <w:start w:val="1"/>
    </w:lvl>
  </w:abstractNum>
  <w:abstractNum w:abstractNumId="71">
    <w:nsid w:val="5FB801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72">
    <w:nsid w:val="6AA78F7F"/>
    <w:multiLevelType w:val="hybridMultilevel"/>
    <w:lvl w:ilvl="0">
      <w:lvlJc w:val="left"/>
      <w:lvlText w:val="%1."/>
      <w:numFmt w:val="decimal"/>
      <w:start w:val="4"/>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73">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4">
    <w:nsid w:val="6FC75AF8"/>
    <w:multiLevelType w:val="hybridMultilevel"/>
    <w:lvl w:ilvl="0">
      <w:lvlJc w:val="left"/>
      <w:lvlText w:val="(%1)"/>
      <w:numFmt w:val="lowerLetter"/>
      <w:start w:val="2"/>
    </w:lvl>
    <w:lvl w:ilvl="1">
      <w:lvlJc w:val="left"/>
      <w:lvlText w:val="(%2)"/>
      <w:numFmt w:val="lowerRoman"/>
      <w:start w:val="1"/>
    </w:lvl>
  </w:abstractNum>
  <w:abstractNum w:abstractNumId="75">
    <w:nsid w:val="6A5F7029"/>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9"/>
    </w:lvl>
  </w:abstractNum>
  <w:abstractNum w:abstractNumId="76">
    <w:nsid w:val="7D5E18F8"/>
    <w:multiLevelType w:val="hybridMultilevel"/>
    <w:lvl w:ilvl="0">
      <w:lvlJc w:val="left"/>
      <w:lvlText w:val="(%1)"/>
      <w:numFmt w:val="upperLetter"/>
      <w:start w:val="35"/>
    </w:lvl>
  </w:abstractNum>
  <w:abstractNum w:abstractNumId="77">
    <w:nsid w:val="5F3534A4"/>
    <w:multiLevelType w:val="hybridMultilevel"/>
    <w:lvl w:ilvl="0">
      <w:lvlJc w:val="left"/>
      <w:lvlText w:val="(%1)"/>
      <w:numFmt w:val="upperLetter"/>
      <w:start w:val="61"/>
    </w:lvl>
  </w:abstractNum>
  <w:abstractNum w:abstractNumId="78">
    <w:nsid w:val="73A1821B"/>
    <w:multiLevelType w:val="hybridMultilevel"/>
    <w:lvl w:ilvl="0">
      <w:lvlJc w:val="left"/>
      <w:lvlText w:val="(%1)"/>
      <w:numFmt w:val="upperLetter"/>
      <w:start w:val="2"/>
    </w:lvl>
  </w:abstractNum>
  <w:abstractNum w:abstractNumId="79">
    <w:nsid w:val="7DE67713"/>
    <w:multiLevelType w:val="hybridMultilevel"/>
    <w:lvl w:ilvl="0">
      <w:lvlJc w:val="left"/>
      <w:lvlText w:val="(%1)"/>
      <w:numFmt w:val="lowerLetter"/>
      <w:start w:val="3"/>
    </w:lvl>
    <w:lvl w:ilvl="1">
      <w:lvlJc w:val="left"/>
      <w:lvlText w:val="(%2)"/>
      <w:numFmt w:val="lowerRoman"/>
      <w:start w:val="1"/>
    </w:lvl>
  </w:abstractNum>
  <w:abstractNum w:abstractNumId="80">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1">
    <w:nsid w:val="3FA62ACA"/>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82">
    <w:nsid w:val="14FCE74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3">
    <w:nsid w:val="6A3DD3E8"/>
    <w:multiLevelType w:val="hybridMultilevel"/>
    <w:lvl w:ilvl="0">
      <w:lvlJc w:val="left"/>
      <w:lvlText w:val="(%1)"/>
      <w:numFmt w:val="lowerLetter"/>
      <w:start w:val="2"/>
    </w:lvl>
  </w:abstractNum>
  <w:abstractNum w:abstractNumId="84">
    <w:nsid w:val="71C91298"/>
    <w:multiLevelType w:val="hybridMultilevel"/>
    <w:lvl w:ilvl="0">
      <w:lvlJc w:val="left"/>
      <w:lvlText w:val="(%1)"/>
      <w:numFmt w:val="lowerLetter"/>
      <w:start w:val="3"/>
    </w:lvl>
  </w:abstractNum>
  <w:abstractNum w:abstractNumId="85">
    <w:nsid w:val="9DAF632"/>
    <w:multiLevelType w:val="hybridMultilevel"/>
    <w:lvl w:ilvl="0">
      <w:lvlJc w:val="left"/>
      <w:lvlText w:val="%1."/>
      <w:numFmt w:val="decimal"/>
      <w:start w:val="3"/>
    </w:lvl>
  </w:abstractNum>
  <w:abstractNum w:abstractNumId="86">
    <w:nsid w:val="53299938"/>
    <w:multiLevelType w:val="hybridMultilevel"/>
    <w:lvl w:ilvl="0">
      <w:lvlJc w:val="left"/>
      <w:lvlText w:val="%1."/>
      <w:numFmt w:val="decimal"/>
      <w:start w:val="8"/>
    </w:lvl>
    <w:lvl w:ilvl="1">
      <w:lvlJc w:val="left"/>
      <w:lvlText w:val="(%2)"/>
      <w:numFmt w:val="lowerLetter"/>
      <w:start w:val="1"/>
    </w:lvl>
  </w:abstractNum>
  <w:abstractNum w:abstractNumId="87">
    <w:nsid w:val="1FBFE8E0"/>
    <w:multiLevelType w:val="hybridMultilevel"/>
    <w:lvl w:ilvl="0">
      <w:lvlJc w:val="left"/>
      <w:lvlText w:val="%1"/>
      <w:numFmt w:val="decimal"/>
      <w:start w:val="1"/>
    </w:lvl>
    <w:lvl w:ilvl="1">
      <w:lvlJc w:val="left"/>
      <w:lvlText w:val="(%2)"/>
      <w:numFmt w:val="lowerLetter"/>
      <w:start w:val="2"/>
    </w:lvl>
  </w:abstractNum>
  <w:abstractNum w:abstractNumId="88">
    <w:nsid w:val="5092CA79"/>
    <w:multiLevelType w:val="hybridMultilevel"/>
    <w:lvl w:ilvl="0">
      <w:lvlJc w:val="left"/>
      <w:lvlText w:val="%1."/>
      <w:numFmt w:val="decimal"/>
      <w:start w:val="17"/>
    </w:lvl>
    <w:lvl w:ilvl="1">
      <w:lvlJc w:val="left"/>
      <w:lvlText w:val="%2"/>
      <w:numFmt w:val="lowerLetter"/>
      <w:start w:val="1"/>
    </w:lvl>
  </w:abstractNum>
  <w:abstractNum w:abstractNumId="89">
    <w:nsid w:val="1D545C4D"/>
    <w:multiLevelType w:val="hybridMultilevel"/>
    <w:lvl w:ilvl="0">
      <w:lvlJc w:val="left"/>
      <w:lvlText w:val="%1."/>
      <w:numFmt w:val="decimal"/>
      <w:start w:val="1"/>
    </w:lvl>
    <w:lvl w:ilvl="1">
      <w:lvlJc w:val="left"/>
      <w:lvlText w:val="(%2)"/>
      <w:numFmt w:val="lowerLetter"/>
      <w:start w:val="1"/>
    </w:lvl>
  </w:abstractNum>
  <w:abstractNum w:abstractNumId="90">
    <w:nsid w:val="59ADEA3D"/>
    <w:multiLevelType w:val="hybridMultilevel"/>
    <w:lvl w:ilvl="0">
      <w:lvlJc w:val="left"/>
      <w:lvlText w:val="%1"/>
      <w:numFmt w:val="decimal"/>
      <w:start w:val="1"/>
    </w:lvl>
    <w:lvl w:ilvl="1">
      <w:lvlJc w:val="left"/>
      <w:lvlText w:val="(%2)"/>
      <w:numFmt w:val="lowerLetter"/>
      <w:start w:val="4"/>
    </w:lvl>
  </w:abstractNum>
  <w:abstractNum w:abstractNumId="91">
    <w:nsid w:val="288F1A34"/>
    <w:multiLevelType w:val="hybridMultilevel"/>
    <w:lvl w:ilvl="0">
      <w:lvlJc w:val="left"/>
      <w:lvlText w:val="%1."/>
      <w:numFmt w:val="decimal"/>
      <w:start w:val="3"/>
    </w:lvl>
    <w:lvl w:ilvl="1">
      <w:lvlJc w:val="left"/>
      <w:lvlText w:val="(%2)"/>
      <w:numFmt w:val="lowerLetter"/>
      <w:start w:val="2"/>
    </w:lvl>
    <w:lvl w:ilvl="2">
      <w:lvlJc w:val="left"/>
      <w:lvlText w:val="-"/>
      <w:numFmt w:val="bullet"/>
      <w:start w:val="1"/>
    </w:lvl>
  </w:abstractNum>
  <w:abstractNum w:abstractNumId="92">
    <w:nsid w:val="2A155DBC"/>
    <w:multiLevelType w:val="hybridMultilevel"/>
    <w:lvl w:ilvl="0">
      <w:lvlJc w:val="left"/>
      <w:lvlText w:val="%1."/>
      <w:numFmt w:val="decimal"/>
      <w:start w:val="4"/>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93">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94">
    <w:nsid w:val="97E1B4E"/>
    <w:multiLevelType w:val="hybridMultilevel"/>
    <w:lvl w:ilvl="0">
      <w:lvlJc w:val="left"/>
      <w:lvlText w:val="%1."/>
      <w:numFmt w:val="decimal"/>
      <w:start w:val="5"/>
    </w:lvl>
    <w:lvl w:ilvl="1">
      <w:lvlJc w:val="left"/>
      <w:lvlText w:val="(%2)"/>
      <w:numFmt w:val="lowerLetter"/>
      <w:start w:val="4"/>
    </w:lvl>
    <w:lvl w:ilvl="2">
      <w:lvlJc w:val="left"/>
      <w:lvlText w:val="%3"/>
      <w:numFmt w:val="lowerLetter"/>
      <w:start w:val="1"/>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1)"/>
      <w:numFmt w:val="lowerLetter"/>
      <w:start w:val="2"/>
    </w:lvl>
  </w:abstractNum>
  <w:abstractNum w:abstractNumId="97">
    <w:nsid w:val="53584BC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8">
    <w:nsid w:val="415E286C"/>
    <w:multiLevelType w:val="hybridMultilevel"/>
    <w:lvl w:ilvl="0">
      <w:lvlJc w:val="left"/>
      <w:lvlText w:val="%1."/>
      <w:numFmt w:val="decimal"/>
      <w:start w:val="3"/>
    </w:lvl>
    <w:lvl w:ilvl="1">
      <w:lvlJc w:val="left"/>
      <w:lvlText w:val="(%2)"/>
      <w:numFmt w:val="lowerLetter"/>
      <w:start w:val="1"/>
    </w:lvl>
  </w:abstractNum>
  <w:abstractNum w:abstractNumId="99">
    <w:nsid w:val="7C58FD05"/>
    <w:multiLevelType w:val="hybridMultilevel"/>
    <w:lvl w:ilvl="0">
      <w:lvlJc w:val="left"/>
      <w:lvlText w:val="(%1)"/>
      <w:numFmt w:val="lowerLetter"/>
      <w:start w:val="2"/>
    </w:lvl>
    <w:lvl w:ilvl="1">
      <w:lvlJc w:val="left"/>
      <w:lvlText w:val="(%2)"/>
      <w:numFmt w:val="lowerRoman"/>
      <w:start w:val="1"/>
    </w:lvl>
  </w:abstractNum>
  <w:abstractNum w:abstractNumId="100">
    <w:nsid w:val="23D86AAC"/>
    <w:multiLevelType w:val="hybridMultilevel"/>
    <w:lvl w:ilvl="0">
      <w:lvlJc w:val="left"/>
      <w:lvlText w:val="%1"/>
      <w:numFmt w:val="decimal"/>
      <w:start w:val="1"/>
    </w:lvl>
    <w:lvl w:ilvl="1">
      <w:lvlJc w:val="left"/>
      <w:lvlText w:val="(%2)"/>
      <w:numFmt w:val="lowerLetter"/>
      <w:start w:val="3"/>
    </w:lvl>
  </w:abstractNum>
  <w:abstractNum w:abstractNumId="101">
    <w:nsid w:val="45E6D486"/>
    <w:multiLevelType w:val="hybridMultilevel"/>
    <w:lvl w:ilvl="0">
      <w:lvlJc w:val="left"/>
      <w:lvlText w:val="%1."/>
      <w:numFmt w:val="decimal"/>
      <w:start w:val="4"/>
    </w:lvl>
    <w:lvl w:ilvl="1">
      <w:lvlJc w:val="left"/>
      <w:lvlText w:val="%2"/>
      <w:numFmt w:val="lowerLetter"/>
      <w:start w:val="1"/>
    </w:lvl>
  </w:abstractNum>
  <w:abstractNum w:abstractNumId="102">
    <w:nsid w:val="5C10FE21"/>
    <w:multiLevelType w:val="hybridMultilevel"/>
    <w:lvl w:ilvl="0">
      <w:lvlJc w:val="left"/>
      <w:lvlText w:val="%1."/>
      <w:numFmt w:val="decimal"/>
      <w:start w:val="9"/>
    </w:lvl>
  </w:abstractNum>
  <w:abstractNum w:abstractNumId="103">
    <w:nsid w:val="E7FFA2B"/>
    <w:multiLevelType w:val="hybridMultilevel"/>
    <w:lvl w:ilvl="0">
      <w:lvlJc w:val="left"/>
      <w:lvlText w:val="-"/>
      <w:numFmt w:val="bullet"/>
      <w:start w:val="1"/>
    </w:lvl>
    <w:lvl w:ilvl="1">
      <w:lvlJc w:val="left"/>
      <w:lvlText w:val=","/>
      <w:numFmt w:val="bullet"/>
      <w:start w:val="1"/>
    </w:lvl>
  </w:abstractNum>
  <w:abstractNum w:abstractNumId="104">
    <w:nsid w:val="3C5991AA"/>
    <w:multiLevelType w:val="hybridMultilevel"/>
    <w:lvl w:ilvl="0">
      <w:lvlJc w:val="left"/>
      <w:lvlText w:val="%1."/>
      <w:numFmt w:val="decimal"/>
      <w:start w:val="1"/>
    </w:lvl>
  </w:abstractNum>
  <w:abstractNum w:abstractNumId="105">
    <w:nsid w:val="4BD8591A"/>
    <w:multiLevelType w:val="hybridMultilevel"/>
    <w:lvl w:ilvl="0">
      <w:lvlJc w:val="left"/>
      <w:lvlText w:val="(%1)"/>
      <w:numFmt w:val="lowerLetter"/>
      <w:start w:val="2"/>
    </w:lvl>
  </w:abstractNum>
  <w:abstractNum w:abstractNumId="106">
    <w:nsid w:val="78DF6A5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7">
    <w:nsid w:val="39B7AAA2"/>
    <w:multiLevelType w:val="hybridMultilevel"/>
    <w:lvl w:ilvl="0">
      <w:lvlJc w:val="left"/>
      <w:lvlText w:val="%1."/>
      <w:numFmt w:val="decimal"/>
      <w:start w:val="3"/>
    </w:lvl>
    <w:lvl w:ilvl="1">
      <w:lvlJc w:val="left"/>
      <w:lvlText w:val="(%2)"/>
      <w:numFmt w:val="lowerLetter"/>
      <w:start w:val="1"/>
    </w:lvl>
  </w:abstractNum>
  <w:abstractNum w:abstractNumId="108">
    <w:nsid w:val="2B0D8DBE"/>
    <w:multiLevelType w:val="hybridMultilevel"/>
    <w:lvl w:ilvl="0">
      <w:lvlJc w:val="left"/>
      <w:lvlText w:val="(%1)"/>
      <w:numFmt w:val="lowerLetter"/>
      <w:start w:val="2"/>
    </w:lvl>
    <w:lvl w:ilvl="1">
      <w:lvlJc w:val="left"/>
      <w:lvlText w:val="(%2)"/>
      <w:numFmt w:val="lowerRoman"/>
      <w:start w:val="1"/>
    </w:lvl>
  </w:abstractNum>
  <w:abstractNum w:abstractNumId="109">
    <w:nsid w:val="6C80EC70"/>
    <w:multiLevelType w:val="hybridMultilevel"/>
    <w:lvl w:ilvl="0">
      <w:lvlJc w:val="left"/>
      <w:lvlText w:val="%1"/>
      <w:numFmt w:val="decimal"/>
      <w:start w:val="1"/>
    </w:lvl>
    <w:lvl w:ilvl="1">
      <w:lvlJc w:val="left"/>
      <w:lvlText w:val="(%2)"/>
      <w:numFmt w:val="lowerLetter"/>
      <w:start w:val="3"/>
    </w:lvl>
  </w:abstractNum>
  <w:abstractNum w:abstractNumId="110">
    <w:nsid w:val="379E21B5"/>
    <w:multiLevelType w:val="hybridMultilevel"/>
    <w:lvl w:ilvl="0">
      <w:lvlJc w:val="left"/>
      <w:lvlText w:val="%1."/>
      <w:numFmt w:val="decimal"/>
      <w:start w:val="4"/>
    </w:lvl>
    <w:lvl w:ilvl="1">
      <w:lvlJc w:val="left"/>
      <w:lvlText w:val="%2"/>
      <w:numFmt w:val="lowerLetter"/>
      <w:start w:val="1"/>
    </w:lvl>
  </w:abstractNum>
  <w:abstractNum w:abstractNumId="111">
    <w:nsid w:val="69E373"/>
    <w:multiLevelType w:val="hybridMultilevel"/>
    <w:lvl w:ilvl="0">
      <w:lvlJc w:val="left"/>
      <w:lvlText w:val="%1."/>
      <w:numFmt w:val="decimal"/>
      <w:start w:val="9"/>
    </w:lvl>
  </w:abstractNum>
  <w:abstractNum w:abstractNumId="112">
    <w:nsid w:val="2C27173B"/>
    <w:multiLevelType w:val="hybridMultilevel"/>
    <w:lvl w:ilvl="0">
      <w:lvlJc w:val="left"/>
      <w:lvlText w:val="%1."/>
      <w:numFmt w:val="decimal"/>
      <w:start w:val="1"/>
    </w:lvl>
  </w:abstractNum>
  <w:abstractNum w:abstractNumId="113">
    <w:nsid w:val="4C9B090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4">
    <w:nsid w:val="6AA7B75C"/>
    <w:multiLevelType w:val="hybridMultilevel"/>
    <w:lvl w:ilvl="0">
      <w:lvlJc w:val="left"/>
      <w:lvlText w:val="%1"/>
      <w:numFmt w:val="lowerLetter"/>
      <w:start w:val="1"/>
    </w:lvl>
    <w:lvl w:ilvl="1">
      <w:lvlJc w:val="left"/>
      <w:lvlText w:val="(%2)"/>
      <w:numFmt w:val="lowerRoman"/>
      <w:start w:val="3"/>
    </w:lvl>
  </w:abstractNum>
  <w:abstractNum w:abstractNumId="115">
    <w:nsid w:val="1DF029D3"/>
    <w:multiLevelType w:val="hybridMultilevel"/>
    <w:lvl w:ilvl="0">
      <w:lvlJc w:val="left"/>
      <w:lvlText w:val="(%1)"/>
      <w:numFmt w:val="lowerLetter"/>
      <w:start w:val="2"/>
    </w:lvl>
    <w:lvl w:ilvl="1">
      <w:lvlJc w:val="left"/>
      <w:lvlText w:val="%2"/>
      <w:numFmt w:val="lowerRoman"/>
      <w:start w:val="1"/>
    </w:lvl>
  </w:abstractNum>
  <w:abstractNum w:abstractNumId="116">
    <w:nsid w:val="5675FF36"/>
    <w:multiLevelType w:val="hybridMultilevel"/>
    <w:lvl w:ilvl="0">
      <w:lvlJc w:val="left"/>
      <w:lvlText w:val="%1."/>
      <w:numFmt w:val="decimal"/>
      <w:start w:val="5"/>
    </w:lvl>
    <w:lvl w:ilvl="1">
      <w:lvlJc w:val="left"/>
      <w:lvlText w:val="(%2)"/>
      <w:numFmt w:val="lowerLetter"/>
      <w:start w:val="1"/>
    </w:lvl>
  </w:abstractNum>
  <w:abstractNum w:abstractNumId="117">
    <w:nsid w:val="3DD15094"/>
    <w:multiLevelType w:val="hybridMultilevel"/>
    <w:lvl w:ilvl="0">
      <w:lvlJc w:val="left"/>
      <w:lvlText w:val="(%1)"/>
      <w:numFmt w:val="lowerLetter"/>
      <w:start w:val="3"/>
    </w:lvl>
  </w:abstractNum>
  <w:abstractNum w:abstractNumId="118">
    <w:nsid w:val="3DB012B3"/>
    <w:multiLevelType w:val="hybridMultilevel"/>
    <w:lvl w:ilvl="0">
      <w:lvlJc w:val="left"/>
      <w:lvlText w:val="%1."/>
      <w:numFmt w:val="decimal"/>
      <w:start w:val="6"/>
    </w:lvl>
  </w:abstractNum>
  <w:abstractNum w:abstractNumId="119">
    <w:nsid w:val="2708C9AF"/>
    <w:multiLevelType w:val="hybridMultilevel"/>
    <w:lvl w:ilvl="0">
      <w:lvlJc w:val="left"/>
      <w:lvlText w:val="%1."/>
      <w:numFmt w:val="decimal"/>
      <w:start w:val="9"/>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2019-12-13T00:52:55Z</dcterms:created>
  <dcterms:modified xsi:type="dcterms:W3CDTF">2019-12-13T00:52:55Z</dcterms:modified>
</cp:coreProperties>
</file>