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Deutsche Bank AG</w:t>
      </w:r>
    </w:p>
    <w:p>
      <w:pPr>
        <w:spacing w:after="0" w:line="238" w:lineRule="auto"/>
        <w:rPr>
          <w:sz w:val="20"/>
          <w:szCs w:val="20"/>
          <w:color w:val="auto"/>
        </w:rPr>
      </w:pPr>
      <w:r>
        <w:rPr>
          <w:rFonts w:ascii="Courier New" w:cs="Courier New" w:eastAsia="Courier New" w:hAnsi="Courier New"/>
          <w:sz w:val="18"/>
          <w:szCs w:val="18"/>
          <w:color w:val="auto"/>
        </w:rPr>
        <w:t>Taunusanlage 12, D-60325</w:t>
      </w:r>
    </w:p>
    <w:p>
      <w:pPr>
        <w:spacing w:after="0"/>
        <w:rPr>
          <w:sz w:val="20"/>
          <w:szCs w:val="20"/>
          <w:color w:val="auto"/>
        </w:rPr>
      </w:pPr>
      <w:r>
        <w:rPr>
          <w:rFonts w:ascii="Courier New" w:cs="Courier New" w:eastAsia="Courier New" w:hAnsi="Courier New"/>
          <w:sz w:val="18"/>
          <w:szCs w:val="18"/>
          <w:color w:val="auto"/>
        </w:rPr>
        <w:t>Frankfurt am Main</w:t>
      </w:r>
    </w:p>
    <w:p>
      <w:pPr>
        <w:spacing w:after="0" w:line="237" w:lineRule="auto"/>
        <w:rPr>
          <w:sz w:val="20"/>
          <w:szCs w:val="20"/>
          <w:color w:val="auto"/>
        </w:rPr>
      </w:pPr>
      <w:r>
        <w:rPr>
          <w:rFonts w:ascii="Courier New" w:cs="Courier New" w:eastAsia="Courier New" w:hAnsi="Courier New"/>
          <w:sz w:val="18"/>
          <w:szCs w:val="18"/>
          <w:color w:val="auto"/>
        </w:rPr>
        <w:t>Federal Republic of Germany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Jeffrey A. Ruiz</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Telephone: (212) 250-3667</w:t>
      </w:r>
    </w:p>
    <w:p>
      <w:pPr>
        <w:spacing w:after="0" w:line="200" w:lineRule="exact"/>
        <w:rPr>
          <w:sz w:val="24"/>
          <w:szCs w:val="24"/>
          <w:color w:val="auto"/>
        </w:rPr>
      </w:pP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January 26,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 or Madame:</w:t>
      </w:r>
    </w:p>
    <w:p>
      <w:pPr>
        <w:spacing w:after="0" w:line="201" w:lineRule="exact"/>
        <w:rPr>
          <w:sz w:val="24"/>
          <w:szCs w:val="24"/>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-FEDERAL REALTY INVESTMENT TRUST</w:t>
      </w:r>
    </w:p>
    <w:p>
      <w:pPr>
        <w:spacing w:after="0" w:line="200" w:lineRule="exact"/>
        <w:rPr>
          <w:sz w:val="24"/>
          <w:szCs w:val="24"/>
          <w:color w:val="auto"/>
        </w:rPr>
      </w:pP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Rule 13d-1 of the Securities Exchange Act of 1934, attached is one copy of Schedule 13G with respect to the common stock of the above referenced corporation.</w:t>
      </w:r>
    </w:p>
    <w:p>
      <w:pPr>
        <w:spacing w:after="0" w:line="209"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Please acknowledge your receipt of the Schedule 13G by return e-mail confirmation.</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Jeffrey A. Ruiz</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13G</w:t>
      </w:r>
    </w:p>
    <w:p>
      <w:pPr>
        <w:ind w:left="2960"/>
        <w:spacing w:after="0" w:line="238" w:lineRule="auto"/>
        <w:rPr>
          <w:sz w:val="20"/>
          <w:szCs w:val="20"/>
          <w:color w:val="auto"/>
        </w:rPr>
      </w:pPr>
      <w:r>
        <w:rPr>
          <w:rFonts w:ascii="Courier New" w:cs="Courier New" w:eastAsia="Courier New" w:hAnsi="Courier New"/>
          <w:sz w:val="18"/>
          <w:szCs w:val="18"/>
          <w:color w:val="auto"/>
        </w:rPr>
        <w:t>(Amendment No. )</w:t>
      </w: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FEDERAL REALTY INVESTMENT TRUST</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Common Stock ($0.001 Par Value)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313747206</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December 31, 2004</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ectPr>
          <w:pgSz w:w="11900" w:h="16838" w:orient="portrait"/>
          <w:cols w:equalWidth="0" w:num="1">
            <w:col w:w="10219"/>
          </w:cols>
          <w:pgMar w:left="240" w:top="244" w:right="1440" w:bottom="0" w:gutter="0" w:footer="0" w:header="0"/>
        </w:sectPr>
      </w:pPr>
    </w:p>
    <w:bookmarkStart w:id="1" w:name="page2"/>
    <w:bookmarkEnd w:id="1"/>
    <w:p>
      <w:pPr>
        <w:jc w:val="both"/>
        <w:ind w:left="1760" w:right="5359" w:hanging="2"/>
        <w:spacing w:after="0" w:line="547" w:lineRule="auto"/>
        <w:tabs>
          <w:tab w:leader="none" w:pos="22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ectPr>
          <w:pgSz w:w="11900" w:h="16838" w:orient="portrait"/>
          <w:cols w:equalWidth="0" w:num="1">
            <w:col w:w="9019"/>
          </w:cols>
          <w:pgMar w:left="1440" w:top="142" w:right="1440" w:bottom="1440" w:gutter="0" w:footer="0" w:header="0"/>
        </w:sectPr>
      </w:pPr>
    </w:p>
    <w:bookmarkStart w:id="2" w:name="page3"/>
    <w:bookmarkEnd w:id="2"/>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960" w:right="4419" w:hanging="531"/>
        <w:spacing w:after="0" w:line="470"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NOS. OF ABOVE PERSONS Deutsche Bank AG*</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380" w:hanging="424"/>
        <w:spacing w:after="0" w:line="238" w:lineRule="auto"/>
        <w:tabs>
          <w:tab w:leader="none" w:pos="13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80" w:hanging="424"/>
        <w:spacing w:after="0" w:line="238" w:lineRule="auto"/>
        <w:tabs>
          <w:tab w:leader="none" w:pos="13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536"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Federal Republic of Germany</w:t>
      </w:r>
    </w:p>
    <w:tbl>
      <w:tblPr>
        <w:tblLayout w:type="fixed"/>
        <w:tblInd w:w="0" w:type="dxa"/>
        <w:tblCellMar>
          <w:top w:w="0" w:type="dxa"/>
          <w:left w:w="0" w:type="dxa"/>
          <w:bottom w:w="0" w:type="dxa"/>
          <w:right w:w="0" w:type="dxa"/>
        </w:tblCellMar>
      </w:tblPr>
      <w:tr>
        <w:trPr>
          <w:trHeight w:val="199"/>
        </w:trPr>
        <w:tc>
          <w:tcPr>
            <w:tcW w:w="158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line="199" w:lineRule="exact"/>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3,265,300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3,265,300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3,265,300</w:t>
      </w:r>
    </w:p>
    <w:p>
      <w:pPr>
        <w:spacing w:after="0" w:line="11" w:lineRule="exact"/>
        <w:rPr>
          <w:rFonts w:ascii="Courier New" w:cs="Courier New" w:eastAsia="Courier New" w:hAnsi="Courier New"/>
          <w:sz w:val="18"/>
          <w:szCs w:val="18"/>
          <w:color w:val="auto"/>
        </w:rPr>
      </w:pPr>
    </w:p>
    <w:p>
      <w:pPr>
        <w:ind w:left="740" w:right="2839" w:hanging="732"/>
        <w:spacing w:after="0" w:line="235" w:lineRule="auto"/>
        <w:tabs>
          <w:tab w:leader="none" w:pos="4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8"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6.27%</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 BK</w:t>
      </w:r>
    </w:p>
    <w:p>
      <w:pPr>
        <w:spacing w:after="0" w:line="12" w:lineRule="exact"/>
        <w:rPr>
          <w:sz w:val="20"/>
          <w:szCs w:val="20"/>
          <w:color w:val="auto"/>
        </w:rPr>
      </w:pPr>
    </w:p>
    <w:p>
      <w:pPr>
        <w:ind w:left="540" w:right="1779"/>
        <w:spacing w:after="0" w:line="271" w:lineRule="auto"/>
        <w:rPr>
          <w:sz w:val="20"/>
          <w:szCs w:val="20"/>
          <w:color w:val="auto"/>
        </w:rPr>
      </w:pPr>
      <w:r>
        <w:rPr>
          <w:rFonts w:ascii="Courier New" w:cs="Courier New" w:eastAsia="Courier New" w:hAnsi="Courier New"/>
          <w:sz w:val="16"/>
          <w:szCs w:val="16"/>
          <w:color w:val="auto"/>
        </w:rPr>
        <w:t>*In accordance with Securities Exchange Act Release No. 39538 (January 12, 1998), this filing reflects the securities beneficially owned by the Private Clients and Asset Management business group ("PCAM") of Deutsche Bank AG and its subsidiaries and affiliates (collectively, "DBAG"). This filing does not reflect securities, if any, beneficially owned by any other business group of DBAG. Consistent with Rule 13d-4 under the Securities Exchange Act of 1934 ("Act"), this filing shall not be construed as an admission that PCAM is, for purposes of Section 13(d) under the Act, the beneficial owner of any securities covered by the filing.</w:t>
      </w:r>
    </w:p>
    <w:p>
      <w:pPr>
        <w:sectPr>
          <w:pgSz w:w="11900" w:h="16838" w:orient="portrait"/>
          <w:cols w:equalWidth="0" w:num="1">
            <w:col w:w="10219"/>
          </w:cols>
          <w:pgMar w:left="240" w:top="717" w:right="1440" w:bottom="1440" w:gutter="0" w:footer="0" w:header="0"/>
        </w:sectPr>
      </w:pPr>
    </w:p>
    <w:bookmarkStart w:id="3" w:name="page4"/>
    <w:bookmarkEnd w:id="3"/>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960" w:right="4419" w:hanging="531"/>
        <w:spacing w:after="0" w:line="470"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NOS. OF ABOVE PERSONS RREEF America, L.L.C.</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380" w:hanging="424"/>
        <w:spacing w:after="0" w:line="238" w:lineRule="auto"/>
        <w:tabs>
          <w:tab w:leader="none" w:pos="13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80" w:hanging="424"/>
        <w:spacing w:after="0" w:line="238" w:lineRule="auto"/>
        <w:tabs>
          <w:tab w:leader="none" w:pos="13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3,265,300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3,265,300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3,265,300</w:t>
      </w:r>
    </w:p>
    <w:p>
      <w:pPr>
        <w:spacing w:after="0" w:line="11" w:lineRule="exact"/>
        <w:rPr>
          <w:rFonts w:ascii="Courier New" w:cs="Courier New" w:eastAsia="Courier New" w:hAnsi="Courier New"/>
          <w:sz w:val="18"/>
          <w:szCs w:val="18"/>
          <w:color w:val="auto"/>
        </w:rPr>
      </w:pPr>
    </w:p>
    <w:p>
      <w:pPr>
        <w:ind w:left="740" w:right="2839" w:hanging="732"/>
        <w:spacing w:after="0" w:line="235" w:lineRule="auto"/>
        <w:tabs>
          <w:tab w:leader="none" w:pos="4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8"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6.27%</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FEDERAL REALTY INVESTMENT TRUST(the Issuer )</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1626 EAST JEFFERSON STREET,ROCKVILLE,MD 20852-4041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380" w:right="3159"/>
        <w:spacing w:after="0" w:line="235" w:lineRule="auto"/>
        <w:rPr>
          <w:sz w:val="20"/>
          <w:szCs w:val="20"/>
          <w:color w:val="auto"/>
        </w:rPr>
      </w:pPr>
      <w:r>
        <w:rPr>
          <w:rFonts w:ascii="Courier New" w:cs="Courier New" w:eastAsia="Courier New" w:hAnsi="Courier New"/>
          <w:sz w:val="18"/>
          <w:szCs w:val="18"/>
          <w:color w:val="auto"/>
        </w:rPr>
        <w:t>This statement is filed on behalf of Deutsche Bank AG, ("Reporting Person").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Taunusanlage 12, D-60325</w:t>
      </w:r>
    </w:p>
    <w:p>
      <w:pPr>
        <w:ind w:left="1900"/>
        <w:spacing w:after="0" w:line="238" w:lineRule="auto"/>
        <w:rPr>
          <w:sz w:val="20"/>
          <w:szCs w:val="20"/>
          <w:color w:val="auto"/>
        </w:rPr>
      </w:pPr>
      <w:r>
        <w:rPr>
          <w:rFonts w:ascii="Courier New" w:cs="Courier New" w:eastAsia="Courier New" w:hAnsi="Courier New"/>
          <w:sz w:val="18"/>
          <w:szCs w:val="18"/>
          <w:color w:val="auto"/>
        </w:rPr>
        <w:t>Frankfurt am Main</w:t>
      </w:r>
    </w:p>
    <w:p>
      <w:pPr>
        <w:ind w:left="1900"/>
        <w:spacing w:after="0"/>
        <w:rPr>
          <w:sz w:val="20"/>
          <w:szCs w:val="20"/>
          <w:color w:val="auto"/>
        </w:rPr>
      </w:pPr>
      <w:r>
        <w:rPr>
          <w:rFonts w:ascii="Courier New" w:cs="Courier New" w:eastAsia="Courier New" w:hAnsi="Courier New"/>
          <w:sz w:val="18"/>
          <w:szCs w:val="18"/>
          <w:color w:val="auto"/>
        </w:rPr>
        <w:t>Federal Republic of Germany</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citizenship of the Reporting Person is set forth on the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cover page.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title of the securities is common stock, $0.001 par value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CUSIP number of the Common Stock is set forth on the cover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800" w:hanging="423"/>
        <w:spacing w:after="0"/>
        <w:tabs>
          <w:tab w:leader="none" w:pos="18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16" w:lineRule="exact"/>
        <w:rPr>
          <w:rFonts w:ascii="Courier New" w:cs="Courier New" w:eastAsia="Courier New" w:hAnsi="Courier New"/>
          <w:sz w:val="16"/>
          <w:szCs w:val="16"/>
          <w:color w:val="auto"/>
        </w:rPr>
      </w:pPr>
    </w:p>
    <w:p>
      <w:pPr>
        <w:ind w:left="1800" w:hanging="423"/>
        <w:spacing w:after="0" w:line="238" w:lineRule="auto"/>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w:t>
      </w:r>
    </w:p>
    <w:p>
      <w:pPr>
        <w:ind w:left="2220"/>
        <w:spacing w:after="0" w:line="238" w:lineRule="auto"/>
        <w:rPr>
          <w:sz w:val="20"/>
          <w:szCs w:val="20"/>
          <w:color w:val="auto"/>
        </w:rPr>
      </w:pPr>
      <w:r>
        <w:rPr>
          <w:rFonts w:ascii="Courier New" w:cs="Courier New" w:eastAsia="Courier New" w:hAnsi="Courier New"/>
          <w:sz w:val="18"/>
          <w:szCs w:val="18"/>
          <w:color w:val="auto"/>
        </w:rPr>
        <w:t>of the Act;</w:t>
      </w:r>
    </w:p>
    <w:p>
      <w:pPr>
        <w:spacing w:after="0" w:line="207" w:lineRule="exact"/>
        <w:rPr>
          <w:sz w:val="20"/>
          <w:szCs w:val="20"/>
          <w:color w:val="auto"/>
        </w:rPr>
      </w:pPr>
    </w:p>
    <w:p>
      <w:pPr>
        <w:ind w:left="2220" w:right="2519" w:hanging="843"/>
        <w:spacing w:after="0" w:line="235" w:lineRule="auto"/>
        <w:tabs>
          <w:tab w:leader="none" w:pos="17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2320"/>
        <w:spacing w:after="0" w:line="238" w:lineRule="auto"/>
        <w:rPr>
          <w:sz w:val="20"/>
          <w:szCs w:val="20"/>
          <w:color w:val="auto"/>
        </w:rPr>
      </w:pPr>
      <w:r>
        <w:rPr>
          <w:rFonts w:ascii="Courier New" w:cs="Courier New" w:eastAsia="Courier New" w:hAnsi="Courier New"/>
          <w:sz w:val="18"/>
          <w:szCs w:val="18"/>
          <w:color w:val="auto"/>
        </w:rPr>
        <w:t>13d-1(b)(1)(ii)(E); RREEF America, L.L.C.</w:t>
      </w:r>
    </w:p>
    <w:p>
      <w:pPr>
        <w:spacing w:after="0" w:line="207" w:lineRule="exact"/>
        <w:rPr>
          <w:sz w:val="20"/>
          <w:szCs w:val="20"/>
          <w:color w:val="auto"/>
        </w:rPr>
      </w:pPr>
    </w:p>
    <w:p>
      <w:pPr>
        <w:ind w:left="2220" w:right="3159" w:hanging="843"/>
        <w:spacing w:after="0" w:line="235" w:lineRule="auto"/>
        <w:tabs>
          <w:tab w:leader="none" w:pos="179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 (b)(1)(ii)(F);</w:t>
      </w:r>
    </w:p>
    <w:p>
      <w:pPr>
        <w:spacing w:after="0" w:line="208" w:lineRule="exact"/>
        <w:rPr>
          <w:rFonts w:ascii="Courier New" w:cs="Courier New" w:eastAsia="Courier New" w:hAnsi="Courier New"/>
          <w:sz w:val="18"/>
          <w:szCs w:val="18"/>
          <w:color w:val="auto"/>
        </w:rPr>
      </w:pPr>
    </w:p>
    <w:p>
      <w:pPr>
        <w:ind w:left="2220" w:right="3479" w:hanging="843"/>
        <w:spacing w:after="0" w:line="290" w:lineRule="auto"/>
        <w:tabs>
          <w:tab w:leader="none" w:pos="17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Parent holding company or control person in accordance with Rule 13d-1 (b)(1)(ii)(G);</w:t>
      </w:r>
    </w:p>
    <w:p>
      <w:pPr>
        <w:spacing w:after="0" w:line="16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Deutsche Bank AG</w:t>
      </w:r>
    </w:p>
    <w:p>
      <w:pPr>
        <w:spacing w:after="0" w:line="207" w:lineRule="exact"/>
        <w:rPr>
          <w:sz w:val="20"/>
          <w:szCs w:val="20"/>
          <w:color w:val="auto"/>
        </w:rPr>
      </w:pPr>
    </w:p>
    <w:p>
      <w:pPr>
        <w:ind w:left="2220" w:right="3479" w:hanging="843"/>
        <w:spacing w:after="0" w:line="290" w:lineRule="auto"/>
        <w:tabs>
          <w:tab w:leader="none" w:pos="179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w:t>
      </w:r>
    </w:p>
    <w:p>
      <w:pPr>
        <w:spacing w:after="0" w:line="169" w:lineRule="exact"/>
        <w:rPr>
          <w:rFonts w:ascii="Courier New" w:cs="Courier New" w:eastAsia="Courier New" w:hAnsi="Courier New"/>
          <w:sz w:val="16"/>
          <w:szCs w:val="16"/>
          <w:color w:val="auto"/>
        </w:rPr>
      </w:pPr>
    </w:p>
    <w:p>
      <w:pPr>
        <w:ind w:left="2220" w:right="2839" w:hanging="843"/>
        <w:spacing w:after="0" w:line="279" w:lineRule="auto"/>
        <w:tabs>
          <w:tab w:leader="none" w:pos="179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w:t>
      </w:r>
    </w:p>
    <w:p>
      <w:pPr>
        <w:spacing w:after="0" w:line="172" w:lineRule="exact"/>
        <w:rPr>
          <w:rFonts w:ascii="Courier New" w:cs="Courier New" w:eastAsia="Courier New" w:hAnsi="Courier New"/>
          <w:sz w:val="16"/>
          <w:szCs w:val="16"/>
          <w:color w:val="auto"/>
        </w:rPr>
      </w:pPr>
    </w:p>
    <w:p>
      <w:pPr>
        <w:ind w:left="1800" w:hanging="423"/>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 (b)(1)(ii)(J).</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left="1800" w:right="2199"/>
        <w:spacing w:after="0" w:line="235" w:lineRule="auto"/>
        <w:rPr>
          <w:sz w:val="20"/>
          <w:szCs w:val="20"/>
          <w:color w:val="auto"/>
        </w:rPr>
      </w:pPr>
      <w:r>
        <w:rPr>
          <w:rFonts w:ascii="Courier New" w:cs="Courier New" w:eastAsia="Courier New" w:hAnsi="Courier New"/>
          <w:sz w:val="18"/>
          <w:szCs w:val="18"/>
          <w:color w:val="auto"/>
        </w:rPr>
        <w:t>The Reporting Person owns the amount of the Common Stock as set forth on the cover page.</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 Percent of class:</w:t>
      </w:r>
    </w:p>
    <w:p>
      <w:pPr>
        <w:sectPr>
          <w:pgSz w:w="11900" w:h="16838" w:orient="portrait"/>
          <w:cols w:equalWidth="0" w:num="1">
            <w:col w:w="10219"/>
          </w:cols>
          <w:pgMar w:left="240" w:top="717" w:right="1440" w:bottom="0" w:gutter="0" w:footer="0" w:header="0"/>
        </w:sectPr>
      </w:pPr>
    </w:p>
    <w:bookmarkStart w:id="5" w:name="page6"/>
    <w:bookmarkEnd w:id="5"/>
    <w:p>
      <w:pPr>
        <w:ind w:left="1800" w:right="2099"/>
        <w:spacing w:after="0" w:line="235" w:lineRule="auto"/>
        <w:rPr>
          <w:sz w:val="20"/>
          <w:szCs w:val="20"/>
          <w:color w:val="auto"/>
        </w:rPr>
      </w:pPr>
      <w:r>
        <w:rPr>
          <w:rFonts w:ascii="Courier New" w:cs="Courier New" w:eastAsia="Courier New" w:hAnsi="Courier New"/>
          <w:sz w:val="18"/>
          <w:szCs w:val="18"/>
          <w:color w:val="auto"/>
        </w:rPr>
        <w:t>The Reporting Person owns the percentage of the Common Stock as set forth on the cover page.</w:t>
      </w:r>
    </w:p>
    <w:p>
      <w:pPr>
        <w:spacing w:after="0" w:line="203" w:lineRule="exact"/>
        <w:rPr>
          <w:sz w:val="20"/>
          <w:szCs w:val="20"/>
          <w:color w:val="auto"/>
        </w:rPr>
      </w:pPr>
    </w:p>
    <w:p>
      <w:pPr>
        <w:ind w:left="1800" w:hanging="423"/>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440" w:hanging="641"/>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2440"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direct the vote of the Common Stock as set forth on the cover page.</w:t>
      </w:r>
    </w:p>
    <w:p>
      <w:pPr>
        <w:spacing w:after="0" w:line="203" w:lineRule="exact"/>
        <w:rPr>
          <w:rFonts w:ascii="Courier New" w:cs="Courier New" w:eastAsia="Courier New" w:hAnsi="Courier New"/>
          <w:sz w:val="18"/>
          <w:szCs w:val="18"/>
          <w:color w:val="auto"/>
        </w:rPr>
      </w:pPr>
    </w:p>
    <w:p>
      <w:pPr>
        <w:ind w:left="2440" w:hanging="641"/>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244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shared power to vote or direct the vote of the Common Stock as set forth on the cover page.</w:t>
      </w:r>
    </w:p>
    <w:p>
      <w:pPr>
        <w:spacing w:after="0" w:line="203" w:lineRule="exact"/>
        <w:rPr>
          <w:rFonts w:ascii="Courier New" w:cs="Courier New" w:eastAsia="Courier New" w:hAnsi="Courier New"/>
          <w:sz w:val="18"/>
          <w:szCs w:val="18"/>
          <w:color w:val="auto"/>
        </w:rPr>
      </w:pPr>
    </w:p>
    <w:p>
      <w:pPr>
        <w:ind w:left="2440" w:hanging="641"/>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244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dispose or direct the disposition of the Common Stock as set forth on the cover page.</w:t>
      </w:r>
    </w:p>
    <w:p>
      <w:pPr>
        <w:spacing w:after="0" w:line="208" w:lineRule="exact"/>
        <w:rPr>
          <w:rFonts w:ascii="Courier New" w:cs="Courier New" w:eastAsia="Courier New" w:hAnsi="Courier New"/>
          <w:sz w:val="18"/>
          <w:szCs w:val="18"/>
          <w:color w:val="auto"/>
        </w:rPr>
      </w:pPr>
    </w:p>
    <w:p>
      <w:pPr>
        <w:ind w:left="2440" w:hanging="641"/>
        <w:spacing w:after="0"/>
        <w:tabs>
          <w:tab w:leader="none" w:pos="244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24" w:lineRule="exact"/>
        <w:rPr>
          <w:sz w:val="20"/>
          <w:szCs w:val="20"/>
          <w:color w:val="auto"/>
        </w:rPr>
      </w:pPr>
    </w:p>
    <w:p>
      <w:pPr>
        <w:jc w:val="both"/>
        <w:ind w:left="2440" w:right="2319"/>
        <w:spacing w:after="0" w:line="236" w:lineRule="auto"/>
        <w:rPr>
          <w:sz w:val="20"/>
          <w:szCs w:val="20"/>
          <w:color w:val="auto"/>
        </w:rPr>
      </w:pPr>
      <w:r>
        <w:rPr>
          <w:rFonts w:ascii="Courier New" w:cs="Courier New" w:eastAsia="Courier New" w:hAnsi="Courier New"/>
          <w:sz w:val="18"/>
          <w:szCs w:val="18"/>
          <w:color w:val="auto"/>
        </w:rPr>
        <w:t>The Reporting Person has the shared power to dispose or direct the disposition of the Common Stock as set forth on the cover page.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ectPr>
          <w:pgSz w:w="11900" w:h="16838" w:orient="portrait"/>
          <w:cols w:equalWidth="0" w:num="1">
            <w:col w:w="10219"/>
          </w:cols>
          <w:pgMar w:left="240" w:top="344" w:right="1440" w:bottom="1440" w:gutter="0" w:footer="0" w:header="0"/>
        </w:sectPr>
      </w:pPr>
    </w:p>
    <w:p>
      <w:pPr>
        <w:spacing w:after="0" w:line="170"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Subsidiary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4760" w:space="720"/>
            <w:col w:w="4739"/>
          </w:cols>
          <w:pgMar w:left="240" w:top="344" w:right="1440" w:bottom="1440" w:gutter="0" w:footer="0" w:header="0"/>
          <w:type w:val="continuous"/>
        </w:sectPr>
      </w:pPr>
    </w:p>
    <w:p>
      <w:pPr>
        <w:spacing w:after="0" w:line="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RREEF America,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Advisor</w:t>
      </w:r>
    </w:p>
    <w:p>
      <w:pPr>
        <w:spacing w:after="0" w:line="200" w:lineRule="exact"/>
        <w:rPr>
          <w:sz w:val="20"/>
          <w:szCs w:val="20"/>
          <w:color w:val="auto"/>
        </w:rPr>
      </w:pPr>
    </w:p>
    <w:p>
      <w:pPr>
        <w:sectPr>
          <w:pgSz w:w="11900" w:h="16838" w:orient="portrait"/>
          <w:cols w:equalWidth="0" w:num="2">
            <w:col w:w="4880" w:space="720"/>
            <w:col w:w="4619"/>
          </w:cols>
          <w:pgMar w:left="240" w:top="344" w:right="1440" w:bottom="1440" w:gutter="0" w:footer="0" w:header="0"/>
          <w:type w:val="continuous"/>
        </w:sectPr>
      </w:pP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44" w:right="1440" w:bottom="1440" w:gutter="0" w:footer="0" w:header="0"/>
          <w:type w:val="continuous"/>
        </w:sectPr>
      </w:pPr>
    </w:p>
    <w:bookmarkStart w:id="6" w:name="page7"/>
    <w:bookmarkEnd w:id="6"/>
    <w:p>
      <w:pPr>
        <w:ind w:left="40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1/26/05</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DEUTSCHE BANK AG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Jeffrey A. Ruiz</w:t>
      </w:r>
    </w:p>
    <w:p>
      <w:pPr>
        <w:ind w:left="4020"/>
        <w:spacing w:after="0" w:line="238" w:lineRule="auto"/>
        <w:rPr>
          <w:sz w:val="20"/>
          <w:szCs w:val="20"/>
          <w:color w:val="auto"/>
        </w:rPr>
      </w:pPr>
      <w:r>
        <w:rPr>
          <w:rFonts w:ascii="Courier New" w:cs="Courier New" w:eastAsia="Courier New" w:hAnsi="Courier New"/>
          <w:sz w:val="18"/>
          <w:szCs w:val="18"/>
          <w:color w:val="auto"/>
        </w:rPr>
        <w:t>Name: Jeffrey A. Ruiz</w:t>
      </w:r>
    </w:p>
    <w:p>
      <w:pPr>
        <w:ind w:left="402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Pasquale Antolino</w:t>
      </w:r>
    </w:p>
    <w:p>
      <w:pPr>
        <w:ind w:left="4020"/>
        <w:spacing w:after="0" w:line="238" w:lineRule="auto"/>
        <w:rPr>
          <w:sz w:val="20"/>
          <w:szCs w:val="20"/>
          <w:color w:val="auto"/>
        </w:rPr>
      </w:pPr>
      <w:r>
        <w:rPr>
          <w:rFonts w:ascii="Courier New" w:cs="Courier New" w:eastAsia="Courier New" w:hAnsi="Courier New"/>
          <w:sz w:val="18"/>
          <w:szCs w:val="18"/>
          <w:color w:val="auto"/>
        </w:rPr>
        <w:t>Name: Pasquale Antolino</w:t>
      </w:r>
    </w:p>
    <w:p>
      <w:pPr>
        <w:ind w:left="4020"/>
        <w:spacing w:after="0"/>
        <w:rPr>
          <w:sz w:val="20"/>
          <w:szCs w:val="20"/>
          <w:color w:val="auto"/>
        </w:rPr>
      </w:pPr>
      <w:r>
        <w:rPr>
          <w:rFonts w:ascii="Courier New" w:cs="Courier New" w:eastAsia="Courier New" w:hAnsi="Courier New"/>
          <w:sz w:val="18"/>
          <w:szCs w:val="18"/>
          <w:color w:val="auto"/>
        </w:rPr>
        <w:t>Title: Associate</w:t>
      </w:r>
    </w:p>
    <w:p>
      <w:pPr>
        <w:sectPr>
          <w:pgSz w:w="11900" w:h="16838" w:orient="portrait"/>
          <w:cols w:equalWidth="0" w:num="1">
            <w:col w:w="10219"/>
          </w:cols>
          <w:pgMar w:left="240" w:top="1122" w:right="1440" w:bottom="1440" w:gutter="0" w:footer="0" w:header="0"/>
        </w:sectPr>
      </w:pPr>
    </w:p>
    <w:bookmarkStart w:id="7" w:name="page8"/>
    <w:bookmarkEnd w:id="7"/>
    <w:p>
      <w:pPr>
        <w:ind w:left="40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1/26/05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RREEF America,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Mark Zeisloft</w:t>
      </w:r>
    </w:p>
    <w:p>
      <w:pPr>
        <w:ind w:left="4020"/>
        <w:spacing w:after="0" w:line="238" w:lineRule="auto"/>
        <w:rPr>
          <w:sz w:val="20"/>
          <w:szCs w:val="20"/>
          <w:color w:val="auto"/>
        </w:rPr>
      </w:pPr>
      <w:r>
        <w:rPr>
          <w:rFonts w:ascii="Courier New" w:cs="Courier New" w:eastAsia="Courier New" w:hAnsi="Courier New"/>
          <w:sz w:val="18"/>
          <w:szCs w:val="18"/>
          <w:color w:val="auto"/>
        </w:rPr>
        <w:t>Name: Mark Zeisloft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Title:</w:t>
        <w:tab/>
        <w:t>Vice President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lvl w:ilvl="1">
      <w:lvlJc w:val="left"/>
      <w:lvlText w:val="S.%2."/>
      <w:numFmt w:val="upperLetter"/>
      <w:start w:val="19"/>
    </w:lvl>
    <w:lvl w:ilvl="2">
      <w:lvlJc w:val="left"/>
      <w:lvlText w:val="(%3)"/>
      <w:numFmt w:val="upp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S.%2."/>
      <w:numFmt w:val="upperLetter"/>
      <w:start w:val="19"/>
    </w:lvl>
    <w:lvl w:ilvl="2">
      <w:lvlJc w:val="left"/>
      <w:lvlText w:val="(%3)"/>
      <w:numFmt w:val="upp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6"/>
    </w:lvl>
  </w:abstractNum>
  <w:abstractNum w:abstractNumId="8">
    <w:nsid w:val="4DB127F8"/>
    <w:multiLevelType w:val="hybridMultilevel"/>
    <w:lvl w:ilvl="0">
      <w:lvlJc w:val="left"/>
      <w:lvlText w:val="(%1)"/>
      <w:numFmt w:val="lowerLetter"/>
      <w:start w:val="8"/>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2019-12-12T09:18:45Z</dcterms:created>
  <dcterms:modified xsi:type="dcterms:W3CDTF">2019-12-12T09:18:45Z</dcterms:modified>
</cp:coreProperties>
</file>