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Price Per Unit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3.25% Notes due 2027</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$175,000,000</w:t>
            </w:r>
          </w:p>
        </w:tc>
        <w:tc>
          <w:tcPr>
            <w:tcW w:w="156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color w:val="auto"/>
              </w:rPr>
              <w:t>$21,787.50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60" w:right="48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filing fee is calculated in accordance with Rule 457(r) under the Securities Act of 1933, as amended (the “Securities Act”), and relates to the Registration Statement on Form S-3 (No. 333-203999) filed on May 8, 2015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 SUPPLEMENT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PROSPECTUS DATED MAY 8, 2015)</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74295</wp:posOffset>
            </wp:positionV>
            <wp:extent cx="2186940" cy="866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3.25%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We are offering $175,000,000 aggregate principal amount of our 3.25% Notes due 2027. The notes offered hereby consist of an additional issuance of our 3.25% Notes due 2027, $300 million aggregate principal amount of which were previously issued and are outstanding. The notes offered hereby will become part of the same series as the outstanding 3.25% Notes due 2027 for all purposes and are referred to herein, together with such outstanding notes, as the notes.</w:t>
      </w:r>
    </w:p>
    <w:p>
      <w:pPr>
        <w:spacing w:after="0" w:line="18"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The notes bear interest at the rate of 3.25% per year. Interest on the notes is payable on January 15 and July 15 of each year, beginning on January 15, 2018. The notes will mature on July 15, 2027 (unless redeemed prior to such date in accordance with their terms). We may redeem some or all of the notes at any time before maturity at the applicable redemption price discussed under the caption “Description of Notes — Optional Redemption.”</w:t>
      </w:r>
    </w:p>
    <w:p>
      <w:pPr>
        <w:spacing w:after="0" w:line="36" w:lineRule="exact"/>
        <w:rPr>
          <w:sz w:val="20"/>
          <w:szCs w:val="20"/>
          <w:color w:val="auto"/>
        </w:rPr>
      </w:pPr>
    </w:p>
    <w:p>
      <w:pPr>
        <w:ind w:right="80"/>
        <w:spacing w:after="0" w:line="362" w:lineRule="auto"/>
        <w:rPr>
          <w:sz w:val="20"/>
          <w:szCs w:val="20"/>
          <w:color w:val="auto"/>
        </w:rPr>
      </w:pPr>
      <w:r>
        <w:rPr>
          <w:rFonts w:ascii="Arial" w:cs="Arial" w:eastAsia="Arial" w:hAnsi="Arial"/>
          <w:sz w:val="14"/>
          <w:szCs w:val="14"/>
          <w:color w:val="auto"/>
        </w:rPr>
        <w:t>The notes are our senior unsecured obligations and rank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do not intend to apply to list the notes on any securities exchange. An active trading market for the notes may not be maintained.</w:t>
      </w:r>
    </w:p>
    <w:p>
      <w:pPr>
        <w:spacing w:after="0" w:line="73" w:lineRule="exact"/>
        <w:rPr>
          <w:sz w:val="20"/>
          <w:szCs w:val="20"/>
          <w:color w:val="auto"/>
        </w:rPr>
      </w:pPr>
    </w:p>
    <w:p>
      <w:pPr>
        <w:ind w:right="40"/>
        <w:spacing w:after="0" w:line="253"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the notes involves risks. See “</w:t>
      </w:r>
      <w:hyperlink w:anchor="page10">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S-5 of this prospectus supplement, on page 5 of the accompanying prospectus and in our Annual Report on Form 10-K for the year ended December 31, 2016, filed with the Securities and Exchange Commission, or the SEC, on 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Per Note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line="216" w:lineRule="exact"/>
              <w:rPr>
                <w:sz w:val="20"/>
                <w:szCs w:val="20"/>
                <w:color w:val="auto"/>
              </w:rPr>
            </w:pPr>
            <w:r>
              <w:rPr>
                <w:rFonts w:ascii="Arial" w:cs="Arial" w:eastAsia="Arial" w:hAnsi="Arial"/>
                <w:sz w:val="15"/>
                <w:szCs w:val="15"/>
                <w:color w:val="auto"/>
              </w:rPr>
              <w:t>Public offering price</w:t>
            </w:r>
            <w:r>
              <w:rPr>
                <w:rFonts w:ascii="Arial" w:cs="Arial" w:eastAsia="Arial" w:hAnsi="Arial"/>
                <w:sz w:val="25"/>
                <w:szCs w:val="25"/>
                <w:color w:val="auto"/>
                <w:vertAlign w:val="superscript"/>
              </w:rPr>
              <w:t>(1)</w:t>
            </w:r>
          </w:p>
        </w:tc>
        <w:tc>
          <w:tcPr>
            <w:tcW w:w="21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shd w:val="clear" w:color="auto" w:fill="CCEEFF"/>
          </w:tcPr>
          <w:p>
            <w:pPr>
              <w:spacing w:after="0"/>
              <w:rPr>
                <w:sz w:val="17"/>
                <w:szCs w:val="17"/>
                <w:color w:val="auto"/>
              </w:rPr>
            </w:pPr>
          </w:p>
        </w:tc>
        <w:tc>
          <w:tcPr>
            <w:tcW w:w="21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99.404%</w:t>
            </w: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173,957,000</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Underwriting discount</w:t>
            </w:r>
          </w:p>
        </w:tc>
        <w:tc>
          <w:tcPr>
            <w:tcW w:w="3060" w:type="dxa"/>
            <w:vAlign w:val="bottom"/>
            <w:gridSpan w:val="3"/>
          </w:tcPr>
          <w:p>
            <w:pPr>
              <w:jc w:val="right"/>
              <w:ind w:right="220"/>
              <w:spacing w:after="0"/>
              <w:rPr>
                <w:sz w:val="20"/>
                <w:szCs w:val="20"/>
                <w:color w:val="auto"/>
              </w:rPr>
            </w:pPr>
            <w:r>
              <w:rPr>
                <w:rFonts w:ascii="Arial" w:cs="Arial" w:eastAsia="Arial" w:hAnsi="Arial"/>
                <w:sz w:val="16"/>
                <w:szCs w:val="16"/>
                <w:color w:val="auto"/>
              </w:rPr>
              <w:t>0.650%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1,137,500</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23"/>
                <w:szCs w:val="23"/>
                <w:color w:val="auto"/>
                <w:vertAlign w:val="superscript"/>
              </w:rPr>
              <w:t>(1)</w:t>
            </w:r>
          </w:p>
        </w:tc>
        <w:tc>
          <w:tcPr>
            <w:tcW w:w="3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98.754%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172,819,500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300" w:hanging="332"/>
        <w:spacing w:after="0" w:line="213"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Plus accrued interest from and including June 23, 2017 (the date of issuance of the $300 million aggregate principal amount of notes currently outstanding) to, but not including, the issuance date of the notes offered hereby, in the amount of $2,812,152.78. This accrued interest must be paid by purchasers of the notes.</w:t>
      </w:r>
    </w:p>
    <w:p>
      <w:pPr>
        <w:spacing w:after="0" w:line="64" w:lineRule="exact"/>
        <w:rPr>
          <w:sz w:val="20"/>
          <w:szCs w:val="20"/>
          <w:color w:val="auto"/>
        </w:rPr>
      </w:pPr>
    </w:p>
    <w:p>
      <w:pPr>
        <w:ind w:right="640"/>
        <w:spacing w:after="0" w:line="293" w:lineRule="auto"/>
        <w:rPr>
          <w:sz w:val="20"/>
          <w:szCs w:val="20"/>
          <w:color w:val="auto"/>
        </w:rPr>
      </w:pPr>
      <w:r>
        <w:rPr>
          <w:rFonts w:ascii="Arial" w:cs="Arial" w:eastAsia="Arial" w:hAnsi="Arial"/>
          <w:sz w:val="16"/>
          <w:szCs w:val="16"/>
          <w:color w:val="auto"/>
        </w:rPr>
        <w:t>The underwriters expect to deliver the notes offered hereby to purchasers in book-entry only form through the facilities of The Depository Trust Company on or about December 21, 2017.</w:t>
      </w:r>
    </w:p>
    <w:p>
      <w:pPr>
        <w:spacing w:after="0" w:line="19" w:lineRule="exact"/>
        <w:rPr>
          <w:sz w:val="20"/>
          <w:szCs w:val="20"/>
          <w:color w:val="auto"/>
        </w:rPr>
      </w:pPr>
    </w:p>
    <w:p>
      <w:pPr>
        <w:ind w:right="960"/>
        <w:spacing w:after="0" w:line="298"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86"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Wells Fargo Securities</w:t>
      </w:r>
    </w:p>
    <w:p>
      <w:pPr>
        <w:spacing w:after="0" w:line="106" w:lineRule="exact"/>
        <w:rPr>
          <w:sz w:val="20"/>
          <w:szCs w:val="20"/>
          <w:color w:val="auto"/>
        </w:rPr>
      </w:pPr>
    </w:p>
    <w:p>
      <w:pPr>
        <w:sectPr>
          <w:pgSz w:w="11900" w:h="16838" w:orient="portrait"/>
          <w:cols w:equalWidth="0" w:num="4">
            <w:col w:w="2300" w:space="720"/>
            <w:col w:w="2340" w:space="520"/>
            <w:col w:w="2560" w:space="580"/>
            <w:col w:w="24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Citigroup</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Regions Securities LLC</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J.P. Morgan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PNC Capital Markets LLC</w:t>
      </w:r>
    </w:p>
    <w:p>
      <w:pPr>
        <w:spacing w:after="0" w:line="22" w:lineRule="exact"/>
        <w:rPr>
          <w:sz w:val="20"/>
          <w:szCs w:val="20"/>
          <w:color w:val="auto"/>
        </w:rPr>
      </w:pPr>
    </w:p>
    <w:p>
      <w:pPr>
        <w:ind w:left="120"/>
        <w:spacing w:after="0"/>
        <w:tabs>
          <w:tab w:leader="none" w:pos="1940" w:val="left"/>
        </w:tabs>
        <w:rPr>
          <w:sz w:val="20"/>
          <w:szCs w:val="20"/>
          <w:color w:val="auto"/>
        </w:rPr>
      </w:pPr>
      <w:r>
        <w:rPr>
          <w:rFonts w:ascii="Arial" w:cs="Arial" w:eastAsia="Arial" w:hAnsi="Arial"/>
          <w:sz w:val="20"/>
          <w:szCs w:val="20"/>
          <w:b w:val="1"/>
          <w:bCs w:val="1"/>
          <w:color w:val="auto"/>
        </w:rPr>
        <w:t>TD Securities</w:t>
      </w:r>
      <w:r>
        <w:rPr>
          <w:sz w:val="20"/>
          <w:szCs w:val="20"/>
          <w:color w:val="auto"/>
        </w:rPr>
        <w:tab/>
      </w:r>
      <w:r>
        <w:rPr>
          <w:rFonts w:ascii="Arial" w:cs="Arial" w:eastAsia="Arial" w:hAnsi="Arial"/>
          <w:sz w:val="16"/>
          <w:szCs w:val="16"/>
          <w:b w:val="1"/>
          <w:bCs w:val="1"/>
          <w:color w:val="auto"/>
        </w:rPr>
        <w:t>US Bancorp</w:t>
      </w:r>
    </w:p>
    <w:p>
      <w:pPr>
        <w:spacing w:after="0" w:line="68" w:lineRule="exact"/>
        <w:rPr>
          <w:sz w:val="20"/>
          <w:szCs w:val="20"/>
          <w:color w:val="auto"/>
        </w:rPr>
      </w:pPr>
    </w:p>
    <w:p>
      <w:pPr>
        <w:sectPr>
          <w:pgSz w:w="11900" w:h="16838" w:orient="portrait"/>
          <w:cols w:equalWidth="0" w:num="3">
            <w:col w:w="3080" w:space="720"/>
            <w:col w:w="3920" w:space="720"/>
            <w:col w:w="29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The date of this prospectus supplement is December 7,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2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7"/>
            <w:vMerge w:val="continue"/>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628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Additional Material Federal Income Tax Considerations</w:t>
              </w:r>
            </w:hyperlink>
          </w:p>
        </w:tc>
        <w:tc>
          <w:tcPr>
            <w:tcW w:w="640" w:type="dxa"/>
            <w:vAlign w:val="bottom"/>
            <w:gridSpan w:val="2"/>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Underwriting (Conflicts of Interest)</w:t>
              </w:r>
            </w:hyperlink>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Experts</w:t>
              </w:r>
            </w:hyperlink>
          </w:p>
        </w:tc>
        <w:tc>
          <w:tcPr>
            <w:tcW w:w="2020" w:type="dxa"/>
            <w:vAlign w:val="bottom"/>
            <w:tcBorders>
              <w:top w:val="single" w:sz="8" w:color="0000EE"/>
            </w:tcBorders>
            <w:gridSpan w:val="7"/>
          </w:tcPr>
          <w:p>
            <w:pPr>
              <w:spacing w:after="0"/>
              <w:rPr>
                <w:sz w:val="17"/>
                <w:szCs w:val="17"/>
                <w:color w:val="auto"/>
              </w:rPr>
            </w:pPr>
          </w:p>
        </w:tc>
        <w:tc>
          <w:tcPr>
            <w:tcW w:w="2100" w:type="dxa"/>
            <w:vAlign w:val="bottom"/>
            <w:gridSpan w:val="3"/>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Legal Matters</w:t>
              </w:r>
            </w:hyperlink>
          </w:p>
        </w:tc>
        <w:tc>
          <w:tcPr>
            <w:tcW w:w="3660" w:type="dxa"/>
            <w:vAlign w:val="bottom"/>
            <w:gridSpan w:val="8"/>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2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68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8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Forward-Looking Statements</w:t>
              </w:r>
            </w:hyperlink>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Material Federal Income Tax Considerations</w:t>
              </w:r>
            </w:hyperlink>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59"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27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2016, filed with the SEC on February 13, 2017,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5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September 30, 2017, we owned or had a majority interest in community and neighborhood shopping centers and mixed-use properties which are operated as 104 predominantly retail real estate projects comprising approximately 24.1 million square feet. In total, the real estate projects were 94.9% leased and 93.8% occupied at September 30, 2017. We have paid quarterly dividends to our shareholders continuously since our founding in 1962 and have increased our dividends per common share for 50 consecutive years.</w:t>
      </w:r>
    </w:p>
    <w:p>
      <w:pPr>
        <w:spacing w:after="0" w:line="189"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44"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For the Nine Months</w:t>
      </w:r>
    </w:p>
    <w:p>
      <w:pPr>
        <w:jc w:val="center"/>
        <w:ind w:left="422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7380"/>
        <w:spacing w:after="0"/>
        <w:tabs>
          <w:tab w:leader="none" w:pos="884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For the Years Ended December 31,</w:t>
      </w:r>
    </w:p>
    <w:p>
      <w:pPr>
        <w:ind w:left="7680"/>
        <w:spacing w:after="0"/>
        <w:tabs>
          <w:tab w:leader="none" w:pos="8640" w:val="left"/>
          <w:tab w:leader="none" w:pos="9200" w:val="left"/>
          <w:tab w:leader="none" w:pos="9760" w:val="left"/>
          <w:tab w:leader="none" w:pos="10320" w:val="left"/>
          <w:tab w:leader="none" w:pos="108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2012</w:t>
      </w:r>
    </w:p>
    <w:tbl>
      <w:tblPr>
        <w:tblLayout w:type="fixed"/>
        <w:tblInd w:w="200" w:type="dxa"/>
        <w:tblCellMar>
          <w:top w:w="0" w:type="dxa"/>
          <w:left w:w="0" w:type="dxa"/>
          <w:bottom w:w="0" w:type="dxa"/>
          <w:right w:w="0" w:type="dxa"/>
        </w:tblCellMar>
      </w:tblP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28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ratios of earnings to fixed charges are computed by dividing earnings by fixed charges. In computing the ratios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1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5131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220"/>
          </w:cols>
          <w:pgMar w:left="240" w:top="459" w:right="43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140" w:lineRule="exact"/>
        <w:rPr>
          <w:sz w:val="20"/>
          <w:szCs w:val="20"/>
          <w:color w:val="auto"/>
        </w:rPr>
      </w:pPr>
    </w:p>
    <w:p>
      <w:pPr>
        <w:sectPr>
          <w:pgSz w:w="11900" w:h="16838" w:orient="portrait"/>
          <w:cols w:equalWidth="0" w:num="2">
            <w:col w:w="3240" w:space="720"/>
            <w:col w:w="7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6"/>
          <w:szCs w:val="16"/>
          <w:color w:val="auto"/>
        </w:rPr>
        <w:t>$175 million aggregate principal amount of 3.25% Notes due 2027.</w:t>
      </w:r>
    </w:p>
    <w:p>
      <w:pPr>
        <w:spacing w:after="0" w:line="140" w:lineRule="exact"/>
        <w:rPr>
          <w:sz w:val="20"/>
          <w:szCs w:val="20"/>
          <w:color w:val="auto"/>
        </w:rPr>
      </w:pPr>
    </w:p>
    <w:p>
      <w:pPr>
        <w:sectPr>
          <w:pgSz w:w="11900" w:h="16838" w:orient="portrait"/>
          <w:cols w:equalWidth="0" w:num="2">
            <w:col w:w="3240" w:space="720"/>
            <w:col w:w="7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Unless redeemed prior to maturity as described below, the notes will mature on July 15, 2027.</w:t>
      </w:r>
    </w:p>
    <w:p>
      <w:pPr>
        <w:spacing w:after="0" w:line="140" w:lineRule="exact"/>
        <w:rPr>
          <w:sz w:val="20"/>
          <w:szCs w:val="20"/>
          <w:color w:val="auto"/>
        </w:rPr>
      </w:pPr>
    </w:p>
    <w:p>
      <w:pPr>
        <w:sectPr>
          <w:pgSz w:w="11900" w:h="16838" w:orient="portrait"/>
          <w:cols w:equalWidth="0" w:num="2">
            <w:col w:w="3240" w:space="720"/>
            <w:col w:w="7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360"/>
        <w:spacing w:after="0" w:line="308" w:lineRule="auto"/>
        <w:rPr>
          <w:sz w:val="20"/>
          <w:szCs w:val="20"/>
          <w:color w:val="auto"/>
        </w:rPr>
      </w:pPr>
      <w:r>
        <w:rPr>
          <w:rFonts w:ascii="Arial" w:cs="Arial" w:eastAsia="Arial" w:hAnsi="Arial"/>
          <w:sz w:val="17"/>
          <w:szCs w:val="17"/>
          <w:color w:val="auto"/>
        </w:rPr>
        <w:t>Interest on the notes is payable semi-annually in arrears on January 15 and July 15 of each year, beginning on January 15, 2018, and at maturity (or any earlier redemption date).</w:t>
      </w:r>
    </w:p>
    <w:p>
      <w:pPr>
        <w:spacing w:after="0" w:line="38" w:lineRule="exact"/>
        <w:rPr>
          <w:sz w:val="20"/>
          <w:szCs w:val="20"/>
          <w:color w:val="auto"/>
        </w:rPr>
      </w:pPr>
    </w:p>
    <w:p>
      <w:pPr>
        <w:sectPr>
          <w:pgSz w:w="11900" w:h="16838" w:orient="portrait"/>
          <w:cols w:equalWidth="0" w:num="2">
            <w:col w:w="3240" w:space="720"/>
            <w:col w:w="7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September 30, 2017, we had outstanding approximately $493 million (excluding net unamortized premium and debt issuance costs) of secured indebtedness, which was issued by our subsidiaries and is collateralized by all or parts of 13 properties, and which will rank senior to the notes to the extent of the securing collateral and will also be structurally senior to the notes, approximately $5 million (excluding net unamortized debt issuance costs) of unsecured indebtedness issued by our subsidiaries, which will be structurally senior to the notes, and approximately $2,711 million of unsecured indebtedness (excluding net unamortized discount and debt issuance costs), which will rank equally with the notes.</w:t>
      </w:r>
    </w:p>
    <w:p>
      <w:pPr>
        <w:spacing w:after="0" w:line="72" w:lineRule="exact"/>
        <w:rPr>
          <w:sz w:val="20"/>
          <w:szCs w:val="20"/>
          <w:color w:val="auto"/>
        </w:rPr>
      </w:pPr>
    </w:p>
    <w:p>
      <w:pPr>
        <w:sectPr>
          <w:pgSz w:w="11900" w:h="16838" w:orient="portrait"/>
          <w:cols w:equalWidth="0" w:num="2">
            <w:col w:w="3240" w:space="720"/>
            <w:col w:w="7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We intend to use the net proceeds from this offering to redeem all of our outstanding 5.90% Notes due 2020 and for general corporate purposes or may use the net proceeds to temporarily repay amounts outstanding under our revolving credit facility. See “Use of Proceeds” on page S-7 for more information.</w:t>
      </w:r>
    </w:p>
    <w:p>
      <w:pPr>
        <w:spacing w:after="0" w:line="79" w:lineRule="exact"/>
        <w:rPr>
          <w:sz w:val="20"/>
          <w:szCs w:val="20"/>
          <w:color w:val="auto"/>
        </w:rPr>
      </w:pPr>
    </w:p>
    <w:p>
      <w:pPr>
        <w:sectPr>
          <w:pgSz w:w="11900" w:h="16838" w:orient="portrait"/>
          <w:cols w:equalWidth="0" w:num="2">
            <w:col w:w="3240" w:space="720"/>
            <w:col w:w="7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140" w:lineRule="exact"/>
        <w:rPr>
          <w:sz w:val="20"/>
          <w:szCs w:val="20"/>
          <w:color w:val="auto"/>
        </w:rPr>
      </w:pPr>
    </w:p>
    <w:p>
      <w:pPr>
        <w:sectPr>
          <w:pgSz w:w="11900" w:h="16838" w:orient="portrait"/>
          <w:cols w:equalWidth="0" w:num="2">
            <w:col w:w="3240" w:space="720"/>
            <w:col w:w="7260"/>
          </w:cols>
          <w:pgMar w:left="240" w:top="459" w:right="439" w:bottom="1440" w:gutter="0" w:footer="0" w:header="0"/>
          <w:type w:val="continuous"/>
        </w:sectPr>
      </w:pPr>
    </w:p>
    <w:p>
      <w:pPr>
        <w:ind w:left="3960"/>
        <w:spacing w:after="0" w:line="268" w:lineRule="auto"/>
        <w:rPr>
          <w:sz w:val="20"/>
          <w:szCs w:val="20"/>
          <w:color w:val="auto"/>
        </w:rPr>
      </w:pPr>
      <w:r>
        <w:rPr>
          <w:rFonts w:ascii="Arial" w:cs="Arial" w:eastAsia="Arial" w:hAnsi="Arial"/>
          <w:sz w:val="17"/>
          <w:szCs w:val="17"/>
          <w:color w:val="auto"/>
        </w:rPr>
        <w:t>(1) 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47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9474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960" w:hanging="9"/>
        <w:spacing w:after="0" w:line="285" w:lineRule="auto"/>
        <w:tabs>
          <w:tab w:leader="none" w:pos="4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69" w:lineRule="exact"/>
        <w:rPr>
          <w:rFonts w:ascii="Arial" w:cs="Arial" w:eastAsia="Arial" w:hAnsi="Arial"/>
          <w:sz w:val="16"/>
          <w:szCs w:val="16"/>
          <w:color w:val="auto"/>
        </w:rPr>
      </w:pPr>
    </w:p>
    <w:p>
      <w:pPr>
        <w:ind w:left="3960" w:hanging="9"/>
        <w:spacing w:after="0" w:line="267" w:lineRule="auto"/>
        <w:tabs>
          <w:tab w:leader="none" w:pos="4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80" w:lineRule="exact"/>
        <w:rPr>
          <w:rFonts w:ascii="Arial" w:cs="Arial" w:eastAsia="Arial" w:hAnsi="Arial"/>
          <w:sz w:val="17"/>
          <w:szCs w:val="17"/>
          <w:color w:val="auto"/>
        </w:rPr>
      </w:pPr>
    </w:p>
    <w:p>
      <w:pPr>
        <w:jc w:val="both"/>
        <w:ind w:left="3960" w:right="460" w:hanging="9"/>
        <w:spacing w:after="0" w:line="264" w:lineRule="auto"/>
        <w:tabs>
          <w:tab w:leader="none" w:pos="4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02"/>
        </w:trPr>
        <w:tc>
          <w:tcPr>
            <w:tcW w:w="36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8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5"/>
              </w:rPr>
              <w:t>The notes are redeemable at any time at our option, in whole or in part. If the notes are redeemed</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before April 15, 2027 (three months prior to the stated maturity date), the redemption price will be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equal to the greater of (1) 100% of the principal amount of the notes being redeemed, or (2) the sum</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of the present values of the remaining scheduled payments of principal and interest thereon,</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0"/>
              </w:rPr>
              <w:t>discounted to the redemption date on a semi-annual basis at the Adjusted Treasury Rate plus 20 basis</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points (0.20%), plus, in each case, accrued and unpaid interest thereon to, but excluding,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redemption date. If the notes are redeemed on or after April 15, 2027 (three months prior to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maturity date), the redemption price will be equal to 100% of the principal amount of the notes being</w:t>
            </w:r>
          </w:p>
        </w:tc>
      </w:tr>
      <w:tr>
        <w:trPr>
          <w:trHeight w:val="230"/>
        </w:trPr>
        <w:tc>
          <w:tcPr>
            <w:tcW w:w="36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redeemed plus accrued and unpaid interest thereon to, but excluding, the redemption date.</w:t>
            </w:r>
          </w:p>
        </w:tc>
      </w:tr>
      <w:tr>
        <w:trPr>
          <w:trHeight w:val="324"/>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310"/>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Material federal income tax considerations</w:t>
            </w: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For a description of the material U.S. federal income tax considerations of an investment in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notes, please review the disclosure in this prospectus supplement under “Additional Material Federal</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Income Tax Considerations” and in the accompanying prospectus under “Material Federal Income</w:t>
            </w:r>
          </w:p>
        </w:tc>
      </w:tr>
      <w:tr>
        <w:trPr>
          <w:trHeight w:val="230"/>
        </w:trPr>
        <w:tc>
          <w:tcPr>
            <w:tcW w:w="36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Tax Considerations.”</w:t>
            </w:r>
          </w:p>
        </w:tc>
      </w:tr>
      <w:tr>
        <w:trPr>
          <w:trHeight w:val="310"/>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Investing in the notes involves risks. Please review the risk factors discussed beginning on page S-5</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of this prospectus supplement, on page 3 of the accompanying prospectus and in our Annual Report</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on Form 10-K for the year ended December 31, 2016, filed with the SEC on February 13, 2017, and</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the other information contained or incorporated by reference in this prospectus supplement and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accompanying prospectus for a discussion of factors you should consider before deciding to invest in</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7"/>
              </w:rPr>
              <w:t>the notes. You may obtain a copy of our Annual Report on Form 10-K and the other documents</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incorporated by reference in this prospectus supplement and the accompanying prospectus by</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following the procedures described under “Where You Can Find More Information” on page 47 of</w:t>
            </w:r>
          </w:p>
        </w:tc>
      </w:tr>
      <w:tr>
        <w:trPr>
          <w:trHeight w:val="230"/>
        </w:trPr>
        <w:tc>
          <w:tcPr>
            <w:tcW w:w="36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the accompanying prospectus.</w:t>
            </w:r>
          </w:p>
        </w:tc>
      </w:tr>
      <w:tr>
        <w:trPr>
          <w:trHeight w:val="402"/>
        </w:trPr>
        <w:tc>
          <w:tcPr>
            <w:tcW w:w="3620" w:type="dxa"/>
            <w:vAlign w:val="bottom"/>
            <w:tcBorders>
              <w:left w:val="single" w:sz="8" w:color="auto"/>
              <w:bottom w:val="single" w:sz="8" w:color="auto"/>
            </w:tcBorders>
          </w:tcPr>
          <w:p>
            <w:pPr>
              <w:spacing w:after="0"/>
              <w:rPr>
                <w:sz w:val="24"/>
                <w:szCs w:val="24"/>
                <w:color w:val="auto"/>
              </w:rPr>
            </w:pPr>
          </w:p>
        </w:tc>
        <w:tc>
          <w:tcPr>
            <w:tcW w:w="7800" w:type="dxa"/>
            <w:vAlign w:val="bottom"/>
            <w:tcBorders>
              <w:bottom w:val="single" w:sz="8" w:color="auto"/>
              <w:right w:val="single" w:sz="8" w:color="auto"/>
            </w:tcBorders>
          </w:tcPr>
          <w:p>
            <w:pPr>
              <w:spacing w:after="0"/>
              <w:rPr>
                <w:sz w:val="24"/>
                <w:szCs w:val="24"/>
                <w:color w:val="auto"/>
              </w:rPr>
            </w:pPr>
          </w:p>
        </w:tc>
      </w:tr>
      <w:tr>
        <w:trPr>
          <w:trHeight w:val="604"/>
        </w:trPr>
        <w:tc>
          <w:tcPr>
            <w:tcW w:w="36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2016 filed with the SEC on February 13, 2017 before you decide to purchase the notes. The risks and uncertainties described below and in the incorporated Form 10-K for the year ended December 31, 2016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Because the notes are not guaranteed by our subsidiaries, the notes are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September 30, 2017, our subsidiaries had approximately $498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Because the notes are unsecured, they are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2017, we had approximately $493 million (excluding net unamortized premium and debt issuance costs) of secured debt outstanding, all of which was effectively senior to the notes to the extent of the value of the securing collateral.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be maintained.</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we do not intend to apply for listing of the notes on any securities exchange or on any automated dealer quotation system, a trading market currently exists for the $300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an active public market for the notes will be maintained. If an active public trading market for the notes is not maintained, the market price and liquidity of the notes may be adversely affected.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the notes are traded after their initial issuance, they may trade at a discount from their initial offering price, depending upon prevailing interest rates and other factors, including those listed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Enactment of a Tax Reform Bill could have a negative effect on holders of the notes or us.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16, 2017, the U.S. House of Representatives passed the Tax Cuts and Jobs Act (H.R. 1), and on December 2, 2017, the U.S. Senate passed a revised version of the Tax Cuts and Jobs Act (together with any amended versions, the “Tax Reform Bills”). Either of the Tax Reform Bills, or any likely compromise version of the Tax Reform Bills, would make significant changes to the United States income tax rules applicable to both individuals and entities, including corporations. There is significant uncertainty as to the likelihood, timing, or details of any Tax Reform Bill being enacted and the impact of any such Tax Reform Bill on us or an investment in the notes. You should consult with your tax advisor with respect to the status of the Tax Reform Bills and any other regulatory or administrative developments and proposals and their potential effect on your investment in the notes.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$172.4 million after deducting the underwriting discount and other estimated expenses of this offering payable by us (but excluding accrued interest paid by purchasers of the notes of approximately $2.8 million). We intend to use these net proceeds to redeem all of our outstanding 5.90% Notes due 2020 and for general corporate purposes. Pending application of the net proceeds, we may invest the net proceeds in short-term income-producing investments or may use the net proceeds to temporarily repay amounts outstanding under our revolving credit facility.</w:t>
      </w:r>
    </w:p>
    <w:p>
      <w:pPr>
        <w:spacing w:after="0" w:line="18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As of September 30, 2017, 5.90% Notes due 2020 with an aggregate principal amount of $150 million were outstanding. In addition to the payment of outstanding principal amount and accrued but unpaid interest, redemption of the 5.90% Notes due 2020 will be subject to a make-whole premium in the aggregate amount of approximately $12 million. The 5.90% Notes due 2020 are scheduled to mature on April 1, 2020.</w:t>
      </w:r>
    </w:p>
    <w:p>
      <w:pPr>
        <w:spacing w:after="0" w:line="16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September 30, 2017, we had $41.5 million outstanding under our revolving credit facility ($56.0 million as of December 6, 2017).</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Affiliates of certain of the underwriters may be beneficial owners of some of our 5.90% Notes due 2020. Any such affiliates will receive pro rata portions of the net proceeds from this offering used to redeem our 5.90% Notes due 2020. 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offering $175,000,000 aggregate principal amount of notes. The 2027 Notes will mature on July 15, 2027 (unless redeemed prior to such date in accordance with their terms). The notes offered hereby will be an additional issuance of our outstanding 3.25% Notes due 2027, $300,000,000 aggregate principal amount of which were originally issued on June 23, 2017. The terms of the notes offered hereby, other than their issue date, initial interest accrual date, initial interest payment date and issue price, will be identical to the terms of and will be part of the same series as the $300,000,000 aggregate principal amount of these outstanding 3.25% Notes due 2027. However, for U.S. federal income tax purposes the notes offered hereby will be deemed to have the same issue date and issue price as the existing notes. The notes offered hereby will have the same CUSIP number as the currently outstanding notes and will trade interchangeably with such notes immediately upon settlement. Upon consummation of this offering, the aggregate principal amount outstanding of our notes of this series, including the notes offered hereby, will be $475,000,000.</w:t>
      </w:r>
    </w:p>
    <w:p>
      <w:pPr>
        <w:spacing w:after="0" w:line="1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will pay interest on the notes semi-annually in arrears at an annual rate of 3.25% on January 15 and July 15 of each year, beginning on January 15, 2018, to the registered holders of the notes on the preceding January 1 and July 1.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notes offered hereby will be issued only in registered form in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defeasance and covenant defeasance provisions of the indenture apply to the notes. The notes are not entitled to the benefit of any sinking fund.</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We may from time to time without the consent of existing holders create and issue further notes having the same terms and conditions as the notes, except for the issue date, the issue price and, if applicable, the initial interest payment date and the initial interest accrual date. Additional notes issued in this manner will be consolidated and form a single series with, the previously outstanding notes. We also may issue from time to time other series of debt securities under the indenture consisting of notes or other unsecured evidences of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notes are our senior unsecured obligations and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 At September 30, 2017, we had outstanding approximately $493 million (excluding net unamortized premium and debt issuance costs) of secured indebtedness, which was issued by our subsidiaries and is collateralized by all or parts of 13 properties, and which ranks senior to the notes to the extent of the securing collateral and is also structurally senior to the notes, approximately $5 million (excluding net unamortized debt issuance costs) of unsecured indebtedness issued by our subsidiaries, which is structurally senior to the notes, and approximately $2,711 million of unsecured indebtedness (excluding net unamortized discount and debt issuance costs), which ranks equally with the notes.</w:t>
      </w:r>
    </w:p>
    <w:p>
      <w:pPr>
        <w:sectPr>
          <w:pgSz w:w="11900" w:h="16838" w:orient="portrait"/>
          <w:cols w:equalWidth="0" w:num="1">
            <w:col w:w="11420"/>
          </w:cols>
          <w:pgMar w:left="240" w:top="459"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April 15, 2027 (three months prior to the stated maturity date) (the “Par Call Date”), the redemption price will be equal to the greater of (1) 100% of the principal amount of the notes being redeemed, or</w:t>
      </w:r>
    </w:p>
    <w:p>
      <w:pPr>
        <w:ind w:firstLine="8"/>
        <w:spacing w:after="0" w:line="290"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 redemption date on a semi-annual basis (assuming a 360-day year consisting of twelve 30-day months) at the Adjusted Treasury Rate (as defined below) plus 20 basis points (0.20%),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Citigroup Global Markets Inc., Deutsche Bank Securities Inc., J.P. Morgan Securities LLC and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three other Primary Treasury Dealers selected by us.</w:t>
      </w:r>
    </w:p>
    <w:p>
      <w:pPr>
        <w:spacing w:after="0" w:line="18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2" w:lineRule="exact"/>
        <w:rPr>
          <w:sz w:val="20"/>
          <w:szCs w:val="20"/>
          <w:color w:val="auto"/>
        </w:rPr>
      </w:pPr>
    </w:p>
    <w:p>
      <w:pPr>
        <w:ind w:right="40" w:firstLine="8"/>
        <w:spacing w:after="0" w:line="271" w:lineRule="auto"/>
        <w:tabs>
          <w:tab w:leader="none" w:pos="252"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the foregoing limitation on the incurrence of Debt, the notes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Furthermore, the notes also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provide that we, together with our subsidiaries, will at all times maintain an Unencumbered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provide that we will, and will cause each of our subsidiaries to, maintain insurance with financially sound and reputable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are subject to the following events of default:</w:t>
      </w:r>
    </w:p>
    <w:p>
      <w:pPr>
        <w:spacing w:after="0" w:line="117" w:lineRule="exact"/>
        <w:rPr>
          <w:sz w:val="20"/>
          <w:szCs w:val="20"/>
          <w:color w:val="auto"/>
        </w:rPr>
      </w:pPr>
    </w:p>
    <w:p>
      <w:pPr>
        <w:ind w:right="5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right="72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firstLine="8"/>
        <w:spacing w:after="0" w:line="271"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70" w:lineRule="exact"/>
        <w:rPr>
          <w:rFonts w:ascii="Arial" w:cs="Arial" w:eastAsia="Arial" w:hAnsi="Arial"/>
          <w:sz w:val="17"/>
          <w:szCs w:val="17"/>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orders our liquidation or the liquidation of any of our significant subsidiaries, and the order or decree remains unstayed and in effect for 90 days.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11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17"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offered hereby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Global Security representing the notes offered hereby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2" w:lineRule="exact"/>
        <w:rPr>
          <w:sz w:val="20"/>
          <w:szCs w:val="20"/>
          <w:color w:val="auto"/>
        </w:rPr>
      </w:pPr>
    </w:p>
    <w:p>
      <w:pPr>
        <w:ind w:firstLine="8"/>
        <w:spacing w:after="0" w:line="25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acts as securities depository for the notes. The notes offered hereby will be issued as fully registered securities registered in the name of Cede &amp; Co. (the Depositary’s partnership nominee). One fully registered Global Security will be issued for the notes offered hereby, in the aggregate principal amount of such issue, and will be deposited with the Depositary.</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6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offered hereby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28 of the accompanying prospectus, as modified by the discussion below under “— Recent Proposed and Enacted Legislation and Regulations Affecting Taxation of Our Company.”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public offering price and who hold the notes as capital assets (generally property held for investment) within the meaning of Section 1221 of the Internal Revenue Code of 1986, as amended (the “Code”). These discussions are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These discussions are general in nature and are not exhaustive of all possible tax considerations, nor do they address any state, local or foreign tax considerations or any U.S. tax considerations (e.g., estate, generation-skipping, or gift tax) other than U.S. federal income tax considerations, that may be applicable to particular holders. These discussions do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these discussions are limited to beneficial owners of notes that are U.S. Holders.</w:t>
      </w:r>
    </w:p>
    <w:p>
      <w:pPr>
        <w:spacing w:after="0" w:line="27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Proposed and Enacted Legislation and Regulations Affecting Taxation of Our Company</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discussion supplements and updates the discussion contained in the prospectus under the heading “Material Federal Income Tax Considerations,” and supersedes such discussion to the extent inconsistent with such discussion.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U.S. Tax Reform Legislation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November 16, 2017, the U.S. House of Representatives passed its version of a Tax Reform Bill, the Tax Cuts and Jobs Act (H.R. 1), and on December 2, 2017, the U.S. Senate passed a revised version of the Tax Reform Bill. Either of the Tax Reform Bills, or any likely compromise version of the Tax Reform Bills, would make significant changes to the United States income tax rules applicable to both individuals and entities, including corporations. Whether a Tax Reform Bill as currently written or as subsequently amended will be enacted and its impact on the tax treatment described herein is uncertain. Holders should consult with their tax advisors with respect to the status of the Tax Reform Bills and any other regulatory or administrative developments and proposals and their potential effect on an investment in the notes.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Path Act Modification of Certain Rules Applicable to REITs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should consult their tax advisors regarding the implications of the PATH Act.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i w:val="1"/>
          <w:iCs w:val="1"/>
          <w:color w:val="auto"/>
        </w:rPr>
        <w:t xml:space="preserve">Reduction in Built-in Gains Period. </w:t>
      </w:r>
      <w:r>
        <w:rPr>
          <w:rFonts w:ascii="Arial" w:cs="Arial" w:eastAsia="Arial" w:hAnsi="Arial"/>
          <w:sz w:val="18"/>
          <w:szCs w:val="18"/>
          <w:color w:val="auto"/>
        </w:rPr>
        <w:t>For taxable years beginning in 2015 and later, the “built-in gains” period (i.e., the period during which gains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or disposition of property acquired by a REIT from a C corporation in a tax-free merger or other carryover basis transaction is subject to C corporation tax) is reduced from ten years to five years. Subsequent to the enactment of the PATH Act the IRS issued temporary Treasury regulations that extended the “built-in gains” period with respect to REITs from five years back to ten years, applicable to acquisitions of assets in which a REIT’s basis in an asset is determined by reference to the basis of the assets in the hands of the transferor C corporation that occur on or after August 8, 2016 and on or before February 17, 2017. Pursuant to recently finalized Treasury regulations, the five-year recognition period applies to transactions that occur after February 17, 2017, and taxpayers may also apply the five-year recognition period to transactions that occurred on or after August 8, 2016 and on or before February 17, 2017.</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Reduction in Permissible Holdings of the Securities of Taxable REIT Subsidiaries. </w:t>
      </w:r>
      <w:r>
        <w:rPr>
          <w:rFonts w:ascii="Arial" w:cs="Arial" w:eastAsia="Arial" w:hAnsi="Arial"/>
          <w:sz w:val="18"/>
          <w:szCs w:val="18"/>
          <w:color w:val="auto"/>
        </w:rPr>
        <w:t>For taxable years beginning after 2017, the percentage of our total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represented by securities of one or more taxable REIT subsidiaries is reduced from 25% to 20%.</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Prohibited Transaction Safe Harbors</w:t>
      </w:r>
      <w:r>
        <w:rPr>
          <w:rFonts w:ascii="Arial" w:cs="Arial" w:eastAsia="Arial" w:hAnsi="Arial"/>
          <w:sz w:val="16"/>
          <w:szCs w:val="16"/>
          <w:color w:val="auto"/>
        </w:rPr>
        <w:t>. We are subject to a 100% tax on net income from “prohibited transactions,” i.e., sales of dealer property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“foreclosure property”). These rules also contain safe harbors under which certain sales of real estate assets will not be treated as prohibited transactions. Included among the requirements for the pre-PATH Act safe harbors is that (I) we do not make more than seven sales of property (subject to specified exceptions) during the taxable year at issue, (II) the aggregate adjusted bases (as determined for purposes of computing earnings and profits) of property (other than excepted property) sold during the taxable year does not exceed 10% of the aggregate bases in our assets as of the beginning of the taxable year, or</w:t>
      </w:r>
    </w:p>
    <w:p>
      <w:pPr>
        <w:spacing w:after="0" w:line="2" w:lineRule="exact"/>
        <w:rPr>
          <w:sz w:val="20"/>
          <w:szCs w:val="20"/>
          <w:color w:val="auto"/>
        </w:rPr>
      </w:pPr>
    </w:p>
    <w:p>
      <w:pPr>
        <w:jc w:val="both"/>
        <w:ind w:right="260" w:firstLine="8"/>
        <w:spacing w:after="0" w:line="302"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fair market value of property (other than excepted property) sold during the taxable year does not exceed 10% of the fair market value of our total assets as of the beginning of the taxable year. If we rely on clause (II) or (III), substantially all of the marketing and certain development expenditures with respect to the properties sold must be made through an independent contractor. The PATH Act made the following changes to these safe harbors:</w:t>
      </w:r>
    </w:p>
    <w:p>
      <w:pPr>
        <w:spacing w:after="0" w:line="60" w:lineRule="exact"/>
        <w:rPr>
          <w:rFonts w:ascii="Arial" w:cs="Arial" w:eastAsia="Arial" w:hAnsi="Arial"/>
          <w:sz w:val="16"/>
          <w:szCs w:val="16"/>
          <w:color w:val="auto"/>
        </w:rPr>
      </w:pPr>
    </w:p>
    <w:p>
      <w:pPr>
        <w:ind w:left="900" w:right="380" w:hanging="325"/>
        <w:spacing w:after="0" w:line="31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 taxable years beginning after December 18, 2015, clauses (II) and (III) are liberalized to permit us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w:t>
      </w:r>
    </w:p>
    <w:p>
      <w:pPr>
        <w:spacing w:after="0" w:line="52" w:lineRule="exact"/>
        <w:rPr>
          <w:rFonts w:ascii="Arial" w:cs="Arial" w:eastAsia="Arial" w:hAnsi="Arial"/>
          <w:sz w:val="16"/>
          <w:szCs w:val="16"/>
          <w:color w:val="auto"/>
        </w:rPr>
      </w:pPr>
    </w:p>
    <w:p>
      <w:pPr>
        <w:ind w:left="900" w:right="100" w:hanging="325"/>
        <w:spacing w:after="0" w:line="308"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For taxable years beginning after 2015, if we rely on clauses (II) or (III), marketing and development expenditures made through a taxable REIT subsidiary, as well as those made through an independent contractor, are included in the “substantially all” test described above.</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TRS Operation of Foreclosure Property. </w:t>
      </w:r>
      <w:r>
        <w:rPr>
          <w:rFonts w:ascii="Arial" w:cs="Arial" w:eastAsia="Arial" w:hAnsi="Arial"/>
          <w:sz w:val="18"/>
          <w:szCs w:val="18"/>
          <w:color w:val="auto"/>
        </w:rPr>
        <w:t>For taxable years beginning after 2015, a taxable REIT subsidiary may operate property on which we have made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foreclosure property election without loss of foreclosure property status.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Modification to Preferential Dividend Rules. </w:t>
      </w:r>
      <w:r>
        <w:rPr>
          <w:rFonts w:ascii="Arial" w:cs="Arial" w:eastAsia="Arial" w:hAnsi="Arial"/>
          <w:sz w:val="18"/>
          <w:szCs w:val="18"/>
          <w:color w:val="auto"/>
        </w:rPr>
        <w:t>For distributions in taxable years beginning after 2014, the preferential dividend rules do not apply to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REITs.” A “publicly offered REIT” means a REIT that is required to file annual and periodic reports with the Securities and Exchange Commission under the Securities Exchange Act of 1934. We are a publicly offered REIT.</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Limitations on Designation of Dividends by REITs. </w:t>
      </w:r>
      <w:r>
        <w:rPr>
          <w:rFonts w:ascii="Arial" w:cs="Arial" w:eastAsia="Arial" w:hAnsi="Arial"/>
          <w:sz w:val="16"/>
          <w:szCs w:val="16"/>
          <w:color w:val="auto"/>
        </w:rPr>
        <w:t>The aggregate amount of dividends that we may designate as qualified dividend income or as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 dividends with respect to any taxable year beginning after 2015 cannot exceed the dividends actually paid by us during such year. In addition, the Secretary of the Treasury is authorized to prescribe regulations or other guidance requiring proportionality of the designation of particular types of dividends.</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Debt Instruments of Publicly Offered REITs and Mortgages Treated as Real Estate Assets. </w:t>
      </w:r>
      <w:r>
        <w:rPr>
          <w:rFonts w:ascii="Arial" w:cs="Arial" w:eastAsia="Arial" w:hAnsi="Arial"/>
          <w:sz w:val="16"/>
          <w:szCs w:val="16"/>
          <w:color w:val="auto"/>
        </w:rPr>
        <w:t>The PATH Act provides that debt instruments issued by publicly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REITs (as defined above) are treated as real estate assets for purposes of the 75% asset test. Income from such debt instruments is qualifying income for purposes of the 95% gross income test, but is not qualifying income for purposes of the 75% gross income test, unless they would otherwise be treated as real estate assets.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Asset and Income Test Clarification Regarding Ancillary Personal Property. </w:t>
      </w:r>
      <w:r>
        <w:rPr>
          <w:rFonts w:ascii="Arial" w:cs="Arial" w:eastAsia="Arial" w:hAnsi="Arial"/>
          <w:sz w:val="16"/>
          <w:szCs w:val="16"/>
          <w:color w:val="auto"/>
        </w:rPr>
        <w:t>Rent attributable to personal property which is leased under, or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extends this treatment to the 75% asset test by providing that, for taxable years beginning after 2015, personal property leased in connection with a lease of real property is treated as a real estate asset for purposes of the 75% asset test to the extent that rent attributable to such personal property meets the 15% test described above. In addition, for taxable years beginning after 2015, debt secured by a mortgage on both real and personal property qualifies as a real estate asset for purposes of the 75% asset test, and interest on such debt is qualifying income for purposes of both the 95% and 75% gross income tests, if the fair market value of the personal property securing the debt does not exceed 15% of the total fair market value of all property securing the debt.</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Hedging Provisions. </w:t>
      </w:r>
      <w:r>
        <w:rPr>
          <w:rFonts w:ascii="Arial" w:cs="Arial" w:eastAsia="Arial" w:hAnsi="Arial"/>
          <w:sz w:val="16"/>
          <w:szCs w:val="16"/>
          <w:color w:val="auto"/>
        </w:rPr>
        <w:t>Income from hedging transactions that hedge certain REIT liabilities and currency risks is disregarded in applying the gross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tests. The PATH Act provides that for taxable years beginning after 2015, certain income from hedging transactions entered into to hedge existing hedging positions after any portion of the hedged indebtedness or property is disposed of will also be disregarded for purposes of the 95% and 75% gross income tests.</w:t>
      </w:r>
    </w:p>
    <w:p>
      <w:pPr>
        <w:spacing w:after="0" w:line="147"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b w:val="1"/>
          <w:bCs w:val="1"/>
          <w:i w:val="1"/>
          <w:iCs w:val="1"/>
          <w:color w:val="auto"/>
        </w:rPr>
        <w:t xml:space="preserve">Modification of REIT Earnings and Profits Calculation. </w:t>
      </w:r>
      <w:r>
        <w:rPr>
          <w:rFonts w:ascii="Arial" w:cs="Arial" w:eastAsia="Arial" w:hAnsi="Arial"/>
          <w:sz w:val="16"/>
          <w:szCs w:val="16"/>
          <w:color w:val="auto"/>
        </w:rPr>
        <w:t>The PATH Act modified the special earnings and profits rules in the Code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for taxable years after 2015, will not be treated as receiving taxable dividends from us that exceed our earnings and profits.</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Treatment of Certain Services Provided by Taxable REIT Subsidiaries. </w:t>
      </w:r>
      <w:r>
        <w:rPr>
          <w:rFonts w:ascii="Arial" w:cs="Arial" w:eastAsia="Arial" w:hAnsi="Arial"/>
          <w:sz w:val="17"/>
          <w:szCs w:val="17"/>
          <w:color w:val="auto"/>
        </w:rPr>
        <w:t>For taxable years beginning after 2015, a 100% excise tax is imposed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“redetermined TRS service income,” which is income of a taxable REIT subsidiary attributable to services provided to, or on behalf of, us and which would otherwise be increased on distribution, apportionment, or allocation under the Code (i.e., as a result of a determination that the income was not arm’s length), except to the extent income is attributable to services provided to a tenant (which were already subject to a 100% excise tax).</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Exceptions from FIRPTA for Certain REIT Stock Gains and Distributions. </w:t>
      </w:r>
      <w:r>
        <w:rPr>
          <w:rFonts w:ascii="Arial" w:cs="Arial" w:eastAsia="Arial" w:hAnsi="Arial"/>
          <w:sz w:val="16"/>
          <w:szCs w:val="16"/>
          <w:color w:val="auto"/>
        </w:rPr>
        <w:t>On or after December 18, 2015, the disposition of stock of a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that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Determination of Domestically Controlled REIT Status. </w:t>
      </w:r>
      <w:r>
        <w:rPr>
          <w:rFonts w:ascii="Arial" w:cs="Arial" w:eastAsia="Arial" w:hAnsi="Arial"/>
          <w:sz w:val="17"/>
          <w:szCs w:val="17"/>
          <w:color w:val="auto"/>
        </w:rPr>
        <w:t>In determining whether we are domestically controlled for purposes of the exception to FIRPTA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domestically controlled REIT stock, we may presume that holders of less than 5% of a class of stock regularly traded on an established securities market in the United States are U.S. persons throughout the testing period, except to the extent that we have actual knowledge to the contrary. In addition, the PATH Act provides that any stock in a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FIRPTA Exception for Interests Held by Foreign Retirement or Pension Funds. </w:t>
      </w:r>
      <w:r>
        <w:rPr>
          <w:rFonts w:ascii="Arial" w:cs="Arial" w:eastAsia="Arial" w:hAnsi="Arial"/>
          <w:sz w:val="17"/>
          <w:szCs w:val="17"/>
          <w:color w:val="auto"/>
        </w:rPr>
        <w:t>“Qualified foreign pension funds” and entities that are wholly owned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Increase in Rate of FIRPTA Withholding. </w:t>
      </w:r>
      <w:r>
        <w:rPr>
          <w:rFonts w:ascii="Arial" w:cs="Arial" w:eastAsia="Arial" w:hAnsi="Arial"/>
          <w:sz w:val="18"/>
          <w:szCs w:val="18"/>
          <w:color w:val="auto"/>
        </w:rPr>
        <w:t>For sales of United States real property interests occurring after February 16, 2016, the FIRPTA withholding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dispositions of United States real property interests and certain distributions increases from 10% to 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Bipartisan Budget Act Alteration of Rules Concerning Liability for Partnership Audit Adjustments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rule generally does not apply to audits of taxable years beginning before January 1, 2018. The Treasury has recently issued proposed regulations providing details of the new audit provisions. However, the timing and content of final regulations remains uncertain.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Procedure Issued Concerning Elective Cash/Share Dividends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IRS recently issued a revenue 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We have no current intention to make such an elective cash/shares distribution, but in the event of such a distribution we expect to structure it so as to comply with the revenue procedure.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“Non-U.S. Holder” means any beneficial owner of a note that is neither a U.S. Holder nor an entity or arrangement treated as a partnership for U.S.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Reopening of 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U.S. federal income tax purposes, we currently intend to treat the notes offered hereby as being issued in a “qualified reopening” of the currently outstanding 3.25% Notes due 2027 (the “existing notes”). For U.S. federal income tax purposes, debt instruments issued in a qualified reopening are deemed to be part of the same issue as the original debt instruments. Under the treatment described in this paragraph, the notes offered hereby will have the same issue date and the same issue price as the existing notes for U.S. federal income tax purposes. The issue price of the existing notes was $990.83 per $1,000 face amount and the issue date of the existing notes was June 23, 2017. The remainder of this discussion assumes the correctness of the treatment described in this paragraph.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Pre-Acquisition Accrued Interest on the Notes. </w:t>
      </w:r>
      <w:r>
        <w:rPr>
          <w:rFonts w:ascii="Arial" w:cs="Arial" w:eastAsia="Arial" w:hAnsi="Arial"/>
          <w:sz w:val="16"/>
          <w:szCs w:val="16"/>
          <w:color w:val="auto"/>
        </w:rPr>
        <w:t>A portion of the price paid for the notes is attributable to the amount of interest accrued from June 23,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note by a corresponding amount. You should consult your own tax advisors regarding the tax treatment of pre-acquisition accrued interest.</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(other than pre-acquisition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as ordinary income when 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existing notes was the first price at which a substantial amount of the existing notes were sold to the public (excluding bond houses, brokers, or similar persons or organizations acting in the capacity of underwriters, placement agents, or wholesalers).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stated redemption price of the existing notes at maturity did not exceed their issue price by more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Accordingly, the existing notes do not have OID. As discussed above, under the qualified reopening rules the issue price of the notes offered hereby will be deemed to be the same as the issue price of the existing notes. As a result, the notes will also not have OID.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Market Discount</w:t>
      </w:r>
      <w:r>
        <w:rPr>
          <w:rFonts w:ascii="Arial" w:cs="Arial" w:eastAsia="Arial" w:hAnsi="Arial"/>
          <w:sz w:val="16"/>
          <w:szCs w:val="16"/>
          <w:color w:val="auto"/>
        </w:rPr>
        <w:t xml:space="preserve">. If a note is purchased at a price (excluding any amounts that are treated as pre-acquisition accrued interest as described above under “Pre-Acquisition Accrued Interest on the Notes”) that is less than its principal amount, the U.S. Holder will be treated as having acquired the note at a “market discount” unless the amount of this market discount is less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(generally 0.25% of the principal amount of the note multiplied by the number of remaining whole years to maturity of the note). Under the market discount rules, the U.S. Holder will be required to treat any gain on the sale, exchange, redemption, retirement, or other taxable disposition of a note, or any appreciation in a note in the case of certain nontaxable dispositions, such as a gift, as ordinary income to the extent of the market discount which has not previously been included in income and which is treated as having accrued on the note at the time of the disposition. In addition, the U.S. Holder may be required to defer, until the maturity of the note or earlier taxable disposition, the deduction of all or a portion of the interest expense on any indebtedness incurred or continued to purchase or carry the note. Any market discount will be considered to accrue ratably during the period from the date of acquisition to the maturity date of the note, unless the U.S. Holder elects to accrue the market discount on a constant yield method. In addition, the U.S. Holder may elect to include market discount in income currently as it accrues, on either a ratable or constant yield method, in which case the rule described above regarding deferral of interest deductions will not apply. This election to include market discount in income currently, once made, applies to all market discount obligations acquired by the U.S. Holder during or after the first taxable year to which the election applies and may not be revoked without the consent of the IRS. You should consult with your tax advisor regarding these elections.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Amortizable Bond Premium. </w:t>
      </w:r>
      <w:r>
        <w:rPr>
          <w:rFonts w:ascii="Arial" w:cs="Arial" w:eastAsia="Arial" w:hAnsi="Arial"/>
          <w:sz w:val="18"/>
          <w:szCs w:val="18"/>
          <w:color w:val="auto"/>
        </w:rPr>
        <w:t>If a note is purchased at a price in excess of such note’s stated principal amount (excluding any amounts that are treated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pre-acquisition accrued interest as described above under “Pre-Acquisition Accrued Interest on the Notes”), a U.S. Holder will have bond premium with respect to that note in an amount equal to such excess. A U.S. Holder generally may elect to amortize bond premium using the constant yield method over the remaining term of the note and may offset stated interest income otherwise required to be included in respect of the note during any taxable year by the amortized amount of bond premium for the taxable year. However, because we may call the notes under certain circumstances at a price in excess of their stated principal amount, such amortization may be reduced and/or deferred.</w:t>
      </w:r>
    </w:p>
    <w:p>
      <w:pPr>
        <w:spacing w:after="0" w:line="1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 U.S. Holder’s election to amortize bond premium on a constant yield method, once made, will also apply to all other debt obligations with bond premium (other than obligations the interest on which is excludible from gross income)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note. You should consult your own tax advisors with respect to the rules relating to amortizable bond premium and the application to your particular circumstances.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 redemption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increased by any market discount included in income in respect of the note, and reduced by the amount of any payments previously received by the U.S. Holder (other than qualified stated interest) and any amortized bond premium. Except to the extent of any accrued market discount not previously included in income,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 intermediaries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refer to ‘‘—Non-U.S. Holders—FATCA Regime’’ below.</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certain other persons who, when required, demonstrate their exempt status) with respect to:</w:t>
      </w:r>
    </w:p>
    <w:p>
      <w:pPr>
        <w:spacing w:after="0" w:line="7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Non-U.S. Holder that is not exempt from tax under these rules generally will be subject to U.S. federal income tax withholding at a rate of 30% unless:</w:t>
      </w:r>
    </w:p>
    <w:p>
      <w:pPr>
        <w:spacing w:after="0" w:line="142" w:lineRule="exact"/>
        <w:rPr>
          <w:sz w:val="20"/>
          <w:szCs w:val="20"/>
          <w:color w:val="auto"/>
        </w:rPr>
      </w:pPr>
    </w:p>
    <w:p>
      <w:pPr>
        <w:ind w:left="900" w:right="5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8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that provides for a lower rate of, or exemption from, withholding tax.</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6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interests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(commonly referred to as “FATCA”), a 30%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withholding tax will be imposed in certain circumstances on payments of (i) interest on the notes and (ii) gross proceeds from a sale or other disposition of the notes (which includes redemption and retirement of the notes) occurring after December 31, 2018.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should consult with their own tax advisors regarding the possible implications of FATCA on their investment in the notes.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intend to offer the notes offered hereby through the underwriters named below, for whom Deutsche Bank Securities, Inc., Goldman Sachs &amp; Co. LLC, Merrill Lynch, Pierce, Fenner &amp; Smith Incorporated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6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Deutsche</w:t>
            </w: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Securities, Inc.</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34,563,000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34,563,000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34,562,000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34,562,000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$400,000.</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Reopening</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notes will be a further issuance of, are fungible with and are consolidated and form a single series with, our outstanding 3.25% Notes due 2027, $300 million aggregate principal amount of which were originally issued on June 23, 2017. The 2027 Notes will be a new issue of securities with no established trading market. The notes will not be listed on any securities exchange or included in any automated quotation system. We have been advised by the underwriters that the underwriters intend to make a market in each series of the notes, but they are not obligated to do so and may discontinue market making at any time without notice. No assurance can be given as to the liquidity of any trading markets for the notes.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notes sold by the underwriters to the public will initially be offered at the public offering prices set forth on the cover of this prospectus supplement and may be offered to certain dealers at these prices less a concession not in excess of 0.400% of the aggregate principal amount of notes. The underwriters may allow, and those dealers may reallow, a discount not in excess of 0.250% of the aggregate principal amount of the notes to certain other dealers. After the initial offering, the public offering price and other selling terms may be changed.</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5620" w:type="dxa"/>
            <w:vAlign w:val="bottom"/>
            <w:gridSpan w:val="2"/>
          </w:tcPr>
          <w:p>
            <w:pPr>
              <w:ind w:left="4780"/>
              <w:spacing w:after="0"/>
              <w:rPr>
                <w:sz w:val="20"/>
                <w:szCs w:val="20"/>
                <w:color w:val="auto"/>
              </w:rPr>
            </w:pPr>
            <w:r>
              <w:rPr>
                <w:rFonts w:ascii="Arial" w:cs="Arial" w:eastAsia="Arial" w:hAnsi="Arial"/>
                <w:sz w:val="18"/>
                <w:szCs w:val="18"/>
                <w:b w:val="1"/>
                <w:bCs w:val="1"/>
                <w:color w:val="auto"/>
                <w:w w:val="89"/>
              </w:rPr>
              <w:t>Paid by Us</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4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0.650%</w:t>
            </w:r>
          </w:p>
        </w:tc>
      </w:tr>
      <w:tr>
        <w:trPr>
          <w:trHeight w:val="365"/>
        </w:trPr>
        <w:tc>
          <w:tcPr>
            <w:tcW w:w="2140" w:type="dxa"/>
            <w:vAlign w:val="bottom"/>
          </w:tcPr>
          <w:p>
            <w:pPr>
              <w:spacing w:after="0"/>
              <w:rPr>
                <w:sz w:val="24"/>
                <w:szCs w:val="24"/>
                <w:color w:val="auto"/>
              </w:rPr>
            </w:pPr>
          </w:p>
        </w:tc>
        <w:tc>
          <w:tcPr>
            <w:tcW w:w="5620" w:type="dxa"/>
            <w:vAlign w:val="bottom"/>
            <w:gridSpan w:val="2"/>
          </w:tcPr>
          <w:p>
            <w:pPr>
              <w:ind w:left="1560"/>
              <w:spacing w:after="0"/>
              <w:rPr>
                <w:sz w:val="20"/>
                <w:szCs w:val="20"/>
                <w:color w:val="auto"/>
              </w:rPr>
            </w:pPr>
            <w:r>
              <w:rPr>
                <w:rFonts w:ascii="Arial" w:cs="Arial" w:eastAsia="Arial" w:hAnsi="Arial"/>
                <w:sz w:val="18"/>
                <w:szCs w:val="18"/>
                <w:color w:val="auto"/>
              </w:rPr>
              <w:t>S-24</w:t>
            </w:r>
          </w:p>
        </w:tc>
      </w:tr>
    </w:tbl>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Extended Settlement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to deliver the notes against payment for the notes on or about the settlement date specified on the cover page of this prospectus supplement, which will be the tenth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the notes before the second business day prior to the settlement date specified on the cover page of this prospectus supplement will be required to specify alternative settlement arrangements to prevent a failed settlement.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Affiliates of certain of the underwriters may be beneficial owners of some of our 5.90% Notes due 2020. Any such affiliates will receive pro rata portions of the net proceeds from this offering used to redeem our 5.90% Notes due 2020.</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communication of this prospectus supplement,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This prospectus supplement and the accompanying prospectus are only being distributed to, and are only directed at, (1) persons who are outside the United Kingdom or (2) investment professionals falling within</w:t>
      </w:r>
    </w:p>
    <w:p>
      <w:pPr>
        <w:spacing w:after="0" w:line="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Article 19(5) of the Financial Services and Markets Act 2000 (Financial Promotion) Order 2005, as amended (the “Order”) or (3) high net worth companies and other entities falling within Article 49(2)(a) to (d) of the Order or (4) any other persons to whom it may otherwise lawfully be communicated under the Order (each such person being referred to as a “relevant person”). The notes are only available to, and any investment or investment activity to which this prospectus supplement and the accompanying prospectus relate will be engaged in only with, relevant persons. Any person who is not a relevant person should not act or rely on this prospectus supplement or the accompanying prospectus or any of their contents.</w:t>
      </w:r>
    </w:p>
    <w:p>
      <w:pPr>
        <w:spacing w:after="0" w:line="17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document is not a prospectus for the purposes of the Prospectus Directive. In relation to each Member State of the European Economic Area which has implemented the Prospectus Directive (each, a “Relevant Member State”), with effect from and including the date on which the Prospectus Directive is implemented in that Relevant Member State, no offer of the notes which are the subject of the offering contemplated by this prospectus supplement and the accompanying prospectus to the public may be made in that Relevant Member State other than:</w:t>
      </w:r>
    </w:p>
    <w:p>
      <w:pPr>
        <w:spacing w:after="0" w:line="6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provided that no such offer of notes shall require Federal Realty Investment Trust or any underwriter to publish a prospectus pursuant to Article 3 of the Prospectus Directive.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Directive in that Member State.</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supplement and accompanying prospectus have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and the accompanying prospectus may only do so in circumstances in which no obligation arises for Federal Realty Investment Trust or any of the underwriters to publish a prospectus pursuant to Article 3 of the Prospectus Directive in relation to such offer. Neither Federal Realty Investment Trust nor the underwriters have authorized, nor do they authorize, the making of any offer of notes in circumstances in which an obligation arises for Federal Realty Investment Trust or the underwriters to publish a prospectus for such offer. The expression “Prospectus Directive” means Directive 2003/71/EC (as amended, including by Directive 2010/73/EU), and includes any relevant implementing measure in the Relevant Member State.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 does not intend to offer the notes in any Member State other than the United Kingdom.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notes must be made in accordance with an exemption from, or</w:t>
      </w:r>
      <w:r>
        <w:rPr>
          <w:rFonts w:ascii="Arial" w:cs="Arial" w:eastAsia="Arial" w:hAnsi="Arial"/>
          <w:sz w:val="18"/>
          <w:szCs w:val="18"/>
          <w:i w:val="1"/>
          <w:iCs w:val="1"/>
          <w:color w:val="auto"/>
        </w:rPr>
        <w:t xml:space="preserve"> </w:t>
      </w:r>
      <w:r>
        <w:rPr>
          <w:rFonts w:ascii="Arial" w:cs="Arial" w:eastAsia="Arial" w:hAnsi="Arial"/>
          <w:sz w:val="18"/>
          <w:szCs w:val="18"/>
          <w:color w:val="auto"/>
        </w:rPr>
        <w:t>in a transaction not subject to, the prospectus requirements of applicable securities laws.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Investing in our securities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400"/>
        <w:spacing w:after="0"/>
        <w:tabs>
          <w:tab w:leader="none" w:pos="902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wp:posOffset>
            </wp:positionV>
            <wp:extent cx="26155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780"/>
        <w:spacing w:after="0"/>
        <w:tabs>
          <w:tab w:leader="none" w:pos="8860" w:val="left"/>
          <w:tab w:leader="none" w:pos="9400" w:val="left"/>
          <w:tab w:leader="none" w:pos="9960" w:val="left"/>
          <w:tab w:leader="none" w:pos="10520" w:val="left"/>
          <w:tab w:leader="none" w:pos="11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is for relief against us or any of our significant subsidiaries in an involuntary case,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 days.</w:t>
      </w:r>
    </w:p>
    <w:p>
      <w:pPr>
        <w:spacing w:after="0" w:line="248"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color w:val="auto"/>
        </w:rPr>
        <w:t>(i) currency, currencies or currency units in which those debt securities are then specified as payable at maturity, (ii) government obligations (as defined in the applicable indenture) or (iii) any combination thereof, as will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92"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22860</wp:posOffset>
            </wp:positionV>
            <wp:extent cx="2195195" cy="8661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9519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3.25%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Deutsche Bank Securities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Goldman Sachs &amp; Co. LLC</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Citigroup</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PNC Capital Markets LLC</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Regions Securities LLC</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SunTrust Robinson Humphrey</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TD Securities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US Bancorp</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December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lvl w:ilvl="1">
      <w:lvlJc w:val="left"/>
      <w:lvlText w:val="•"/>
      <w:numFmt w:val="bullet"/>
      <w:start w:val="1"/>
    </w:lvl>
  </w:abstractNum>
  <w:abstractNum w:abstractNumId="4">
    <w:nsid w:val="1BA026FA"/>
    <w:multiLevelType w:val="hybridMultilevel"/>
    <w:lvl w:ilvl="0">
      <w:lvlJc w:val="left"/>
      <w:lvlText w:val="(%1)"/>
      <w:numFmt w:val="lowerLetter"/>
      <w:start w:val="1"/>
    </w:lvl>
  </w:abstractNum>
  <w:abstractNum w:abstractNumId="5">
    <w:nsid w:val="79A1DEAA"/>
    <w:multiLevelType w:val="hybridMultilevel"/>
    <w:lvl w:ilvl="0">
      <w:lvlJc w:val="left"/>
      <w:lvlText w:val="(%1)"/>
      <w:numFmt w:val="decimal"/>
      <w:start w:val="2"/>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decimal"/>
      <w:start w:val="2"/>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decimal"/>
      <w:start w:val="5"/>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1"/>
    </w:lvl>
  </w:abstractNum>
  <w:abstractNum w:abstractNumId="14">
    <w:nsid w:val="275AC794"/>
    <w:multiLevelType w:val="hybridMultilevel"/>
    <w:lvl w:ilvl="0">
      <w:lvlJc w:val="left"/>
      <w:lvlText w:val="(%1)"/>
      <w:numFmt w:val="decimal"/>
      <w:start w:val="2"/>
    </w:lvl>
  </w:abstractNum>
  <w:abstractNum w:abstractNumId="15">
    <w:nsid w:val="39386575"/>
    <w:multiLevelType w:val="hybridMultilevel"/>
    <w:lvl w:ilvl="0">
      <w:lvlJc w:val="left"/>
      <w:lvlText w:val="(%1)"/>
      <w:numFmt w:val="upperLetter"/>
      <w:start w:val="61"/>
    </w:lvl>
    <w:lvl w:ilvl="1">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lvl w:ilvl="1">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lowerLetter"/>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lvl w:ilvl="1">
      <w:lvlJc w:val="left"/>
      <w:lvlText w:val="•"/>
      <w:numFmt w:val="bullet"/>
      <w:start w:val="1"/>
    </w:lvl>
  </w:abstractNum>
  <w:abstractNum w:abstractNumId="38">
    <w:nsid w:val="5DB70AE5"/>
    <w:multiLevelType w:val="hybridMultilevel"/>
    <w:lvl w:ilvl="0">
      <w:lvlJc w:val="left"/>
      <w:lvlText w:val="•"/>
      <w:numFmt w:val="bullet"/>
      <w:start w:val="1"/>
    </w:lvl>
    <w:lvl w:ilvl="1">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decimal"/>
      <w:start w:val="5"/>
    </w:lvl>
  </w:abstractNum>
  <w:abstractNum w:abstractNumId="46">
    <w:nsid w:val="42C296BD"/>
    <w:multiLevelType w:val="hybridMultilevel"/>
    <w:lvl w:ilvl="0">
      <w:lvlJc w:val="left"/>
      <w:lvlText w:val="%1."/>
      <w:numFmt w:val="decimal"/>
      <w:start w:val="6"/>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lvl w:ilvl="1">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lvl w:ilvl="1">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lvl w:ilvl="1">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lvl w:ilvl="1">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emdash "/>
      <w:numFmt w:val="bullet"/>
      <w:start w:val="1"/>
    </w:lvl>
  </w:abstractNum>
  <w:abstractNum w:abstractNumId="86">
    <w:nsid w:val="39EE015C"/>
    <w:multiLevelType w:val="hybridMultilevel"/>
    <w:lvl w:ilvl="0">
      <w:lvlJc w:val="left"/>
      <w:lvlText w:val="•"/>
      <w:numFmt w:val="bullet"/>
      <w:start w:val="1"/>
    </w:lvl>
    <w:lvl w:ilvl="1">
      <w:lvlJc w:val="left"/>
      <w:lvlText w:val="•"/>
      <w:numFmt w:val="bullet"/>
      <w:start w:val="1"/>
    </w:lvl>
  </w:abstractNum>
  <w:abstractNum w:abstractNumId="87">
    <w:nsid w:val="57FC4FBB"/>
    <w:multiLevelType w:val="hybridMultilevel"/>
    <w:lvl w:ilvl="0">
      <w:lvlJc w:val="left"/>
      <w:lvlText w:val="(%1)"/>
      <w:numFmt w:val="lowerRoman"/>
      <w:start w:val="2"/>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4"/>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2019-12-05T03:19:25Z</dcterms:created>
  <dcterms:modified xsi:type="dcterms:W3CDTF">2019-12-05T03:19:25Z</dcterms:modified>
</cp:coreProperties>
</file>