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14, 2024</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5.00%</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60"/>
              <w:spacing w:after="0" w:line="168" w:lineRule="exact"/>
              <w:rPr>
                <w:sz w:val="20"/>
                <w:szCs w:val="20"/>
                <w:color w:val="auto"/>
              </w:rPr>
            </w:pPr>
            <w:r>
              <w:rPr>
                <w:rFonts w:ascii="Times New Roman" w:cs="Times New Roman" w:eastAsia="Times New Roman" w:hAnsi="Times New Roman"/>
                <w:sz w:val="16"/>
                <w:szCs w:val="16"/>
                <w:color w:val="auto"/>
              </w:rPr>
              <w:t>Series C Cumulative Redeemable Preferred Stock, $.01 par value per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8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8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Federal Realty OP LP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ind w:right="1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15, 2024, Federal Realty Investment Trust (the “Company”) reported that Jeffrey S. Berkes, the Company’s President and Chief Operating Officer, will depart from the Company effective as of December 31, 2024. The Company does not intend to backfill this role. As a result of his departure, Mr. Berkes is entitled to the rights and payments set forth in that certain Amended and Restated Severance Agreement dated as of February 10, 2021 which was filed as </w:t>
      </w:r>
      <w:hyperlink r:id="rId9">
        <w:r>
          <w:rPr>
            <w:rFonts w:ascii="Times New Roman" w:cs="Times New Roman" w:eastAsia="Times New Roman" w:hAnsi="Times New Roman"/>
            <w:sz w:val="18"/>
            <w:szCs w:val="18"/>
            <w:u w:val="single" w:color="auto"/>
            <w:color w:val="0000FF"/>
          </w:rPr>
          <w:t>Exhibit 10.2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Quarterly Report on Form 10-Q filed on May 5, 2021. In addition, Mr. Berkes will receive an annual bonus for calendar year 2024 in accordance with the Company’s annual bonus plan. The Company also intends to enter into a one-year consulting arrangement with Mr. Berkes effective January 1, 2025 pursuant to which Mr. Berkes will provide certain services to the Company in connection with property acquisition activity and be paid a fee for closed acquisitions.</w:t>
      </w:r>
    </w:p>
    <w:p>
      <w:pPr>
        <w:spacing w:after="0" w:line="23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Concurrently with Mr. Berkes’ departure, Donald C. Wood, the Company’s Chief Executive Officer, will reassume the additional position of President of the Company.</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4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information is furnished pursuant to Item 7.01, “Regulation FD Disclosure.” This information shall not be deemed “filed” for the purposes of Section 18 of the Securities Exchange Act of 1934, as amended (the “Exchange Act”), or incorporated by reference in any filing under the Securities Act of 1933, as amended, or the Exchange Act, except as expressly set forth by specific reference in such a filing.</w:t>
      </w:r>
    </w:p>
    <w:p>
      <w:pPr>
        <w:spacing w:after="0" w:line="2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Mr. Berkes’ departure from the Company, the Company expects to record a charge in the fourth quarter of 2024 of approximately $0.04 per diluted share against both net income available for common shareholders and funds from operations (FFO) available for common shareholders.</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8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1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300" w:type="dxa"/>
            <w:vAlign w:val="bottom"/>
          </w:tcPr>
          <w:p>
            <w:pPr>
              <w:spacing w:after="0"/>
              <w:rPr>
                <w:sz w:val="19"/>
                <w:szCs w:val="19"/>
                <w:color w:val="auto"/>
              </w:rPr>
            </w:pPr>
          </w:p>
        </w:tc>
      </w:tr>
      <w:tr>
        <w:trPr>
          <w:trHeight w:val="974"/>
        </w:trPr>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ind w:left="44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88" w:lineRule="exact"/>
        <w:rPr>
          <w:sz w:val="20"/>
          <w:szCs w:val="20"/>
          <w:color w:val="auto"/>
        </w:rPr>
      </w:pPr>
    </w:p>
    <w:p>
      <w:pPr>
        <w:ind w:left="40"/>
        <w:spacing w:after="0"/>
        <w:tabs>
          <w:tab w:leader="none" w:pos="840" w:val="left"/>
          <w:tab w:leader="none" w:pos="4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15, 2024</w:t>
      </w:r>
      <w:r>
        <w:rPr>
          <w:sz w:val="20"/>
          <w:szCs w:val="20"/>
          <w:color w:val="auto"/>
        </w:rPr>
        <w:tab/>
      </w:r>
      <w:r>
        <w:rPr>
          <w:rFonts w:ascii="Times New Roman" w:cs="Times New Roman" w:eastAsia="Times New Roman" w:hAnsi="Times New Roman"/>
          <w:sz w:val="18"/>
          <w:szCs w:val="18"/>
          <w:u w:val="single" w:color="auto"/>
          <w:color w:val="auto"/>
        </w:rPr>
        <w:t>/s/ Dawn M. Becker</w:t>
      </w:r>
    </w:p>
    <w:p>
      <w:pPr>
        <w:spacing w:after="0" w:line="29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sectPr>
      <w:pgSz w:w="11900" w:h="16838" w:orient="portrait"/>
      <w:cols w:equalWidth="0" w:num="1">
        <w:col w:w="10800"/>
      </w:cols>
      <w:pgMar w:left="320" w:top="113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s://www.sec.gov/ix?doc=/Archives/edgar/data/34903/000003490321000049/frt-2021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2024-11-15T15:36:58Z</dcterms:created>
  <dcterms:modified xsi:type="dcterms:W3CDTF">2024-11-15T15:36:58Z</dcterms:modified>
</cp:coreProperties>
</file>