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Date of Report (Date of earliest event reported) December 31, 2000</w:t>
      </w:r>
    </w:p>
    <w:p>
      <w:pPr>
        <w:spacing w:after="0" w:line="200" w:lineRule="exact"/>
        <w:rPr>
          <w:sz w:val="24"/>
          <w:szCs w:val="24"/>
          <w:color w:val="auto"/>
        </w:rPr>
      </w:pPr>
    </w:p>
    <w:p>
      <w:pPr>
        <w:spacing w:after="0" w:line="304"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338"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1-7533</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3">
            <w:col w:w="2600" w:space="160"/>
            <w:col w:w="1220" w:space="0"/>
            <w:col w:w="6259"/>
          </w:cols>
          <w:pgMar w:left="220" w:top="561" w:right="1440" w:bottom="1440" w:gutter="0" w:footer="0" w:header="0"/>
          <w:type w:val="continuous"/>
        </w:sectPr>
      </w:pPr>
    </w:p>
    <w:p>
      <w:pPr>
        <w:jc w:val="both"/>
        <w:ind w:left="260"/>
        <w:spacing w:after="0" w:line="252" w:lineRule="auto"/>
        <w:rPr>
          <w:sz w:val="20"/>
          <w:szCs w:val="20"/>
          <w:color w:val="auto"/>
        </w:rPr>
      </w:pPr>
      <w:r>
        <w:rPr>
          <w:rFonts w:ascii="Courier New" w:cs="Courier New" w:eastAsia="Courier New" w:hAnsi="Courier New"/>
          <w:sz w:val="14"/>
          <w:szCs w:val="14"/>
          <w:color w:val="auto"/>
        </w:rPr>
        <w:t>1626 East Jefferson Street, Rockville, Maryland -----------------------------------------------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20852-4041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9" w:lineRule="exact"/>
        <w:rPr>
          <w:sz w:val="24"/>
          <w:szCs w:val="24"/>
          <w:color w:val="auto"/>
        </w:rPr>
      </w:pPr>
    </w:p>
    <w:p>
      <w:pPr>
        <w:sectPr>
          <w:pgSz w:w="11900" w:h="16838" w:orient="portrait"/>
          <w:cols w:equalWidth="0" w:num="2">
            <w:col w:w="4320" w:space="340"/>
            <w:col w:w="5579"/>
          </w:cols>
          <w:pgMar w:left="220" w:top="561" w:right="1440" w:bottom="1440" w:gutter="0" w:footer="0" w:header="0"/>
          <w:type w:val="continuous"/>
        </w:sectPr>
      </w:pPr>
    </w:p>
    <w:p>
      <w:pPr>
        <w:spacing w:after="0" w:line="129" w:lineRule="exact"/>
        <w:rPr>
          <w:sz w:val="24"/>
          <w:szCs w:val="24"/>
          <w:color w:val="auto"/>
        </w:rPr>
      </w:pPr>
    </w:p>
    <w:p>
      <w:pPr>
        <w:ind w:left="700"/>
        <w:spacing w:after="0"/>
        <w:tabs>
          <w:tab w:leader="none" w:pos="5160" w:val="left"/>
        </w:tabs>
        <w:rPr>
          <w:sz w:val="20"/>
          <w:szCs w:val="20"/>
          <w:color w:val="auto"/>
        </w:rPr>
      </w:pPr>
      <w:r>
        <w:rPr>
          <w:rFonts w:ascii="Courier New" w:cs="Courier New" w:eastAsia="Courier New" w:hAnsi="Courier New"/>
          <w:sz w:val="14"/>
          <w:szCs w:val="14"/>
          <w:color w:val="auto"/>
        </w:rPr>
        <w:t>Registrant's telephone number including area code:</w:t>
        <w:tab/>
        <w:t>301/998-8100</w:t>
      </w:r>
    </w:p>
    <w:p>
      <w:pPr>
        <w:spacing w:after="0" w:line="7" w:lineRule="exact"/>
        <w:rPr>
          <w:sz w:val="24"/>
          <w:szCs w:val="24"/>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840" w:val="left"/>
        </w:tabs>
        <w:rPr>
          <w:sz w:val="20"/>
          <w:szCs w:val="20"/>
          <w:color w:val="auto"/>
        </w:rPr>
      </w:pPr>
      <w:r>
        <w:rPr>
          <w:rFonts w:ascii="Courier New" w:cs="Courier New" w:eastAsia="Courier New" w:hAnsi="Courier New"/>
          <w:sz w:val="14"/>
          <w:szCs w:val="14"/>
          <w:color w:val="auto"/>
        </w:rPr>
        <w:t>Item 5.</w:t>
        <w:tab/>
        <w:t>Other Events</w:t>
      </w:r>
    </w:p>
    <w:p>
      <w:pPr>
        <w:spacing w:after="0" w:line="173" w:lineRule="exact"/>
        <w:rPr>
          <w:sz w:val="20"/>
          <w:szCs w:val="20"/>
          <w:color w:val="auto"/>
        </w:rPr>
      </w:pPr>
    </w:p>
    <w:p>
      <w:pPr>
        <w:jc w:val="both"/>
        <w:ind w:right="4019" w:firstLine="861"/>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December 31, 2000.</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3" w:lineRule="exact"/>
        <w:rPr>
          <w:sz w:val="20"/>
          <w:szCs w:val="20"/>
          <w:color w:val="auto"/>
        </w:rPr>
      </w:pPr>
    </w:p>
    <w:p>
      <w:pPr>
        <w:ind w:left="860" w:hanging="507"/>
        <w:spacing w:after="0"/>
        <w:tabs>
          <w:tab w:leader="none" w:pos="8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38"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December 31, 2000</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200" w:lineRule="exact"/>
        <w:rPr>
          <w:sz w:val="20"/>
          <w:szCs w:val="20"/>
          <w:color w:val="auto"/>
        </w:rPr>
      </w:pPr>
    </w:p>
    <w:p>
      <w:pPr>
        <w:spacing w:after="0" w:line="304" w:lineRule="exact"/>
        <w:rPr>
          <w:sz w:val="20"/>
          <w:szCs w:val="20"/>
          <w:color w:val="auto"/>
        </w:rPr>
      </w:pPr>
    </w:p>
    <w:p>
      <w:pPr>
        <w:spacing w:after="0"/>
        <w:tabs>
          <w:tab w:leader="none" w:pos="600" w:val="left"/>
          <w:tab w:leader="none" w:pos="2320" w:val="left"/>
        </w:tabs>
        <w:rPr>
          <w:sz w:val="20"/>
          <w:szCs w:val="20"/>
          <w:color w:val="auto"/>
        </w:rPr>
      </w:pPr>
      <w:r>
        <w:rPr>
          <w:rFonts w:ascii="Courier New" w:cs="Courier New" w:eastAsia="Courier New" w:hAnsi="Courier New"/>
          <w:sz w:val="14"/>
          <w:szCs w:val="14"/>
          <w:color w:val="auto"/>
        </w:rPr>
        <w:t>Date:</w:t>
        <w:tab/>
        <w:t>February 15, 2001</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Vice President, Chief Financial Officer and Treasurer</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80"/>
            <w:col w:w="4380" w:space="720"/>
            <w:col w:w="4279"/>
          </w:cols>
          <w:pgMar w:left="220" w:top="616" w:right="1440" w:bottom="1440" w:gutter="0" w:footer="0" w:header="0"/>
          <w:type w:val="continuous"/>
        </w:sectPr>
      </w:pPr>
    </w:p>
    <w:p>
      <w:pPr>
        <w:ind w:left="100"/>
        <w:spacing w:after="0"/>
        <w:tabs>
          <w:tab w:leader="none" w:pos="8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December 31,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211" w:lineRule="exact"/>
        <w:rPr>
          <w:sz w:val="20"/>
          <w:szCs w:val="20"/>
          <w:color w:val="auto"/>
        </w:rPr>
      </w:pPr>
    </w:p>
    <w:p>
      <w:pPr>
        <w:sectPr>
          <w:pgSz w:w="11900" w:h="16838" w:orient="portrait"/>
          <w:cols w:equalWidth="0" w:num="2">
            <w:col w:w="5600" w:space="620"/>
            <w:col w:w="4019"/>
          </w:cols>
          <w:pgMar w:left="220" w:top="616" w:right="1440"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December 31, 2000</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1.   Debt Summary......................................................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E-2</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2.   Occupancy</w:t>
            </w:r>
          </w:p>
        </w:tc>
        <w:tc>
          <w:tcPr>
            <w:tcW w:w="260" w:type="dxa"/>
            <w:vAlign w:val="bottom"/>
          </w:tcPr>
          <w:p>
            <w:pPr>
              <w:spacing w:after="0"/>
              <w:rPr>
                <w:sz w:val="14"/>
                <w:szCs w:val="14"/>
                <w:color w:val="auto"/>
              </w:rPr>
            </w:pPr>
          </w:p>
        </w:tc>
      </w:tr>
      <w:tr>
        <w:trPr>
          <w:trHeight w:val="166"/>
        </w:trPr>
        <w:tc>
          <w:tcPr>
            <w:tcW w:w="6120" w:type="dxa"/>
            <w:vAlign w:val="bottom"/>
          </w:tcPr>
          <w:p>
            <w:pPr>
              <w:ind w:left="620"/>
              <w:spacing w:after="0"/>
              <w:rPr>
                <w:sz w:val="20"/>
                <w:szCs w:val="20"/>
                <w:color w:val="auto"/>
              </w:rPr>
            </w:pPr>
            <w:r>
              <w:rPr>
                <w:rFonts w:ascii="Courier New" w:cs="Courier New" w:eastAsia="Courier New" w:hAnsi="Courier New"/>
                <w:sz w:val="14"/>
                <w:szCs w:val="14"/>
                <w:color w:val="auto"/>
              </w:rPr>
              <w:t>Percentage Leased...............................................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6120" w:type="dxa"/>
            <w:vAlign w:val="bottom"/>
          </w:tcPr>
          <w:p>
            <w:pPr>
              <w:ind w:left="620"/>
              <w:spacing w:after="0"/>
              <w:rPr>
                <w:sz w:val="20"/>
                <w:szCs w:val="20"/>
                <w:color w:val="auto"/>
              </w:rPr>
            </w:pPr>
            <w:r>
              <w:rPr>
                <w:rFonts w:ascii="Courier New" w:cs="Courier New" w:eastAsia="Courier New" w:hAnsi="Courier New"/>
                <w:sz w:val="14"/>
                <w:szCs w:val="14"/>
                <w:color w:val="auto"/>
              </w:rPr>
              <w:t>Regional Breakdown..............................................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E-4</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3.   Leases Signed Analysis</w:t>
            </w:r>
          </w:p>
        </w:tc>
        <w:tc>
          <w:tcPr>
            <w:tcW w:w="260" w:type="dxa"/>
            <w:vAlign w:val="bottom"/>
          </w:tcPr>
          <w:p>
            <w:pPr>
              <w:spacing w:after="0"/>
              <w:rPr>
                <w:sz w:val="14"/>
                <w:szCs w:val="14"/>
                <w:color w:val="auto"/>
              </w:rPr>
            </w:pPr>
          </w:p>
        </w:tc>
      </w:tr>
      <w:tr>
        <w:trPr>
          <w:trHeight w:val="166"/>
        </w:trPr>
        <w:tc>
          <w:tcPr>
            <w:tcW w:w="6120" w:type="dxa"/>
            <w:vAlign w:val="bottom"/>
          </w:tcPr>
          <w:p>
            <w:pPr>
              <w:ind w:left="620"/>
              <w:spacing w:after="0"/>
              <w:rPr>
                <w:sz w:val="20"/>
                <w:szCs w:val="20"/>
                <w:color w:val="auto"/>
              </w:rPr>
            </w:pPr>
            <w:r>
              <w:rPr>
                <w:rFonts w:ascii="Courier New" w:cs="Courier New" w:eastAsia="Courier New" w:hAnsi="Courier New"/>
                <w:sz w:val="14"/>
                <w:szCs w:val="14"/>
                <w:color w:val="auto"/>
              </w:rPr>
              <w:t>Comparable and Non-Comparable...................................</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E-5</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Expirations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Average Rent on</w:t>
            </w:r>
          </w:p>
        </w:tc>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Leases Expiring.................................</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E-6</w:t>
            </w:r>
          </w:p>
        </w:tc>
      </w:tr>
      <w:tr>
        <w:trPr>
          <w:trHeight w:val="166"/>
        </w:trPr>
        <w:tc>
          <w:tcPr>
            <w:tcW w:w="3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Leases Expiring</w:t>
            </w:r>
          </w:p>
        </w:tc>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on Anchor and Small Shops.......................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E-7</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5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Major Tenants by Revenue Contribution.............................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E-8</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6.</w:t>
            </w:r>
          </w:p>
        </w:tc>
        <w:tc>
          <w:tcPr>
            <w:tcW w:w="5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Street Retail Operating &amp; Development Overview....................</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E-9</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7.</w:t>
            </w:r>
          </w:p>
        </w:tc>
        <w:tc>
          <w:tcPr>
            <w:tcW w:w="5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Development Pipeline..............................................</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E-10</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8.</w:t>
            </w:r>
          </w:p>
        </w:tc>
        <w:tc>
          <w:tcPr>
            <w:tcW w:w="5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2000 Year End Earnings Press Release, February 15, 2001...........</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E-11</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9.</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Glossary of Terms</w:t>
            </w:r>
          </w:p>
        </w:tc>
        <w:tc>
          <w:tcPr>
            <w:tcW w:w="4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E-15</w:t>
            </w:r>
          </w:p>
        </w:tc>
      </w:tr>
    </w:tbl>
    <w:p>
      <w:pPr>
        <w:spacing w:after="0" w:line="33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Rockville, Maryland 20852-4041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DEBT ANALYSIS</w:t>
        <w:tab/>
        <w:t>(excluding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Balance</w:t>
            </w:r>
          </w:p>
        </w:tc>
        <w:tc>
          <w:tcPr>
            <w:tcW w:w="72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Maturity</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Rate</w:t>
            </w: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(in thousands)</w:t>
            </w:r>
          </w:p>
        </w:tc>
        <w:tc>
          <w:tcPr>
            <w:tcW w:w="72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Leesburg Plaza</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10/01/08</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Federal Plaza</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03/10/01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8.950%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26,675</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Tysons Station</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09/01/01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9.875%</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3,988</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164 E Houston Street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10/06/08</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337</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Barracks Road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11/01/15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44,300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Hauppauge</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11/01/15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16,700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Lawrence Park</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11/01/15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31,400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Wildwood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11/01/15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27,600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Wynnewood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11/01/15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32,000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Escondido (Municipal bonds)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10/01/16</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Variable (a)</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9,400</w:t>
            </w:r>
          </w:p>
        </w:tc>
        <w:tc>
          <w:tcPr>
            <w:tcW w:w="72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r>
      <w:tr>
        <w:trPr>
          <w:trHeight w:val="331"/>
        </w:trPr>
        <w:tc>
          <w:tcPr>
            <w:tcW w:w="5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$202,300</w:t>
            </w:r>
          </w:p>
        </w:tc>
        <w:tc>
          <w:tcPr>
            <w:tcW w:w="720" w:type="dxa"/>
            <w:vAlign w:val="bottom"/>
          </w:tcPr>
          <w:p>
            <w:pPr>
              <w:spacing w:after="0"/>
              <w:rPr>
                <w:sz w:val="24"/>
                <w:szCs w:val="24"/>
                <w:color w:val="auto"/>
              </w:rPr>
            </w:pPr>
          </w:p>
        </w:tc>
      </w:tr>
      <w:tr>
        <w:trPr>
          <w:trHeight w:val="166"/>
        </w:trPr>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Revolving credit facilities</w:t>
            </w:r>
          </w:p>
        </w:tc>
        <w:tc>
          <w:tcPr>
            <w:tcW w:w="146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libor + .80% (b)</w:t>
            </w: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$ 78,000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Term note with banks</w:t>
            </w:r>
          </w:p>
        </w:tc>
        <w:tc>
          <w:tcPr>
            <w:tcW w:w="1460" w:type="dxa"/>
            <w:vAlign w:val="bottom"/>
          </w:tcPr>
          <w:p>
            <w:pPr>
              <w:spacing w:after="0"/>
              <w:rPr>
                <w:sz w:val="14"/>
                <w:szCs w:val="14"/>
                <w:color w:val="auto"/>
              </w:rPr>
            </w:pP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libor + .95% (c)</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125,000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Construction loan on Woodmont East</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5520" w:type="dxa"/>
            <w:vAlign w:val="bottom"/>
          </w:tcPr>
          <w:p>
            <w:pPr>
              <w:ind w:left="1560"/>
              <w:spacing w:after="0"/>
              <w:rPr>
                <w:sz w:val="20"/>
                <w:szCs w:val="20"/>
                <w:color w:val="auto"/>
              </w:rPr>
            </w:pPr>
            <w:r>
              <w:rPr>
                <w:rFonts w:ascii="Courier New" w:cs="Courier New" w:eastAsia="Courier New" w:hAnsi="Courier New"/>
                <w:sz w:val="14"/>
                <w:szCs w:val="14"/>
                <w:color w:val="auto"/>
              </w:rPr>
              <w:t>{may be extended to 8/29/04}</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08/29/02</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libor + 1.25%</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16,241</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Note issued in connection with</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5520" w:type="dxa"/>
            <w:vAlign w:val="bottom"/>
          </w:tcPr>
          <w:p>
            <w:pPr>
              <w:ind w:left="1560"/>
              <w:spacing w:after="0"/>
              <w:rPr>
                <w:sz w:val="20"/>
                <w:szCs w:val="20"/>
                <w:color w:val="auto"/>
              </w:rPr>
            </w:pPr>
            <w:r>
              <w:rPr>
                <w:rFonts w:ascii="Courier New" w:cs="Courier New" w:eastAsia="Courier New" w:hAnsi="Courier New"/>
                <w:sz w:val="14"/>
                <w:szCs w:val="14"/>
                <w:color w:val="auto"/>
              </w:rPr>
              <w:t>renovation of Perring Plaza</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01/31/13</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2,501</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Note issued in connection with land purchase</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08/14/00</w:t>
            </w:r>
          </w:p>
        </w:tc>
        <w:tc>
          <w:tcPr>
            <w:tcW w:w="1640" w:type="dxa"/>
            <w:vAlign w:val="bottom"/>
          </w:tcPr>
          <w:p>
            <w:pPr>
              <w:ind w:left="100"/>
              <w:spacing w:after="0"/>
              <w:rPr>
                <w:sz w:val="20"/>
                <w:szCs w:val="20"/>
                <w:color w:val="auto"/>
              </w:rPr>
            </w:pPr>
            <w:r>
              <w:rPr>
                <w:rFonts w:ascii="Courier New" w:cs="Courier New" w:eastAsia="Courier New" w:hAnsi="Courier New"/>
                <w:sz w:val="14"/>
                <w:szCs w:val="14"/>
                <w:color w:val="auto"/>
              </w:rPr>
              <w:t>libor + 1.5%</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various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various</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w:t>
            </w:r>
          </w:p>
        </w:tc>
        <w:tc>
          <w:tcPr>
            <w:tcW w:w="72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r>
      <w:tr>
        <w:trPr>
          <w:trHeight w:val="331"/>
        </w:trPr>
        <w:tc>
          <w:tcPr>
            <w:tcW w:w="5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$225,246</w:t>
            </w:r>
          </w:p>
        </w:tc>
        <w:tc>
          <w:tcPr>
            <w:tcW w:w="720" w:type="dxa"/>
            <w:vAlign w:val="bottom"/>
          </w:tcPr>
          <w:p>
            <w:pPr>
              <w:spacing w:after="0"/>
              <w:rPr>
                <w:sz w:val="24"/>
                <w:szCs w:val="24"/>
                <w:color w:val="auto"/>
              </w:rPr>
            </w:pPr>
          </w:p>
        </w:tc>
      </w:tr>
      <w:tr>
        <w:trPr>
          <w:trHeight w:val="166"/>
        </w:trPr>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04/30/02</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289</w:t>
            </w:r>
          </w:p>
        </w:tc>
        <w:tc>
          <w:tcPr>
            <w:tcW w:w="72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r>
      <w:tr>
        <w:trPr>
          <w:trHeight w:val="331"/>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10/28/03</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5.250%</w:t>
            </w: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$ 75,000</w:t>
            </w:r>
          </w:p>
        </w:tc>
        <w:tc>
          <w:tcPr>
            <w:tcW w:w="720" w:type="dxa"/>
            <w:vAlign w:val="bottom"/>
          </w:tcPr>
          <w:p>
            <w:pPr>
              <w:spacing w:after="0"/>
              <w:rPr>
                <w:sz w:val="24"/>
                <w:szCs w:val="24"/>
                <w:color w:val="auto"/>
              </w:rPr>
            </w:pPr>
          </w:p>
        </w:tc>
      </w:tr>
      <w:tr>
        <w:trPr>
          <w:trHeight w:val="166"/>
        </w:trPr>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r>
      <w:tr>
        <w:trPr>
          <w:trHeight w:val="331"/>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8% Notes (fixed)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04/21/02</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w:t>
            </w: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$ 25,000</w:t>
            </w:r>
          </w:p>
        </w:tc>
        <w:tc>
          <w:tcPr>
            <w:tcW w:w="720" w:type="dxa"/>
            <w:vAlign w:val="bottom"/>
          </w:tcPr>
          <w:p>
            <w:pPr>
              <w:spacing w:after="0"/>
              <w:rPr>
                <w:sz w:val="24"/>
                <w:szCs w:val="2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6.625% Notes (fixed)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12/01/05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6.625%</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40,000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7.48% Debentures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08/15/26</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50,000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6.82% Medium Term Notes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08/01/27</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40,000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6.74% Medium Term Notes (d)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03/10/04</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39,500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6.99% Medium Term Notes (d)</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03/10/06</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6.894%</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40,500</w:t>
            </w:r>
          </w:p>
        </w:tc>
        <w:tc>
          <w:tcPr>
            <w:tcW w:w="720" w:type="dxa"/>
            <w:vAlign w:val="bottom"/>
          </w:tcPr>
          <w:p>
            <w:pPr>
              <w:spacing w:after="0"/>
              <w:rPr>
                <w:sz w:val="14"/>
                <w:szCs w:val="14"/>
                <w:color w:val="auto"/>
              </w:rPr>
            </w:pPr>
          </w:p>
        </w:tc>
      </w:tr>
      <w:tr>
        <w:trPr>
          <w:trHeight w:val="166"/>
        </w:trPr>
        <w:tc>
          <w:tcPr>
            <w:tcW w:w="5520" w:type="dxa"/>
            <w:vAlign w:val="bottom"/>
          </w:tcPr>
          <w:p>
            <w:pPr>
              <w:ind w:left="1380"/>
              <w:spacing w:after="0"/>
              <w:rPr>
                <w:sz w:val="20"/>
                <w:szCs w:val="20"/>
                <w:color w:val="auto"/>
              </w:rPr>
            </w:pPr>
            <w:r>
              <w:rPr>
                <w:rFonts w:ascii="Courier New" w:cs="Courier New" w:eastAsia="Courier New" w:hAnsi="Courier New"/>
                <w:sz w:val="14"/>
                <w:szCs w:val="14"/>
                <w:color w:val="auto"/>
              </w:rPr>
              <w:t>8.75% Notes</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12/01/09</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8.750%</w:t>
            </w:r>
          </w:p>
        </w:tc>
        <w:tc>
          <w:tcPr>
            <w:tcW w:w="44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175,000</w:t>
            </w:r>
          </w:p>
        </w:tc>
        <w:tc>
          <w:tcPr>
            <w:tcW w:w="72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r>
      <w:tr>
        <w:trPr>
          <w:trHeight w:val="331"/>
        </w:trPr>
        <w:tc>
          <w:tcPr>
            <w:tcW w:w="5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$410,000</w:t>
            </w:r>
          </w:p>
        </w:tc>
        <w:tc>
          <w:tcPr>
            <w:tcW w:w="720" w:type="dxa"/>
            <w:vAlign w:val="bottom"/>
          </w:tcPr>
          <w:p>
            <w:pPr>
              <w:spacing w:after="0"/>
              <w:rPr>
                <w:sz w:val="24"/>
                <w:szCs w:val="24"/>
                <w:color w:val="auto"/>
              </w:rPr>
            </w:pPr>
          </w:p>
        </w:tc>
      </w:tr>
      <w:tr>
        <w:trPr>
          <w:trHeight w:val="166"/>
        </w:trPr>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r>
      <w:tr>
        <w:trPr>
          <w:trHeight w:val="331"/>
        </w:trPr>
        <w:tc>
          <w:tcPr>
            <w:tcW w:w="552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Total fixed rate debt</w:t>
            </w: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$680,794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74.58%</w:t>
            </w:r>
          </w:p>
        </w:tc>
      </w:tr>
      <w:tr>
        <w:trPr>
          <w:trHeight w:val="331"/>
        </w:trPr>
        <w:tc>
          <w:tcPr>
            <w:tcW w:w="552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Total variable rate debt</w:t>
            </w:r>
          </w:p>
        </w:tc>
        <w:tc>
          <w:tcPr>
            <w:tcW w:w="440" w:type="dxa"/>
            <w:vAlign w:val="bottom"/>
          </w:tcPr>
          <w:p>
            <w:pPr>
              <w:spacing w:after="0"/>
              <w:rPr>
                <w:sz w:val="24"/>
                <w:szCs w:val="2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232,041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25.42%</w:t>
            </w:r>
          </w:p>
        </w:tc>
      </w:tr>
      <w:tr>
        <w:trPr>
          <w:trHeight w:val="166"/>
        </w:trPr>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1640" w:type="dxa"/>
            <w:vAlign w:val="bottom"/>
          </w:tcPr>
          <w:p>
            <w:pPr>
              <w:spacing w:after="0"/>
              <w:rPr>
                <w:sz w:val="24"/>
                <w:szCs w:val="2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$912,835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Weighted average interest rate:</w:t>
            </w: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980" w:type="dxa"/>
            <w:vAlign w:val="bottom"/>
            <w:gridSpan w:val="2"/>
          </w:tcPr>
          <w:p>
            <w:pPr>
              <w:ind w:left="4400"/>
              <w:spacing w:after="0"/>
              <w:rPr>
                <w:sz w:val="20"/>
                <w:szCs w:val="20"/>
                <w:color w:val="auto"/>
              </w:rPr>
            </w:pPr>
            <w:r>
              <w:rPr>
                <w:rFonts w:ascii="Courier New" w:cs="Courier New" w:eastAsia="Courier New" w:hAnsi="Courier New"/>
                <w:sz w:val="14"/>
                <w:szCs w:val="14"/>
                <w:color w:val="auto"/>
              </w:rPr>
              <w:t>Fixed rate debt</w:t>
            </w: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7.56%</w:t>
            </w:r>
          </w:p>
        </w:tc>
        <w:tc>
          <w:tcPr>
            <w:tcW w:w="720" w:type="dxa"/>
            <w:vAlign w:val="bottom"/>
          </w:tcPr>
          <w:p>
            <w:pPr>
              <w:spacing w:after="0"/>
              <w:rPr>
                <w:sz w:val="14"/>
                <w:szCs w:val="14"/>
                <w:color w:val="auto"/>
              </w:rPr>
            </w:pPr>
          </w:p>
        </w:tc>
      </w:tr>
      <w:tr>
        <w:trPr>
          <w:trHeight w:val="166"/>
        </w:trPr>
        <w:tc>
          <w:tcPr>
            <w:tcW w:w="8620" w:type="dxa"/>
            <w:vAlign w:val="bottom"/>
            <w:gridSpan w:val="3"/>
          </w:tcPr>
          <w:p>
            <w:pPr>
              <w:ind w:left="4400"/>
              <w:spacing w:after="0"/>
              <w:rPr>
                <w:sz w:val="20"/>
                <w:szCs w:val="20"/>
                <w:color w:val="auto"/>
              </w:rPr>
            </w:pPr>
            <w:r>
              <w:rPr>
                <w:rFonts w:ascii="Courier New" w:cs="Courier New" w:eastAsia="Courier New" w:hAnsi="Courier New"/>
                <w:sz w:val="14"/>
                <w:szCs w:val="14"/>
                <w:color w:val="auto"/>
              </w:rPr>
              <w:t>Variable on revolving credit facilities</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5520" w:type="dxa"/>
            <w:vAlign w:val="bottom"/>
          </w:tcPr>
          <w:p>
            <w:pPr>
              <w:ind w:left="4400"/>
              <w:spacing w:after="0"/>
              <w:rPr>
                <w:sz w:val="20"/>
                <w:szCs w:val="20"/>
                <w:color w:val="auto"/>
              </w:rPr>
            </w:pPr>
            <w:r>
              <w:rPr>
                <w:rFonts w:ascii="Courier New" w:cs="Courier New" w:eastAsia="Courier New" w:hAnsi="Courier New"/>
                <w:sz w:val="14"/>
                <w:szCs w:val="14"/>
                <w:color w:val="auto"/>
              </w:rPr>
              <w:t>and term note</w:t>
            </w: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7.22% (e)</w:t>
            </w:r>
          </w:p>
        </w:tc>
        <w:tc>
          <w:tcPr>
            <w:tcW w:w="720" w:type="dxa"/>
            <w:vAlign w:val="bottom"/>
          </w:tcPr>
          <w:p>
            <w:pPr>
              <w:spacing w:after="0"/>
              <w:rPr>
                <w:sz w:val="14"/>
                <w:szCs w:val="14"/>
                <w:color w:val="auto"/>
              </w:rPr>
            </w:pPr>
          </w:p>
        </w:tc>
      </w:tr>
      <w:tr>
        <w:trPr>
          <w:trHeight w:val="166"/>
        </w:trPr>
        <w:tc>
          <w:tcPr>
            <w:tcW w:w="6980" w:type="dxa"/>
            <w:vAlign w:val="bottom"/>
            <w:gridSpan w:val="2"/>
          </w:tcPr>
          <w:p>
            <w:pPr>
              <w:ind w:left="4400"/>
              <w:spacing w:after="0"/>
              <w:rPr>
                <w:sz w:val="20"/>
                <w:szCs w:val="20"/>
                <w:color w:val="auto"/>
              </w:rPr>
            </w:pPr>
            <w:r>
              <w:rPr>
                <w:rFonts w:ascii="Courier New" w:cs="Courier New" w:eastAsia="Courier New" w:hAnsi="Courier New"/>
                <w:sz w:val="14"/>
                <w:szCs w:val="14"/>
                <w:color w:val="auto"/>
              </w:rPr>
              <w:t>Variable on muncipal bonds</w:t>
            </w:r>
          </w:p>
        </w:tc>
        <w:tc>
          <w:tcPr>
            <w:tcW w:w="1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w:t>
            </w:r>
          </w:p>
        </w:tc>
        <w:tc>
          <w:tcPr>
            <w:tcW w:w="720" w:type="dxa"/>
            <w:vAlign w:val="bottom"/>
          </w:tcPr>
          <w:p>
            <w:pPr>
              <w:spacing w:after="0"/>
              <w:rPr>
                <w:sz w:val="14"/>
                <w:szCs w:val="14"/>
                <w:color w:val="auto"/>
              </w:rPr>
            </w:pPr>
          </w:p>
        </w:tc>
      </w:tr>
    </w:tbl>
    <w:p>
      <w:pPr>
        <w:spacing w:after="0" w:line="335" w:lineRule="exact"/>
        <w:rPr>
          <w:sz w:val="20"/>
          <w:szCs w:val="20"/>
          <w:color w:val="auto"/>
        </w:rPr>
      </w:pPr>
    </w:p>
    <w:p>
      <w:pPr>
        <w:ind w:left="360" w:right="4040"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pacing w:after="0" w:line="1" w:lineRule="exact"/>
        <w:rPr>
          <w:rFonts w:ascii="Courier New" w:cs="Courier New" w:eastAsia="Courier New" w:hAnsi="Courier New"/>
          <w:sz w:val="14"/>
          <w:szCs w:val="14"/>
          <w:color w:val="auto"/>
        </w:rPr>
      </w:pPr>
    </w:p>
    <w:p>
      <w:pPr>
        <w:ind w:left="360" w:right="4220"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July 17, 2000 interest rate increased to LIBOR + .80% from LIBOR +.65%</w:t>
      </w:r>
    </w:p>
    <w:p>
      <w:pPr>
        <w:ind w:left="360" w:right="4220"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July 17, 2000 interest rate increased to LIBOR + .95% from LIBOR +.75%</w:t>
      </w:r>
    </w:p>
    <w:p>
      <w:pPr>
        <w:ind w:left="360" w:right="4300"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or hedges on these notes, thereby decreasing the effective interest.</w:t>
      </w:r>
    </w:p>
    <w:p>
      <w:pPr>
        <w:ind w:left="360" w:right="4120" w:hanging="352"/>
        <w:spacing w:after="0" w:line="255"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and term note for year ended December 31, 2000.</w:t>
      </w:r>
    </w:p>
    <w:p>
      <w:pPr>
        <w:sectPr>
          <w:pgSz w:w="11900" w:h="16838" w:orient="portrait"/>
          <w:cols w:equalWidth="0" w:num="1">
            <w:col w:w="10940"/>
          </w:cols>
          <w:pgMar w:left="220" w:top="782" w:right="739" w:bottom="744"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Overall Operating Occupancy</w:t>
            </w: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(Quarter to Quarter Analysis)</w:t>
            </w:r>
          </w:p>
        </w:tc>
        <w:tc>
          <w:tcPr>
            <w:tcW w:w="3000" w:type="dxa"/>
            <w:vAlign w:val="bottom"/>
            <w:gridSpan w:val="2"/>
          </w:tcPr>
          <w:p>
            <w:pPr>
              <w:jc w:val="center"/>
              <w:ind w:left="1128"/>
              <w:spacing w:after="0"/>
              <w:rPr>
                <w:sz w:val="20"/>
                <w:szCs w:val="20"/>
                <w:color w:val="auto"/>
              </w:rPr>
            </w:pPr>
            <w:r>
              <w:rPr>
                <w:rFonts w:ascii="Courier New" w:cs="Courier New" w:eastAsia="Courier New" w:hAnsi="Courier New"/>
                <w:sz w:val="14"/>
                <w:szCs w:val="14"/>
                <w:color w:val="auto"/>
              </w:rPr>
              <w:t>At December 31, 2000</w:t>
            </w:r>
          </w:p>
        </w:tc>
        <w:tc>
          <w:tcPr>
            <w:tcW w:w="1180" w:type="dxa"/>
            <w:vAlign w:val="bottom"/>
          </w:tcPr>
          <w:p>
            <w:pPr>
              <w:spacing w:after="0"/>
              <w:rPr>
                <w:sz w:val="14"/>
                <w:szCs w:val="14"/>
                <w:color w:val="auto"/>
              </w:rPr>
            </w:pPr>
          </w:p>
        </w:tc>
        <w:tc>
          <w:tcPr>
            <w:tcW w:w="3340" w:type="dxa"/>
            <w:vAlign w:val="bottom"/>
            <w:gridSpan w:val="3"/>
          </w:tcPr>
          <w:p>
            <w:pPr>
              <w:ind w:left="760"/>
              <w:spacing w:after="0"/>
              <w:rPr>
                <w:sz w:val="20"/>
                <w:szCs w:val="20"/>
                <w:color w:val="auto"/>
              </w:rPr>
            </w:pPr>
            <w:r>
              <w:rPr>
                <w:rFonts w:ascii="Courier New" w:cs="Courier New" w:eastAsia="Courier New" w:hAnsi="Courier New"/>
                <w:sz w:val="14"/>
                <w:szCs w:val="14"/>
                <w:color w:val="auto"/>
              </w:rPr>
              <w:t>At December 31, 1999</w:t>
            </w:r>
          </w:p>
        </w:tc>
      </w:tr>
      <w:tr>
        <w:trPr>
          <w:trHeight w:val="166"/>
        </w:trPr>
        <w:tc>
          <w:tcPr>
            <w:tcW w:w="4020" w:type="dxa"/>
            <w:vAlign w:val="bottom"/>
          </w:tcPr>
          <w:p>
            <w:pPr>
              <w:spacing w:after="0"/>
              <w:rPr>
                <w:sz w:val="14"/>
                <w:szCs w:val="14"/>
                <w:color w:val="auto"/>
              </w:rPr>
            </w:pP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6"/>
              </w:rPr>
              <w:t>----------------------------------------------</w:t>
            </w:r>
          </w:p>
        </w:tc>
        <w:tc>
          <w:tcPr>
            <w:tcW w:w="1180" w:type="dxa"/>
            <w:vAlign w:val="bottom"/>
          </w:tcPr>
          <w:p>
            <w:pPr>
              <w:spacing w:after="0"/>
              <w:rPr>
                <w:sz w:val="14"/>
                <w:szCs w:val="14"/>
                <w:color w:val="auto"/>
              </w:rPr>
            </w:pPr>
          </w:p>
        </w:tc>
        <w:tc>
          <w:tcPr>
            <w:tcW w:w="33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Size</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Leased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Leased</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14,101,425</w:t>
            </w:r>
          </w:p>
        </w:tc>
        <w:tc>
          <w:tcPr>
            <w:tcW w:w="15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13,504,384</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96%</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14,040,093</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13,494,066</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282</w:t>
            </w:r>
          </w:p>
        </w:tc>
        <w:tc>
          <w:tcPr>
            <w:tcW w:w="15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278</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r>
        <w:trPr>
          <w:trHeight w:val="497"/>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Overall Operating Occupancy</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6"/>
        </w:trPr>
        <w:tc>
          <w:tcPr>
            <w:tcW w:w="4020" w:type="dxa"/>
            <w:vAlign w:val="bottom"/>
          </w:tcPr>
          <w:p>
            <w:pPr>
              <w:ind w:left="620"/>
              <w:spacing w:after="0"/>
              <w:rPr>
                <w:sz w:val="20"/>
                <w:szCs w:val="20"/>
                <w:color w:val="auto"/>
              </w:rPr>
            </w:pPr>
            <w:r>
              <w:rPr>
                <w:rFonts w:ascii="Courier New" w:cs="Courier New" w:eastAsia="Courier New" w:hAnsi="Courier New"/>
                <w:sz w:val="14"/>
                <w:szCs w:val="14"/>
                <w:color w:val="auto"/>
              </w:rPr>
              <w:t>(Rolling 12 Months)</w:t>
            </w:r>
          </w:p>
        </w:tc>
        <w:tc>
          <w:tcPr>
            <w:tcW w:w="3000" w:type="dxa"/>
            <w:vAlign w:val="bottom"/>
            <w:gridSpan w:val="2"/>
          </w:tcPr>
          <w:p>
            <w:pPr>
              <w:jc w:val="center"/>
              <w:ind w:left="1128"/>
              <w:spacing w:after="0"/>
              <w:rPr>
                <w:sz w:val="20"/>
                <w:szCs w:val="20"/>
                <w:color w:val="auto"/>
              </w:rPr>
            </w:pPr>
            <w:r>
              <w:rPr>
                <w:rFonts w:ascii="Courier New" w:cs="Courier New" w:eastAsia="Courier New" w:hAnsi="Courier New"/>
                <w:sz w:val="14"/>
                <w:szCs w:val="14"/>
                <w:color w:val="auto"/>
              </w:rPr>
              <w:t>At December 31, 2000</w:t>
            </w:r>
          </w:p>
        </w:tc>
        <w:tc>
          <w:tcPr>
            <w:tcW w:w="1180" w:type="dxa"/>
            <w:vAlign w:val="bottom"/>
          </w:tcPr>
          <w:p>
            <w:pPr>
              <w:spacing w:after="0"/>
              <w:rPr>
                <w:sz w:val="14"/>
                <w:szCs w:val="14"/>
                <w:color w:val="auto"/>
              </w:rPr>
            </w:pPr>
          </w:p>
        </w:tc>
        <w:tc>
          <w:tcPr>
            <w:tcW w:w="3340" w:type="dxa"/>
            <w:vAlign w:val="bottom"/>
            <w:gridSpan w:val="3"/>
          </w:tcPr>
          <w:p>
            <w:pPr>
              <w:ind w:left="760"/>
              <w:spacing w:after="0"/>
              <w:rPr>
                <w:sz w:val="20"/>
                <w:szCs w:val="20"/>
                <w:color w:val="auto"/>
              </w:rPr>
            </w:pPr>
            <w:r>
              <w:rPr>
                <w:rFonts w:ascii="Courier New" w:cs="Courier New" w:eastAsia="Courier New" w:hAnsi="Courier New"/>
                <w:sz w:val="14"/>
                <w:szCs w:val="14"/>
                <w:color w:val="auto"/>
              </w:rPr>
              <w:t>At September 30, 2000</w:t>
            </w:r>
          </w:p>
        </w:tc>
      </w:tr>
      <w:tr>
        <w:trPr>
          <w:trHeight w:val="166"/>
        </w:trPr>
        <w:tc>
          <w:tcPr>
            <w:tcW w:w="4020" w:type="dxa"/>
            <w:vAlign w:val="bottom"/>
          </w:tcPr>
          <w:p>
            <w:pPr>
              <w:spacing w:after="0"/>
              <w:rPr>
                <w:sz w:val="14"/>
                <w:szCs w:val="14"/>
                <w:color w:val="auto"/>
              </w:rPr>
            </w:pP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6"/>
              </w:rPr>
              <w:t>----------------------------------------------</w:t>
            </w:r>
          </w:p>
        </w:tc>
        <w:tc>
          <w:tcPr>
            <w:tcW w:w="1180" w:type="dxa"/>
            <w:vAlign w:val="bottom"/>
          </w:tcPr>
          <w:p>
            <w:pPr>
              <w:spacing w:after="0"/>
              <w:rPr>
                <w:sz w:val="14"/>
                <w:szCs w:val="14"/>
                <w:color w:val="auto"/>
              </w:rPr>
            </w:pPr>
          </w:p>
        </w:tc>
        <w:tc>
          <w:tcPr>
            <w:tcW w:w="33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Size</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Leased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Leased</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14,101,425</w:t>
            </w:r>
          </w:p>
        </w:tc>
        <w:tc>
          <w:tcPr>
            <w:tcW w:w="15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13,504,384</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96%</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13,929,402</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13,397,528</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282</w:t>
            </w:r>
          </w:p>
        </w:tc>
        <w:tc>
          <w:tcPr>
            <w:tcW w:w="15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r>
      <w:tr>
        <w:trPr>
          <w:trHeight w:val="497"/>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Overall Operating Occupancy</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6"/>
        </w:trPr>
        <w:tc>
          <w:tcPr>
            <w:tcW w:w="4020" w:type="dxa"/>
            <w:vAlign w:val="bottom"/>
          </w:tcPr>
          <w:p>
            <w:pPr>
              <w:ind w:left="620"/>
              <w:spacing w:after="0"/>
              <w:rPr>
                <w:sz w:val="20"/>
                <w:szCs w:val="20"/>
                <w:color w:val="auto"/>
              </w:rPr>
            </w:pPr>
            <w:r>
              <w:rPr>
                <w:rFonts w:ascii="Courier New" w:cs="Courier New" w:eastAsia="Courier New" w:hAnsi="Courier New"/>
                <w:sz w:val="14"/>
                <w:szCs w:val="14"/>
                <w:color w:val="auto"/>
              </w:rPr>
              <w:t>(Rolling 12 Months)</w:t>
            </w:r>
          </w:p>
        </w:tc>
        <w:tc>
          <w:tcPr>
            <w:tcW w:w="1500" w:type="dxa"/>
            <w:vAlign w:val="bottom"/>
          </w:tcPr>
          <w:p>
            <w:pPr>
              <w:spacing w:after="0"/>
              <w:rPr>
                <w:sz w:val="14"/>
                <w:szCs w:val="14"/>
                <w:color w:val="auto"/>
              </w:rPr>
            </w:pP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At June 30, 2000</w:t>
            </w:r>
          </w:p>
        </w:tc>
        <w:tc>
          <w:tcPr>
            <w:tcW w:w="1180" w:type="dxa"/>
            <w:vAlign w:val="bottom"/>
          </w:tcPr>
          <w:p>
            <w:pPr>
              <w:spacing w:after="0"/>
              <w:rPr>
                <w:sz w:val="14"/>
                <w:szCs w:val="14"/>
                <w:color w:val="auto"/>
              </w:rPr>
            </w:pPr>
          </w:p>
        </w:tc>
        <w:tc>
          <w:tcPr>
            <w:tcW w:w="334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At March 31, 2000</w:t>
            </w:r>
          </w:p>
        </w:tc>
      </w:tr>
      <w:tr>
        <w:trPr>
          <w:trHeight w:val="166"/>
        </w:trPr>
        <w:tc>
          <w:tcPr>
            <w:tcW w:w="4020" w:type="dxa"/>
            <w:vAlign w:val="bottom"/>
          </w:tcPr>
          <w:p>
            <w:pPr>
              <w:spacing w:after="0"/>
              <w:rPr>
                <w:sz w:val="14"/>
                <w:szCs w:val="14"/>
                <w:color w:val="auto"/>
              </w:rPr>
            </w:pP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6"/>
              </w:rPr>
              <w:t>----------------------------------------------</w:t>
            </w:r>
          </w:p>
        </w:tc>
        <w:tc>
          <w:tcPr>
            <w:tcW w:w="1180" w:type="dxa"/>
            <w:vAlign w:val="bottom"/>
          </w:tcPr>
          <w:p>
            <w:pPr>
              <w:spacing w:after="0"/>
              <w:rPr>
                <w:sz w:val="14"/>
                <w:szCs w:val="14"/>
                <w:color w:val="auto"/>
              </w:rPr>
            </w:pPr>
          </w:p>
        </w:tc>
        <w:tc>
          <w:tcPr>
            <w:tcW w:w="33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Size</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Leased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Leased</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14,179,596</w:t>
            </w:r>
          </w:p>
        </w:tc>
        <w:tc>
          <w:tcPr>
            <w:tcW w:w="15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13,619,718</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96%</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14,171,079</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13,506,203</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282</w:t>
            </w:r>
          </w:p>
        </w:tc>
        <w:tc>
          <w:tcPr>
            <w:tcW w:w="15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276</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98%</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Same Center Occupancy</w:t>
            </w: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6"/>
        </w:trPr>
        <w:tc>
          <w:tcPr>
            <w:tcW w:w="402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(Quarter to Quarter Comparison)</w:t>
            </w:r>
          </w:p>
        </w:tc>
        <w:tc>
          <w:tcPr>
            <w:tcW w:w="3000" w:type="dxa"/>
            <w:vAlign w:val="bottom"/>
            <w:gridSpan w:val="2"/>
          </w:tcPr>
          <w:p>
            <w:pPr>
              <w:jc w:val="center"/>
              <w:ind w:left="1128"/>
              <w:spacing w:after="0"/>
              <w:rPr>
                <w:sz w:val="20"/>
                <w:szCs w:val="20"/>
                <w:color w:val="auto"/>
              </w:rPr>
            </w:pPr>
            <w:r>
              <w:rPr>
                <w:rFonts w:ascii="Courier New" w:cs="Courier New" w:eastAsia="Courier New" w:hAnsi="Courier New"/>
                <w:sz w:val="14"/>
                <w:szCs w:val="14"/>
                <w:color w:val="auto"/>
              </w:rPr>
              <w:t>At December 31, 2000</w:t>
            </w:r>
          </w:p>
        </w:tc>
        <w:tc>
          <w:tcPr>
            <w:tcW w:w="1180" w:type="dxa"/>
            <w:vAlign w:val="bottom"/>
          </w:tcPr>
          <w:p>
            <w:pPr>
              <w:spacing w:after="0"/>
              <w:rPr>
                <w:sz w:val="14"/>
                <w:szCs w:val="14"/>
                <w:color w:val="auto"/>
              </w:rPr>
            </w:pPr>
          </w:p>
        </w:tc>
        <w:tc>
          <w:tcPr>
            <w:tcW w:w="3340" w:type="dxa"/>
            <w:vAlign w:val="bottom"/>
            <w:gridSpan w:val="3"/>
          </w:tcPr>
          <w:p>
            <w:pPr>
              <w:ind w:left="760"/>
              <w:spacing w:after="0"/>
              <w:rPr>
                <w:sz w:val="20"/>
                <w:szCs w:val="20"/>
                <w:color w:val="auto"/>
              </w:rPr>
            </w:pPr>
            <w:r>
              <w:rPr>
                <w:rFonts w:ascii="Courier New" w:cs="Courier New" w:eastAsia="Courier New" w:hAnsi="Courier New"/>
                <w:sz w:val="14"/>
                <w:szCs w:val="14"/>
                <w:color w:val="auto"/>
              </w:rPr>
              <w:t>At December 31, 1999</w:t>
            </w:r>
          </w:p>
        </w:tc>
      </w:tr>
      <w:tr>
        <w:trPr>
          <w:trHeight w:val="166"/>
        </w:trPr>
        <w:tc>
          <w:tcPr>
            <w:tcW w:w="4020" w:type="dxa"/>
            <w:vAlign w:val="bottom"/>
          </w:tcPr>
          <w:p>
            <w:pPr>
              <w:spacing w:after="0"/>
              <w:rPr>
                <w:sz w:val="14"/>
                <w:szCs w:val="14"/>
                <w:color w:val="auto"/>
              </w:rPr>
            </w:pP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6"/>
              </w:rPr>
              <w:t>----------------------------------------------</w:t>
            </w:r>
          </w:p>
        </w:tc>
        <w:tc>
          <w:tcPr>
            <w:tcW w:w="1180" w:type="dxa"/>
            <w:vAlign w:val="bottom"/>
          </w:tcPr>
          <w:p>
            <w:pPr>
              <w:spacing w:after="0"/>
              <w:rPr>
                <w:sz w:val="14"/>
                <w:szCs w:val="14"/>
                <w:color w:val="auto"/>
              </w:rPr>
            </w:pPr>
          </w:p>
        </w:tc>
        <w:tc>
          <w:tcPr>
            <w:tcW w:w="33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Size</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Leased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Leased</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13,748,913</w:t>
            </w:r>
          </w:p>
        </w:tc>
        <w:tc>
          <w:tcPr>
            <w:tcW w:w="15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13,188,363</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96%</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13,744,117</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13,204,946</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282</w:t>
            </w:r>
          </w:p>
        </w:tc>
        <w:tc>
          <w:tcPr>
            <w:tcW w:w="15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278</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r>
        <w:trPr>
          <w:trHeight w:val="497"/>
        </w:trPr>
        <w:tc>
          <w:tcPr>
            <w:tcW w:w="402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Same Center Occupancy</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6"/>
        </w:trPr>
        <w:tc>
          <w:tcPr>
            <w:tcW w:w="40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(Rolling 12 Months)</w:t>
            </w:r>
          </w:p>
        </w:tc>
        <w:tc>
          <w:tcPr>
            <w:tcW w:w="3000" w:type="dxa"/>
            <w:vAlign w:val="bottom"/>
            <w:gridSpan w:val="2"/>
          </w:tcPr>
          <w:p>
            <w:pPr>
              <w:jc w:val="center"/>
              <w:ind w:left="1128"/>
              <w:spacing w:after="0"/>
              <w:rPr>
                <w:sz w:val="20"/>
                <w:szCs w:val="20"/>
                <w:color w:val="auto"/>
              </w:rPr>
            </w:pPr>
            <w:r>
              <w:rPr>
                <w:rFonts w:ascii="Courier New" w:cs="Courier New" w:eastAsia="Courier New" w:hAnsi="Courier New"/>
                <w:sz w:val="14"/>
                <w:szCs w:val="14"/>
                <w:color w:val="auto"/>
              </w:rPr>
              <w:t>At December 31, 2000</w:t>
            </w:r>
          </w:p>
        </w:tc>
        <w:tc>
          <w:tcPr>
            <w:tcW w:w="1180" w:type="dxa"/>
            <w:vAlign w:val="bottom"/>
          </w:tcPr>
          <w:p>
            <w:pPr>
              <w:spacing w:after="0"/>
              <w:rPr>
                <w:sz w:val="14"/>
                <w:szCs w:val="14"/>
                <w:color w:val="auto"/>
              </w:rPr>
            </w:pPr>
          </w:p>
        </w:tc>
        <w:tc>
          <w:tcPr>
            <w:tcW w:w="3340" w:type="dxa"/>
            <w:vAlign w:val="bottom"/>
            <w:gridSpan w:val="3"/>
          </w:tcPr>
          <w:p>
            <w:pPr>
              <w:ind w:left="760"/>
              <w:spacing w:after="0"/>
              <w:rPr>
                <w:sz w:val="20"/>
                <w:szCs w:val="20"/>
                <w:color w:val="auto"/>
              </w:rPr>
            </w:pPr>
            <w:r>
              <w:rPr>
                <w:rFonts w:ascii="Courier New" w:cs="Courier New" w:eastAsia="Courier New" w:hAnsi="Courier New"/>
                <w:sz w:val="14"/>
                <w:szCs w:val="14"/>
                <w:color w:val="auto"/>
              </w:rPr>
              <w:t>At September 30, 2000</w:t>
            </w:r>
          </w:p>
        </w:tc>
      </w:tr>
      <w:tr>
        <w:trPr>
          <w:trHeight w:val="166"/>
        </w:trPr>
        <w:tc>
          <w:tcPr>
            <w:tcW w:w="4020" w:type="dxa"/>
            <w:vAlign w:val="bottom"/>
          </w:tcPr>
          <w:p>
            <w:pPr>
              <w:spacing w:after="0"/>
              <w:rPr>
                <w:sz w:val="14"/>
                <w:szCs w:val="14"/>
                <w:color w:val="auto"/>
              </w:rPr>
            </w:pP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6"/>
              </w:rPr>
              <w:t>----------------------------------------------</w:t>
            </w:r>
          </w:p>
        </w:tc>
        <w:tc>
          <w:tcPr>
            <w:tcW w:w="1180" w:type="dxa"/>
            <w:vAlign w:val="bottom"/>
          </w:tcPr>
          <w:p>
            <w:pPr>
              <w:spacing w:after="0"/>
              <w:rPr>
                <w:sz w:val="14"/>
                <w:szCs w:val="14"/>
                <w:color w:val="auto"/>
              </w:rPr>
            </w:pPr>
          </w:p>
        </w:tc>
        <w:tc>
          <w:tcPr>
            <w:tcW w:w="33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Size</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Leased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Leased</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13,748,913</w:t>
            </w:r>
          </w:p>
        </w:tc>
        <w:tc>
          <w:tcPr>
            <w:tcW w:w="15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13,188,363</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96%</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13,563,527</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13,038,704</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282</w:t>
            </w:r>
          </w:p>
        </w:tc>
        <w:tc>
          <w:tcPr>
            <w:tcW w:w="15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r>
      <w:tr>
        <w:trPr>
          <w:trHeight w:val="497"/>
        </w:trPr>
        <w:tc>
          <w:tcPr>
            <w:tcW w:w="402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Same Center Occupancy</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6"/>
        </w:trPr>
        <w:tc>
          <w:tcPr>
            <w:tcW w:w="402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(Rolling 12 Months)</w:t>
            </w:r>
          </w:p>
        </w:tc>
        <w:tc>
          <w:tcPr>
            <w:tcW w:w="1500" w:type="dxa"/>
            <w:vAlign w:val="bottom"/>
          </w:tcPr>
          <w:p>
            <w:pPr>
              <w:spacing w:after="0"/>
              <w:rPr>
                <w:sz w:val="14"/>
                <w:szCs w:val="14"/>
                <w:color w:val="auto"/>
              </w:rPr>
            </w:pP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At June 30, 2000</w:t>
            </w:r>
          </w:p>
        </w:tc>
        <w:tc>
          <w:tcPr>
            <w:tcW w:w="1180" w:type="dxa"/>
            <w:vAlign w:val="bottom"/>
          </w:tcPr>
          <w:p>
            <w:pPr>
              <w:spacing w:after="0"/>
              <w:rPr>
                <w:sz w:val="14"/>
                <w:szCs w:val="14"/>
                <w:color w:val="auto"/>
              </w:rPr>
            </w:pPr>
          </w:p>
        </w:tc>
        <w:tc>
          <w:tcPr>
            <w:tcW w:w="3340" w:type="dxa"/>
            <w:vAlign w:val="bottom"/>
            <w:gridSpan w:val="3"/>
          </w:tcPr>
          <w:p>
            <w:pPr>
              <w:ind w:left="940"/>
              <w:spacing w:after="0"/>
              <w:rPr>
                <w:sz w:val="20"/>
                <w:szCs w:val="20"/>
                <w:color w:val="auto"/>
              </w:rPr>
            </w:pPr>
            <w:r>
              <w:rPr>
                <w:rFonts w:ascii="Courier New" w:cs="Courier New" w:eastAsia="Courier New" w:hAnsi="Courier New"/>
                <w:sz w:val="14"/>
                <w:szCs w:val="14"/>
                <w:color w:val="auto"/>
              </w:rPr>
              <w:t>At March 31, 2000</w:t>
            </w:r>
          </w:p>
        </w:tc>
      </w:tr>
      <w:tr>
        <w:trPr>
          <w:trHeight w:val="166"/>
        </w:trPr>
        <w:tc>
          <w:tcPr>
            <w:tcW w:w="4020" w:type="dxa"/>
            <w:vAlign w:val="bottom"/>
          </w:tcPr>
          <w:p>
            <w:pPr>
              <w:spacing w:after="0"/>
              <w:rPr>
                <w:sz w:val="14"/>
                <w:szCs w:val="14"/>
                <w:color w:val="auto"/>
              </w:rPr>
            </w:pPr>
          </w:p>
        </w:tc>
        <w:tc>
          <w:tcPr>
            <w:tcW w:w="30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6"/>
              </w:rPr>
              <w:t>----------------------------------------------</w:t>
            </w:r>
          </w:p>
        </w:tc>
        <w:tc>
          <w:tcPr>
            <w:tcW w:w="1180" w:type="dxa"/>
            <w:vAlign w:val="bottom"/>
          </w:tcPr>
          <w:p>
            <w:pPr>
              <w:spacing w:after="0"/>
              <w:rPr>
                <w:sz w:val="14"/>
                <w:szCs w:val="14"/>
                <w:color w:val="auto"/>
              </w:rPr>
            </w:pPr>
          </w:p>
        </w:tc>
        <w:tc>
          <w:tcPr>
            <w:tcW w:w="33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Size</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Leased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Size</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Leased</w:t>
            </w:r>
          </w:p>
        </w:tc>
        <w:tc>
          <w:tcPr>
            <w:tcW w:w="11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500" w:type="dxa"/>
            <w:vAlign w:val="bottom"/>
          </w:tcPr>
          <w:p>
            <w:pPr>
              <w:ind w:left="200"/>
              <w:spacing w:after="0"/>
              <w:rPr>
                <w:sz w:val="20"/>
                <w:szCs w:val="20"/>
                <w:color w:val="auto"/>
              </w:rPr>
            </w:pPr>
            <w:r>
              <w:rPr>
                <w:rFonts w:ascii="Courier New" w:cs="Courier New" w:eastAsia="Courier New" w:hAnsi="Courier New"/>
                <w:sz w:val="14"/>
                <w:szCs w:val="14"/>
                <w:color w:val="auto"/>
              </w:rPr>
              <w:t>14,074,930</w:t>
            </w:r>
          </w:p>
        </w:tc>
        <w:tc>
          <w:tcPr>
            <w:tcW w:w="15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13,521,971</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96%</w:t>
            </w:r>
          </w:p>
        </w:tc>
        <w:tc>
          <w:tcPr>
            <w:tcW w:w="1060" w:type="dxa"/>
            <w:vAlign w:val="bottom"/>
          </w:tcPr>
          <w:p>
            <w:pPr>
              <w:spacing w:after="0"/>
              <w:rPr>
                <w:sz w:val="20"/>
                <w:szCs w:val="20"/>
                <w:color w:val="auto"/>
              </w:rPr>
            </w:pPr>
            <w:r>
              <w:rPr>
                <w:rFonts w:ascii="Courier New" w:cs="Courier New" w:eastAsia="Courier New" w:hAnsi="Courier New"/>
                <w:sz w:val="14"/>
                <w:szCs w:val="14"/>
                <w:color w:val="auto"/>
              </w:rPr>
              <w:t>14,066,413</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13,418,914</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500" w:type="dxa"/>
            <w:vAlign w:val="bottom"/>
          </w:tcPr>
          <w:p>
            <w:pPr>
              <w:ind w:left="460"/>
              <w:spacing w:after="0"/>
              <w:rPr>
                <w:sz w:val="20"/>
                <w:szCs w:val="20"/>
                <w:color w:val="auto"/>
              </w:rPr>
            </w:pPr>
            <w:r>
              <w:rPr>
                <w:rFonts w:ascii="Courier New" w:cs="Courier New" w:eastAsia="Courier New" w:hAnsi="Courier New"/>
                <w:sz w:val="14"/>
                <w:szCs w:val="14"/>
                <w:color w:val="auto"/>
              </w:rPr>
              <w:t>282</w:t>
            </w:r>
          </w:p>
        </w:tc>
        <w:tc>
          <w:tcPr>
            <w:tcW w:w="15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276</w:t>
            </w:r>
          </w:p>
        </w:tc>
        <w:tc>
          <w:tcPr>
            <w:tcW w:w="11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98%</w:t>
            </w:r>
          </w:p>
        </w:tc>
        <w:tc>
          <w:tcPr>
            <w:tcW w:w="1060" w:type="dxa"/>
            <w:vAlign w:val="bottom"/>
          </w:tcPr>
          <w:p>
            <w:pPr>
              <w:ind w:left="240"/>
              <w:spacing w:after="0"/>
              <w:rPr>
                <w:sz w:val="20"/>
                <w:szCs w:val="20"/>
                <w:color w:val="auto"/>
              </w:rPr>
            </w:pPr>
            <w:r>
              <w:rPr>
                <w:rFonts w:ascii="Courier New" w:cs="Courier New" w:eastAsia="Courier New" w:hAnsi="Courier New"/>
                <w:sz w:val="14"/>
                <w:szCs w:val="14"/>
                <w:color w:val="auto"/>
              </w:rPr>
              <w:t>282</w:t>
            </w:r>
          </w:p>
        </w:tc>
        <w:tc>
          <w:tcPr>
            <w:tcW w:w="1180" w:type="dxa"/>
            <w:vAlign w:val="bottom"/>
          </w:tcPr>
          <w:p>
            <w:pPr>
              <w:ind w:left="300"/>
              <w:spacing w:after="0"/>
              <w:rPr>
                <w:sz w:val="20"/>
                <w:szCs w:val="20"/>
                <w:color w:val="auto"/>
              </w:rPr>
            </w:pPr>
            <w:r>
              <w:rPr>
                <w:rFonts w:ascii="Courier New" w:cs="Courier New" w:eastAsia="Courier New" w:hAnsi="Courier New"/>
                <w:sz w:val="14"/>
                <w:szCs w:val="14"/>
                <w:color w:val="auto"/>
              </w:rPr>
              <w:t>282</w:t>
            </w:r>
          </w:p>
        </w:tc>
        <w:tc>
          <w:tcPr>
            <w:tcW w:w="11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1540"/>
          </w:cols>
          <w:pgMar w:left="220" w:top="782"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200" w:type="dxa"/>
            <w:vAlign w:val="bottom"/>
          </w:tcPr>
          <w:p>
            <w:pPr>
              <w:ind w:left="640"/>
              <w:spacing w:after="0"/>
              <w:rPr>
                <w:sz w:val="20"/>
                <w:szCs w:val="20"/>
                <w:color w:val="auto"/>
              </w:rPr>
            </w:pPr>
            <w:r>
              <w:rPr>
                <w:rFonts w:ascii="Courier New" w:cs="Courier New" w:eastAsia="Courier New" w:hAnsi="Courier New"/>
                <w:sz w:val="14"/>
                <w:szCs w:val="14"/>
                <w:color w:val="auto"/>
              </w:rPr>
              <w:t>Total Square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720" w:type="dxa"/>
            <w:vAlign w:val="bottom"/>
          </w:tcPr>
          <w:p>
            <w:pPr>
              <w:ind w:left="700"/>
              <w:spacing w:after="0"/>
              <w:rPr>
                <w:sz w:val="20"/>
                <w:szCs w:val="20"/>
                <w:color w:val="auto"/>
              </w:rPr>
            </w:pPr>
            <w:r>
              <w:rPr>
                <w:rFonts w:ascii="Courier New" w:cs="Courier New" w:eastAsia="Courier New" w:hAnsi="Courier New"/>
                <w:sz w:val="14"/>
                <w:szCs w:val="14"/>
                <w:color w:val="auto"/>
              </w:rPr>
              <w:t>Region</w:t>
            </w:r>
          </w:p>
        </w:tc>
        <w:tc>
          <w:tcPr>
            <w:tcW w:w="2200" w:type="dxa"/>
            <w:vAlign w:val="bottom"/>
          </w:tcPr>
          <w:p>
            <w:pPr>
              <w:ind w:left="900"/>
              <w:spacing w:after="0"/>
              <w:rPr>
                <w:sz w:val="20"/>
                <w:szCs w:val="20"/>
                <w:color w:val="auto"/>
              </w:rPr>
            </w:pPr>
            <w:r>
              <w:rPr>
                <w:rFonts w:ascii="Courier New" w:cs="Courier New" w:eastAsia="Courier New" w:hAnsi="Courier New"/>
                <w:sz w:val="14"/>
                <w:szCs w:val="14"/>
                <w:color w:val="auto"/>
              </w:rPr>
              <w:t>Footage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12/31/00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200" w:type="dxa"/>
            <w:vAlign w:val="bottom"/>
          </w:tcPr>
          <w:p>
            <w:pPr>
              <w:ind w:left="820"/>
              <w:spacing w:after="0"/>
              <w:rPr>
                <w:sz w:val="20"/>
                <w:szCs w:val="20"/>
                <w:color w:val="auto"/>
              </w:rPr>
            </w:pPr>
            <w:r>
              <w:rPr>
                <w:rFonts w:ascii="Courier New" w:cs="Courier New" w:eastAsia="Courier New" w:hAnsi="Courier New"/>
                <w:sz w:val="14"/>
                <w:szCs w:val="14"/>
                <w:color w:val="auto"/>
              </w:rPr>
              <w:t>7,154,417</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200" w:type="dxa"/>
            <w:vAlign w:val="bottom"/>
          </w:tcPr>
          <w:p>
            <w:pPr>
              <w:ind w:left="820"/>
              <w:spacing w:after="0"/>
              <w:rPr>
                <w:sz w:val="20"/>
                <w:szCs w:val="20"/>
                <w:color w:val="auto"/>
              </w:rPr>
            </w:pPr>
            <w:r>
              <w:rPr>
                <w:rFonts w:ascii="Courier New" w:cs="Courier New" w:eastAsia="Courier New" w:hAnsi="Courier New"/>
                <w:sz w:val="14"/>
                <w:szCs w:val="14"/>
                <w:color w:val="auto"/>
              </w:rPr>
              <w:t>5,915,121</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2200" w:type="dxa"/>
            <w:vAlign w:val="bottom"/>
          </w:tcPr>
          <w:p>
            <w:pPr>
              <w:ind w:left="820"/>
              <w:spacing w:after="0"/>
              <w:rPr>
                <w:sz w:val="20"/>
                <w:szCs w:val="20"/>
                <w:color w:val="auto"/>
              </w:rPr>
            </w:pPr>
            <w:r>
              <w:rPr>
                <w:rFonts w:ascii="Courier New" w:cs="Courier New" w:eastAsia="Courier New" w:hAnsi="Courier New"/>
                <w:sz w:val="14"/>
                <w:szCs w:val="14"/>
                <w:color w:val="auto"/>
              </w:rPr>
              <w:t>1,031,887</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 Square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720" w:type="dxa"/>
            <w:vAlign w:val="bottom"/>
          </w:tcPr>
          <w:p>
            <w:pPr>
              <w:ind w:left="700"/>
              <w:spacing w:after="0"/>
              <w:rPr>
                <w:sz w:val="20"/>
                <w:szCs w:val="20"/>
                <w:color w:val="auto"/>
              </w:rPr>
            </w:pPr>
            <w:r>
              <w:rPr>
                <w:rFonts w:ascii="Courier New" w:cs="Courier New" w:eastAsia="Courier New" w:hAnsi="Courier New"/>
                <w:sz w:val="14"/>
                <w:szCs w:val="14"/>
                <w:color w:val="auto"/>
              </w:rPr>
              <w:t>Region</w:t>
            </w:r>
          </w:p>
        </w:tc>
        <w:tc>
          <w:tcPr>
            <w:tcW w:w="22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Footage</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12/31/00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4,453,059</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2,701,358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2,771,038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w:t>
            </w:r>
          </w:p>
        </w:tc>
      </w:tr>
      <w:tr>
        <w:trPr>
          <w:trHeight w:val="166"/>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3,144,083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336,397</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72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695,490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w:t>
            </w:r>
          </w:p>
        </w:tc>
      </w:tr>
    </w:tbl>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Activity</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December 31,</w:t>
        <w:tab/>
        <w:t>2000</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Weighted</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Average</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Number</w:t>
            </w:r>
          </w:p>
        </w:tc>
        <w:tc>
          <w:tcPr>
            <w:tcW w:w="94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Average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Prior</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Current</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Percentage</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182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of</w:t>
            </w:r>
          </w:p>
        </w:tc>
        <w:tc>
          <w:tcPr>
            <w:tcW w:w="94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Lease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Rent Per</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Rent Per</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Annualized</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Increase</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82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Square</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Term</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Square</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Square</w:t>
            </w:r>
          </w:p>
        </w:tc>
        <w:tc>
          <w:tcPr>
            <w:tcW w:w="1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Increase</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over Prior</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Rolling 12 Months</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Signed</w:t>
            </w:r>
          </w:p>
        </w:tc>
        <w:tc>
          <w:tcPr>
            <w:tcW w:w="9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Feet</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Foot</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Foot</w:t>
            </w:r>
          </w:p>
        </w:tc>
        <w:tc>
          <w:tcPr>
            <w:tcW w:w="1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in Rent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Rent</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Costs</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4th Quarter 2000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69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197,642</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$19.40</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$21.58</w:t>
            </w:r>
          </w:p>
        </w:tc>
        <w:tc>
          <w:tcPr>
            <w:tcW w:w="14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$430,649</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$313,000</w:t>
            </w: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3rd Quarter 2000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52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282,354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$12.85</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$15.29</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$687,804</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$1,407,000</w:t>
            </w: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2nd Quarter 2000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67</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214,111</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$16.97</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$18.85</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$402,991</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$866,000</w:t>
            </w: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1st Quarter 2000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64</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297,054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$16.38</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$18.89</w:t>
            </w:r>
          </w:p>
        </w:tc>
        <w:tc>
          <w:tcPr>
            <w:tcW w:w="1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$746,945</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$5,128,000</w:t>
            </w:r>
          </w:p>
        </w:tc>
      </w:tr>
      <w:tr>
        <w:trPr>
          <w:trHeight w:val="166"/>
        </w:trPr>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252</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991,161</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$16.10</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$18.39</w:t>
            </w:r>
          </w:p>
        </w:tc>
        <w:tc>
          <w:tcPr>
            <w:tcW w:w="12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$2,268,389</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$7,714,000</w:t>
            </w:r>
          </w:p>
        </w:tc>
      </w:tr>
      <w:tr>
        <w:trPr>
          <w:trHeight w:val="497"/>
        </w:trPr>
        <w:tc>
          <w:tcPr>
            <w:tcW w:w="182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Weighted</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Number</w:t>
            </w:r>
          </w:p>
        </w:tc>
        <w:tc>
          <w:tcPr>
            <w:tcW w:w="94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Average</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Average</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Estimated</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of</w:t>
            </w:r>
          </w:p>
        </w:tc>
        <w:tc>
          <w:tcPr>
            <w:tcW w:w="94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Lease</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Rent Per</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Annualized</w:t>
            </w:r>
          </w:p>
        </w:tc>
        <w:tc>
          <w:tcPr>
            <w:tcW w:w="1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Square</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Term</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Square</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Current</w:t>
            </w:r>
          </w:p>
        </w:tc>
        <w:tc>
          <w:tcPr>
            <w:tcW w:w="140" w:type="dxa"/>
            <w:vAlign w:val="bottom"/>
          </w:tcPr>
          <w:p>
            <w:pPr>
              <w:spacing w:after="0"/>
              <w:rPr>
                <w:sz w:val="14"/>
                <w:szCs w:val="14"/>
                <w:color w:val="auto"/>
              </w:rPr>
            </w:pP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Improvement</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Rolling 12 Months</w:t>
            </w: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Signed</w:t>
            </w:r>
          </w:p>
        </w:tc>
        <w:tc>
          <w:tcPr>
            <w:tcW w:w="9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Feet</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Foot</w:t>
            </w:r>
          </w:p>
        </w:tc>
        <w:tc>
          <w:tcPr>
            <w:tcW w:w="1060" w:type="dxa"/>
            <w:vAlign w:val="bottom"/>
          </w:tcPr>
          <w:p>
            <w:pPr>
              <w:ind w:left="420"/>
              <w:spacing w:after="0"/>
              <w:rPr>
                <w:sz w:val="20"/>
                <w:szCs w:val="20"/>
                <w:color w:val="auto"/>
              </w:rPr>
            </w:pPr>
            <w:r>
              <w:rPr>
                <w:rFonts w:ascii="Courier New" w:cs="Courier New" w:eastAsia="Courier New" w:hAnsi="Courier New"/>
                <w:sz w:val="14"/>
                <w:szCs w:val="14"/>
                <w:color w:val="auto"/>
              </w:rPr>
              <w:t>Rent</w:t>
            </w:r>
          </w:p>
        </w:tc>
        <w:tc>
          <w:tcPr>
            <w:tcW w:w="140" w:type="dxa"/>
            <w:vAlign w:val="bottom"/>
          </w:tcPr>
          <w:p>
            <w:pPr>
              <w:spacing w:after="0"/>
              <w:rPr>
                <w:sz w:val="14"/>
                <w:szCs w:val="14"/>
                <w:color w:val="auto"/>
              </w:rPr>
            </w:pPr>
          </w:p>
        </w:tc>
        <w:tc>
          <w:tcPr>
            <w:tcW w:w="11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Costs</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w:t>
            </w:r>
          </w:p>
        </w:tc>
        <w:tc>
          <w:tcPr>
            <w:tcW w:w="224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r>
      <w:tr>
        <w:trPr>
          <w:trHeight w:val="331"/>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4th Quarter 2000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101,245</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$31.82</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$3,221,510</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3rd Quarter 2000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138,794</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$30.05</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$4,170,745</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$116,000</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2nd Quarter 2000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84,287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$29.37</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$2,475,607</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$248,000</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1st Quarter 2000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50,126</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12.8</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$24.07</w:t>
            </w:r>
          </w:p>
        </w:tc>
        <w:tc>
          <w:tcPr>
            <w:tcW w:w="1060" w:type="dxa"/>
            <w:vAlign w:val="bottom"/>
          </w:tcPr>
          <w:p>
            <w:pPr>
              <w:ind w:left="160"/>
              <w:spacing w:after="0"/>
              <w:rPr>
                <w:sz w:val="20"/>
                <w:szCs w:val="20"/>
                <w:color w:val="auto"/>
              </w:rPr>
            </w:pPr>
            <w:r>
              <w:rPr>
                <w:rFonts w:ascii="Courier New" w:cs="Courier New" w:eastAsia="Courier New" w:hAnsi="Courier New"/>
                <w:sz w:val="14"/>
                <w:szCs w:val="14"/>
                <w:color w:val="auto"/>
              </w:rPr>
              <w:t>$1,206,432</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$1,026,000</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75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374,452</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$29.57</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$11,074,294</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$1,390,000</w:t>
            </w: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ectPr>
          <w:pgSz w:w="11900" w:h="16838" w:orient="portrait"/>
          <w:cols w:equalWidth="0" w:num="1">
            <w:col w:w="10340"/>
          </w:cols>
          <w:pgMar w:left="220" w:top="451" w:right="133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23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Total</w:t>
            </w:r>
          </w:p>
        </w:tc>
        <w:tc>
          <w:tcPr>
            <w:tcW w:w="2320" w:type="dxa"/>
            <w:vAlign w:val="bottom"/>
          </w:tcPr>
          <w:p>
            <w:pPr>
              <w:ind w:left="780"/>
              <w:spacing w:after="0"/>
              <w:rPr>
                <w:sz w:val="20"/>
                <w:szCs w:val="20"/>
                <w:color w:val="auto"/>
              </w:rPr>
            </w:pPr>
            <w:r>
              <w:rPr>
                <w:rFonts w:ascii="Courier New" w:cs="Courier New" w:eastAsia="Courier New" w:hAnsi="Courier New"/>
                <w:sz w:val="14"/>
                <w:szCs w:val="14"/>
                <w:color w:val="auto"/>
              </w:rPr>
              <w:t>Percent</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780" w:type="dxa"/>
            <w:vAlign w:val="bottom"/>
          </w:tcPr>
          <w:p>
            <w:pPr>
              <w:spacing w:after="0"/>
              <w:rPr>
                <w:sz w:val="14"/>
                <w:szCs w:val="14"/>
                <w:color w:val="auto"/>
              </w:rPr>
            </w:pPr>
          </w:p>
        </w:tc>
        <w:tc>
          <w:tcPr>
            <w:tcW w:w="23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Square Feet</w:t>
            </w:r>
          </w:p>
        </w:tc>
        <w:tc>
          <w:tcPr>
            <w:tcW w:w="2320" w:type="dxa"/>
            <w:vAlign w:val="bottom"/>
          </w:tcPr>
          <w:p>
            <w:pPr>
              <w:ind w:left="780"/>
              <w:spacing w:after="0"/>
              <w:rPr>
                <w:sz w:val="20"/>
                <w:szCs w:val="20"/>
                <w:color w:val="auto"/>
              </w:rPr>
            </w:pPr>
            <w:r>
              <w:rPr>
                <w:rFonts w:ascii="Courier New" w:cs="Courier New" w:eastAsia="Courier New" w:hAnsi="Courier New"/>
                <w:sz w:val="14"/>
                <w:szCs w:val="14"/>
                <w:color w:val="auto"/>
              </w:rPr>
              <w:t>of Total</w:t>
            </w:r>
          </w:p>
        </w:tc>
        <w:tc>
          <w:tcPr>
            <w:tcW w:w="1900" w:type="dxa"/>
            <w:vAlign w:val="bottom"/>
          </w:tcPr>
          <w:p>
            <w:pPr>
              <w:ind w:left="600"/>
              <w:spacing w:after="0"/>
              <w:rPr>
                <w:sz w:val="20"/>
                <w:szCs w:val="20"/>
                <w:color w:val="auto"/>
              </w:rPr>
            </w:pPr>
            <w:r>
              <w:rPr>
                <w:rFonts w:ascii="Courier New" w:cs="Courier New" w:eastAsia="Courier New" w:hAnsi="Courier New"/>
                <w:sz w:val="14"/>
                <w:szCs w:val="14"/>
                <w:color w:val="auto"/>
              </w:rPr>
              <w:t>Rent Per</w:t>
            </w:r>
          </w:p>
        </w:tc>
      </w:tr>
      <w:tr>
        <w:trPr>
          <w:trHeight w:val="166"/>
        </w:trPr>
        <w:tc>
          <w:tcPr>
            <w:tcW w:w="780" w:type="dxa"/>
            <w:vAlign w:val="bottom"/>
          </w:tcPr>
          <w:p>
            <w:pPr>
              <w:spacing w:after="0"/>
              <w:rPr>
                <w:sz w:val="14"/>
                <w:szCs w:val="14"/>
                <w:color w:val="auto"/>
              </w:rPr>
            </w:pPr>
          </w:p>
        </w:tc>
        <w:tc>
          <w:tcPr>
            <w:tcW w:w="232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Expiring (1)</w:t>
            </w:r>
          </w:p>
        </w:tc>
        <w:tc>
          <w:tcPr>
            <w:tcW w:w="23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Portfolio(2)</w:t>
            </w:r>
          </w:p>
        </w:tc>
        <w:tc>
          <w:tcPr>
            <w:tcW w:w="1900" w:type="dxa"/>
            <w:vAlign w:val="bottom"/>
          </w:tcPr>
          <w:p>
            <w:pPr>
              <w:ind w:left="520"/>
              <w:spacing w:after="0"/>
              <w:rPr>
                <w:sz w:val="20"/>
                <w:szCs w:val="20"/>
                <w:color w:val="auto"/>
              </w:rPr>
            </w:pPr>
            <w:r>
              <w:rPr>
                <w:rFonts w:ascii="Courier New" w:cs="Courier New" w:eastAsia="Courier New" w:hAnsi="Courier New"/>
                <w:sz w:val="14"/>
                <w:szCs w:val="14"/>
                <w:color w:val="auto"/>
              </w:rPr>
              <w:t>Square Foot</w:t>
            </w:r>
          </w:p>
        </w:tc>
      </w:tr>
      <w:tr>
        <w:trPr>
          <w:trHeight w:val="166"/>
        </w:trPr>
        <w:tc>
          <w:tcPr>
            <w:tcW w:w="780" w:type="dxa"/>
            <w:vAlign w:val="bottom"/>
          </w:tcPr>
          <w:p>
            <w:pPr>
              <w:spacing w:after="0"/>
              <w:rPr>
                <w:sz w:val="14"/>
                <w:szCs w:val="14"/>
                <w:color w:val="auto"/>
              </w:rPr>
            </w:pPr>
          </w:p>
        </w:tc>
        <w:tc>
          <w:tcPr>
            <w:tcW w:w="2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2001</w:t>
            </w:r>
          </w:p>
        </w:tc>
        <w:tc>
          <w:tcPr>
            <w:tcW w:w="23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384,916</w:t>
            </w:r>
          </w:p>
        </w:tc>
        <w:tc>
          <w:tcPr>
            <w:tcW w:w="23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$19.34</w:t>
            </w:r>
          </w:p>
        </w:tc>
      </w:tr>
      <w:tr>
        <w:trPr>
          <w:trHeight w:val="166"/>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2002</w:t>
            </w:r>
          </w:p>
        </w:tc>
        <w:tc>
          <w:tcPr>
            <w:tcW w:w="23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363,731</w:t>
            </w:r>
          </w:p>
        </w:tc>
        <w:tc>
          <w:tcPr>
            <w:tcW w:w="23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$19.18</w:t>
            </w:r>
          </w:p>
        </w:tc>
      </w:tr>
      <w:tr>
        <w:trPr>
          <w:trHeight w:val="166"/>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2003</w:t>
            </w:r>
          </w:p>
        </w:tc>
        <w:tc>
          <w:tcPr>
            <w:tcW w:w="23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346,496</w:t>
            </w:r>
          </w:p>
        </w:tc>
        <w:tc>
          <w:tcPr>
            <w:tcW w:w="23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$20.38</w:t>
            </w:r>
          </w:p>
        </w:tc>
      </w:tr>
      <w:tr>
        <w:trPr>
          <w:trHeight w:val="166"/>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2004</w:t>
            </w:r>
          </w:p>
        </w:tc>
        <w:tc>
          <w:tcPr>
            <w:tcW w:w="23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391,828</w:t>
            </w:r>
          </w:p>
        </w:tc>
        <w:tc>
          <w:tcPr>
            <w:tcW w:w="23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$23.17</w:t>
            </w:r>
          </w:p>
        </w:tc>
      </w:tr>
      <w:tr>
        <w:trPr>
          <w:trHeight w:val="166"/>
        </w:trPr>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2005</w:t>
            </w:r>
          </w:p>
        </w:tc>
        <w:tc>
          <w:tcPr>
            <w:tcW w:w="23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376,133</w:t>
            </w:r>
          </w:p>
        </w:tc>
        <w:tc>
          <w:tcPr>
            <w:tcW w:w="23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w:t>
            </w:r>
          </w:p>
        </w:tc>
        <w:tc>
          <w:tcPr>
            <w:tcW w:w="1900" w:type="dxa"/>
            <w:vAlign w:val="bottom"/>
          </w:tcPr>
          <w:p>
            <w:pPr>
              <w:ind w:left="700"/>
              <w:spacing w:after="0"/>
              <w:rPr>
                <w:sz w:val="20"/>
                <w:szCs w:val="20"/>
                <w:color w:val="auto"/>
              </w:rPr>
            </w:pPr>
            <w:r>
              <w:rPr>
                <w:rFonts w:ascii="Courier New" w:cs="Courier New" w:eastAsia="Courier New" w:hAnsi="Courier New"/>
                <w:sz w:val="14"/>
                <w:szCs w:val="14"/>
                <w:color w:val="auto"/>
              </w:rPr>
              <w:t>$23.01</w:t>
            </w:r>
          </w:p>
        </w:tc>
      </w:tr>
    </w:tbl>
    <w:p>
      <w:pPr>
        <w:spacing w:after="0" w:line="335" w:lineRule="exact"/>
        <w:rPr>
          <w:sz w:val="20"/>
          <w:szCs w:val="20"/>
          <w:color w:val="auto"/>
        </w:rPr>
      </w:pPr>
    </w:p>
    <w:p>
      <w:pPr>
        <w:ind w:left="360" w:hanging="352"/>
        <w:spacing w:after="0"/>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lease expirations with options</w:t>
      </w:r>
    </w:p>
    <w:p>
      <w:pPr>
        <w:spacing w:after="0" w:line="7" w:lineRule="exact"/>
        <w:rPr>
          <w:rFonts w:ascii="Courier New" w:cs="Courier New" w:eastAsia="Courier New" w:hAnsi="Courier New"/>
          <w:sz w:val="14"/>
          <w:szCs w:val="14"/>
          <w:color w:val="auto"/>
        </w:rPr>
      </w:pPr>
    </w:p>
    <w:p>
      <w:pPr>
        <w:ind w:left="360" w:right="4019" w:hanging="352"/>
        <w:spacing w:after="0" w:line="252" w:lineRule="auto"/>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portfolio square footage at December 31, 2000 is 14,921,597 representing the physical square footage of the properties including redevelopments, which may exceed the rentable square footage used to express occupancy.</w:t>
      </w:r>
    </w:p>
    <w:p>
      <w:pPr>
        <w:sectPr>
          <w:pgSz w:w="11900" w:h="16838" w:orient="portrait"/>
          <w:cols w:equalWidth="0" w:num="1">
            <w:col w:w="10239"/>
          </w:cols>
          <w:pgMar w:left="220" w:top="78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 - Anchors and Small Shops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2360" w:type="dxa"/>
            <w:vAlign w:val="bottom"/>
          </w:tcPr>
          <w:p>
            <w:pPr>
              <w:jc w:val="center"/>
              <w:ind w:left="148"/>
              <w:spacing w:after="0"/>
              <w:rPr>
                <w:sz w:val="20"/>
                <w:szCs w:val="20"/>
                <w:color w:val="auto"/>
              </w:rPr>
            </w:pPr>
            <w:r>
              <w:rPr>
                <w:rFonts w:ascii="Courier New" w:cs="Courier New" w:eastAsia="Courier New" w:hAnsi="Courier New"/>
                <w:sz w:val="14"/>
                <w:szCs w:val="14"/>
                <w:color w:val="auto"/>
                <w:w w:val="99"/>
              </w:rPr>
              <w:t>Total</w:t>
            </w:r>
          </w:p>
        </w:tc>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1780" w:type="dxa"/>
            <w:vAlign w:val="bottom"/>
          </w:tcPr>
          <w:p>
            <w:pPr>
              <w:spacing w:after="0"/>
              <w:rPr>
                <w:sz w:val="14"/>
                <w:szCs w:val="14"/>
                <w:color w:val="auto"/>
              </w:rPr>
            </w:pPr>
          </w:p>
        </w:tc>
        <w:tc>
          <w:tcPr>
            <w:tcW w:w="2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Square Feet</w:t>
            </w:r>
          </w:p>
        </w:tc>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of Total</w:t>
            </w:r>
          </w:p>
        </w:tc>
      </w:tr>
      <w:tr>
        <w:trPr>
          <w:trHeight w:val="166"/>
        </w:trPr>
        <w:tc>
          <w:tcPr>
            <w:tcW w:w="1780" w:type="dxa"/>
            <w:vAlign w:val="bottom"/>
          </w:tcPr>
          <w:p>
            <w:pPr>
              <w:spacing w:after="0"/>
              <w:rPr>
                <w:sz w:val="14"/>
                <w:szCs w:val="14"/>
                <w:color w:val="auto"/>
              </w:rPr>
            </w:pP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Expiring (1)</w:t>
            </w:r>
          </w:p>
        </w:tc>
        <w:tc>
          <w:tcPr>
            <w:tcW w:w="2240" w:type="dxa"/>
            <w:vAlign w:val="bottom"/>
          </w:tcPr>
          <w:p>
            <w:pPr>
              <w:ind w:left="700"/>
              <w:spacing w:after="0"/>
              <w:rPr>
                <w:sz w:val="20"/>
                <w:szCs w:val="20"/>
                <w:color w:val="auto"/>
              </w:rPr>
            </w:pPr>
            <w:r>
              <w:rPr>
                <w:rFonts w:ascii="Courier New" w:cs="Courier New" w:eastAsia="Courier New" w:hAnsi="Courier New"/>
                <w:sz w:val="14"/>
                <w:szCs w:val="14"/>
                <w:color w:val="auto"/>
              </w:rPr>
              <w:t>Portfolio (2)</w:t>
            </w:r>
          </w:p>
        </w:tc>
      </w:tr>
      <w:tr>
        <w:trPr>
          <w:trHeight w:val="166"/>
        </w:trPr>
        <w:tc>
          <w:tcPr>
            <w:tcW w:w="1780" w:type="dxa"/>
            <w:vAlign w:val="bottom"/>
          </w:tcPr>
          <w:p>
            <w:pPr>
              <w:spacing w:after="0"/>
              <w:rPr>
                <w:sz w:val="14"/>
                <w:szCs w:val="14"/>
                <w:color w:val="auto"/>
              </w:rPr>
            </w:pP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3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36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0</w:t>
            </w:r>
          </w:p>
        </w:tc>
        <w:tc>
          <w:tcPr>
            <w:tcW w:w="22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0%</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384,916</w:t>
            </w:r>
          </w:p>
        </w:tc>
        <w:tc>
          <w:tcPr>
            <w:tcW w:w="22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3%</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3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66,670</w:t>
            </w: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(less than)1%</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297,061</w:t>
            </w:r>
          </w:p>
        </w:tc>
        <w:tc>
          <w:tcPr>
            <w:tcW w:w="22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3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19,600</w:t>
            </w: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(less than)1%</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326,896</w:t>
            </w:r>
          </w:p>
        </w:tc>
        <w:tc>
          <w:tcPr>
            <w:tcW w:w="22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3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31,000</w:t>
            </w: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(less than)1%</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360,828</w:t>
            </w:r>
          </w:p>
        </w:tc>
        <w:tc>
          <w:tcPr>
            <w:tcW w:w="22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23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18,500</w:t>
            </w: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(less than)1%</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357,633</w:t>
            </w:r>
          </w:p>
        </w:tc>
        <w:tc>
          <w:tcPr>
            <w:tcW w:w="22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w:t>
            </w:r>
          </w:p>
        </w:tc>
      </w:tr>
    </w:tbl>
    <w:p>
      <w:pPr>
        <w:spacing w:after="0" w:line="335" w:lineRule="exact"/>
        <w:rPr>
          <w:sz w:val="20"/>
          <w:szCs w:val="20"/>
          <w:color w:val="auto"/>
        </w:rPr>
      </w:pPr>
    </w:p>
    <w:p>
      <w:pPr>
        <w:ind w:left="360" w:hanging="352"/>
        <w:spacing w:after="0"/>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lease expirations with options</w:t>
      </w:r>
    </w:p>
    <w:p>
      <w:pPr>
        <w:spacing w:after="0" w:line="7"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portfolio square footage at December 31, 2000 is 14,921,597 representing the physical square footage of the properties including redevelopments, which may exceed the rentable square footage used to express occupancy.</w:t>
      </w:r>
    </w:p>
    <w:p>
      <w:pPr>
        <w:sectPr>
          <w:pgSz w:w="11900" w:h="16838" w:orient="portrait"/>
          <w:cols w:equalWidth="0" w:num="1">
            <w:col w:w="10239"/>
          </w:cols>
          <w:pgMar w:left="220" w:top="78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Major Tenants by Revenue Contribution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580" w:type="dxa"/>
            <w:vAlign w:val="bottom"/>
          </w:tcPr>
          <w:p>
            <w:pPr>
              <w:ind w:left="340"/>
              <w:spacing w:after="0"/>
              <w:rPr>
                <w:sz w:val="20"/>
                <w:szCs w:val="20"/>
                <w:color w:val="auto"/>
              </w:rPr>
            </w:pPr>
            <w:r>
              <w:rPr>
                <w:rFonts w:ascii="Courier New" w:cs="Courier New" w:eastAsia="Courier New" w:hAnsi="Courier New"/>
                <w:sz w:val="14"/>
                <w:szCs w:val="14"/>
                <w:color w:val="auto"/>
              </w:rPr>
              <w:t>Square</w:t>
            </w:r>
          </w:p>
        </w:tc>
        <w:tc>
          <w:tcPr>
            <w:tcW w:w="1780" w:type="dxa"/>
            <w:vAlign w:val="bottom"/>
          </w:tcPr>
          <w:p>
            <w:pPr>
              <w:ind w:left="560"/>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2860" w:type="dxa"/>
            <w:vAlign w:val="bottom"/>
          </w:tcPr>
          <w:p>
            <w:pPr>
              <w:ind w:left="860"/>
              <w:spacing w:after="0"/>
              <w:rPr>
                <w:sz w:val="20"/>
                <w:szCs w:val="20"/>
                <w:color w:val="auto"/>
              </w:rPr>
            </w:pPr>
            <w:r>
              <w:rPr>
                <w:rFonts w:ascii="Courier New" w:cs="Courier New" w:eastAsia="Courier New" w:hAnsi="Courier New"/>
                <w:sz w:val="14"/>
                <w:szCs w:val="14"/>
                <w:color w:val="auto"/>
              </w:rPr>
              <w:t>Tenant</w:t>
            </w:r>
          </w:p>
        </w:tc>
        <w:tc>
          <w:tcPr>
            <w:tcW w:w="1580" w:type="dxa"/>
            <w:vAlign w:val="bottom"/>
          </w:tcPr>
          <w:p>
            <w:pPr>
              <w:ind w:left="340"/>
              <w:spacing w:after="0"/>
              <w:rPr>
                <w:sz w:val="20"/>
                <w:szCs w:val="20"/>
                <w:color w:val="auto"/>
              </w:rPr>
            </w:pPr>
            <w:r>
              <w:rPr>
                <w:rFonts w:ascii="Courier New" w:cs="Courier New" w:eastAsia="Courier New" w:hAnsi="Courier New"/>
                <w:sz w:val="14"/>
                <w:szCs w:val="14"/>
                <w:color w:val="auto"/>
              </w:rPr>
              <w:t>Footage</w:t>
            </w:r>
          </w:p>
        </w:tc>
        <w:tc>
          <w:tcPr>
            <w:tcW w:w="1780" w:type="dxa"/>
            <w:vAlign w:val="bottom"/>
          </w:tcPr>
          <w:p>
            <w:pPr>
              <w:ind w:left="560"/>
              <w:spacing w:after="0"/>
              <w:rPr>
                <w:sz w:val="20"/>
                <w:szCs w:val="20"/>
                <w:color w:val="auto"/>
              </w:rPr>
            </w:pPr>
            <w:r>
              <w:rPr>
                <w:rFonts w:ascii="Courier New" w:cs="Courier New" w:eastAsia="Courier New" w:hAnsi="Courier New"/>
                <w:sz w:val="14"/>
                <w:szCs w:val="14"/>
                <w:color w:val="auto"/>
              </w:rPr>
              <w:t>Revenue (1)</w:t>
            </w:r>
          </w:p>
        </w:tc>
      </w:tr>
      <w:tr>
        <w:trPr>
          <w:trHeight w:val="166"/>
        </w:trPr>
        <w:tc>
          <w:tcPr>
            <w:tcW w:w="28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Ahold USA, Inc.</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385,557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2.08%</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The Gap, Inc.</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190,598</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Bed, Bath &amp; Beyond, Inc.</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323,021</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CVS Corporation</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164,687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Genuardi Supermarkets, Inc.</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192,205</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The TJX Companies</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386,200</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Barnes &amp; Noble Superstores, Inc.</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164,189</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Toys R Us, Inc.</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329,604</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Dollar Tree Stores, Inc.</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180,357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Kmart Corporation</w:t>
            </w:r>
          </w:p>
        </w:tc>
        <w:tc>
          <w:tcPr>
            <w:tcW w:w="1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508,580</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Revenue equals 2000 minimum plus percentage rent</w:t>
      </w:r>
    </w:p>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Retail Operating &amp; Development Overview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70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For the year ended December 31,</w:t>
            </w:r>
          </w:p>
        </w:tc>
        <w:tc>
          <w:tcPr>
            <w:tcW w:w="102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 thousands, except sf data)</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760" w:type="dxa"/>
            <w:vAlign w:val="bottom"/>
          </w:tcPr>
          <w:p>
            <w:pPr>
              <w:spacing w:after="0"/>
              <w:rPr>
                <w:sz w:val="14"/>
                <w:szCs w:val="14"/>
                <w:color w:val="auto"/>
              </w:rPr>
            </w:pPr>
          </w:p>
        </w:tc>
        <w:tc>
          <w:tcPr>
            <w:tcW w:w="5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Real Estate Assets (1)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$203,946</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$393,623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$473,626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$563,386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$709,005</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$29,118</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$41,894</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$62,524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$71,029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$79,013</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$18,532</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$27,092</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$40,680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$48,538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$54,210</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Square Feet (2)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1,606,000</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1,982,000</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2,081,000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2,686,000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2,771,000</w:t>
            </w:r>
          </w:p>
        </w:tc>
      </w:tr>
    </w:tbl>
    <w:p>
      <w:pPr>
        <w:spacing w:after="0" w:line="335" w:lineRule="exact"/>
        <w:rPr>
          <w:sz w:val="20"/>
          <w:szCs w:val="20"/>
          <w:color w:val="auto"/>
        </w:rPr>
      </w:pPr>
    </w:p>
    <w:p>
      <w:pPr>
        <w:ind w:left="360" w:right="3519" w:hanging="352"/>
        <w:spacing w:after="0" w:line="250"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the Trust reevaluates the assets that make up "street retail". The Trust has reclassified Barracks Road, Uptown, Fresh Meadows and Rollingwood as "street retail" since these properties are more closely aligned with street retail than with community shopping centers. At December 31, 2000, street retail includes stabilized assets, assets which are in various stages of redevelopment, and $177 million related to new development in process.</w:t>
      </w:r>
    </w:p>
    <w:p>
      <w:pPr>
        <w:spacing w:after="0" w:line="3" w:lineRule="exact"/>
        <w:rPr>
          <w:rFonts w:ascii="Courier New" w:cs="Courier New" w:eastAsia="Courier New" w:hAnsi="Courier New"/>
          <w:sz w:val="14"/>
          <w:szCs w:val="14"/>
          <w:color w:val="auto"/>
        </w:rPr>
      </w:pPr>
    </w:p>
    <w:p>
      <w:pPr>
        <w:ind w:left="360" w:right="3519" w:hanging="352"/>
        <w:spacing w:after="0" w:line="255"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 redevelopment square footage, and Rollingwood Apartments.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Square Feet</w:t>
            </w:r>
          </w:p>
        </w:tc>
        <w:tc>
          <w:tcPr>
            <w:tcW w:w="38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MID-ATLANTIC</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Virginia</w:t>
            </w:r>
          </w:p>
        </w:tc>
        <w:tc>
          <w:tcPr>
            <w:tcW w:w="1300" w:type="dxa"/>
            <w:vAlign w:val="bottom"/>
          </w:tcPr>
          <w:p>
            <w:pPr>
              <w:spacing w:after="0"/>
              <w:rPr>
                <w:sz w:val="24"/>
                <w:szCs w:val="24"/>
                <w:color w:val="auto"/>
              </w:rPr>
            </w:pPr>
          </w:p>
        </w:tc>
      </w:tr>
      <w:tr>
        <w:trPr>
          <w:trHeight w:val="166"/>
        </w:trPr>
        <w:tc>
          <w:tcPr>
            <w:tcW w:w="2120" w:type="dxa"/>
            <w:vAlign w:val="bottom"/>
          </w:tcPr>
          <w:p>
            <w:pPr>
              <w:ind w:left="360"/>
              <w:spacing w:after="0"/>
              <w:rPr>
                <w:sz w:val="20"/>
                <w:szCs w:val="20"/>
                <w:color w:val="auto"/>
              </w:rPr>
            </w:pPr>
            <w:r>
              <w:rPr>
                <w:rFonts w:ascii="Courier New" w:cs="Courier New" w:eastAsia="Courier New" w:hAnsi="Courier New"/>
                <w:sz w:val="14"/>
                <w:szCs w:val="14"/>
                <w:color w:val="auto"/>
              </w:rPr>
              <w:t>Greenwich Avenue</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81,000</w:t>
            </w: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Barracks Road</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484,000</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West Hartford</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125,000</w:t>
            </w: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Pentagon Row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Westport</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27,000</w:t>
            </w: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Village at Shirlington</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203,000</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WESTERN</w:t>
            </w:r>
          </w:p>
        </w:tc>
        <w:tc>
          <w:tcPr>
            <w:tcW w:w="1300" w:type="dxa"/>
            <w:vAlign w:val="bottom"/>
          </w:tcPr>
          <w:p>
            <w:pPr>
              <w:spacing w:after="0"/>
              <w:rPr>
                <w:sz w:val="24"/>
                <w:szCs w:val="24"/>
                <w:color w:val="auto"/>
              </w:rPr>
            </w:pP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Coolidge Corner</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13,000</w:t>
            </w:r>
          </w:p>
        </w:tc>
        <w:tc>
          <w:tcPr>
            <w:tcW w:w="38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Arizona</w:t>
            </w:r>
          </w:p>
        </w:tc>
        <w:tc>
          <w:tcPr>
            <w:tcW w:w="130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Mill Avenue</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Central Avenue</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11,000</w:t>
            </w:r>
          </w:p>
        </w:tc>
        <w:tc>
          <w:tcPr>
            <w:tcW w:w="38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California</w:t>
            </w:r>
          </w:p>
        </w:tc>
        <w:tc>
          <w:tcPr>
            <w:tcW w:w="130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Colorado Boulevard</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68,000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Fifth Avenue</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66,000</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Forest Hills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91,000</w:t>
            </w: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Hermosa Beach</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2120" w:type="dxa"/>
            <w:vAlign w:val="bottom"/>
          </w:tcPr>
          <w:p>
            <w:pPr>
              <w:ind w:left="440"/>
              <w:spacing w:after="0"/>
              <w:rPr>
                <w:sz w:val="20"/>
                <w:szCs w:val="20"/>
                <w:color w:val="auto"/>
              </w:rPr>
            </w:pPr>
            <w:r>
              <w:rPr>
                <w:rFonts w:ascii="Courier New" w:cs="Courier New" w:eastAsia="Courier New" w:hAnsi="Courier New"/>
                <w:sz w:val="14"/>
                <w:szCs w:val="14"/>
                <w:color w:val="auto"/>
              </w:rPr>
              <w:t>Fresh Meadows</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410,000</w:t>
            </w: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Hollywood Blvd.</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198,000</w:t>
            </w:r>
          </w:p>
        </w:tc>
      </w:tr>
      <w:tr>
        <w:trPr>
          <w:trHeight w:val="166"/>
        </w:trPr>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Old Town Center</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97,000</w:t>
            </w:r>
          </w:p>
        </w:tc>
      </w:tr>
      <w:tr>
        <w:trPr>
          <w:trHeight w:val="166"/>
        </w:trPr>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Post Street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101,000</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Santana Row</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District of Columbia</w:t>
            </w: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Third Street Promenade</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198,000</w:t>
            </w:r>
          </w:p>
        </w:tc>
      </w:tr>
      <w:tr>
        <w:trPr>
          <w:trHeight w:val="166"/>
        </w:trPr>
        <w:tc>
          <w:tcPr>
            <w:tcW w:w="2120" w:type="dxa"/>
            <w:vAlign w:val="bottom"/>
          </w:tcPr>
          <w:p>
            <w:pPr>
              <w:ind w:left="360"/>
              <w:spacing w:after="0"/>
              <w:rPr>
                <w:sz w:val="20"/>
                <w:szCs w:val="20"/>
                <w:color w:val="auto"/>
              </w:rPr>
            </w:pPr>
            <w:r>
              <w:rPr>
                <w:rFonts w:ascii="Courier New" w:cs="Courier New" w:eastAsia="Courier New" w:hAnsi="Courier New"/>
                <w:sz w:val="14"/>
                <w:szCs w:val="14"/>
                <w:color w:val="auto"/>
              </w:rPr>
              <w:t>Sam's Park N Shop</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50,000</w:t>
            </w:r>
          </w:p>
        </w:tc>
        <w:tc>
          <w:tcPr>
            <w:tcW w:w="3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Illinois</w:t>
            </w:r>
          </w:p>
        </w:tc>
        <w:tc>
          <w:tcPr>
            <w:tcW w:w="130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Evanston</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19,000</w:t>
            </w:r>
          </w:p>
        </w:tc>
      </w:tr>
      <w:tr>
        <w:trPr>
          <w:trHeight w:val="166"/>
        </w:trPr>
        <w:tc>
          <w:tcPr>
            <w:tcW w:w="2120" w:type="dxa"/>
            <w:vAlign w:val="bottom"/>
          </w:tcPr>
          <w:p>
            <w:pPr>
              <w:ind w:left="360"/>
              <w:spacing w:after="0"/>
              <w:rPr>
                <w:sz w:val="20"/>
                <w:szCs w:val="20"/>
                <w:color w:val="auto"/>
              </w:rPr>
            </w:pPr>
            <w:r>
              <w:rPr>
                <w:rFonts w:ascii="Courier New" w:cs="Courier New" w:eastAsia="Courier New" w:hAnsi="Courier New"/>
                <w:sz w:val="14"/>
                <w:szCs w:val="14"/>
                <w:color w:val="auto"/>
              </w:rPr>
              <w:t>Winter Park</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28,000</w:t>
            </w: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Oak Street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5,000</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Maryland</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Oregon</w:t>
            </w:r>
          </w:p>
        </w:tc>
        <w:tc>
          <w:tcPr>
            <w:tcW w:w="1300" w:type="dxa"/>
            <w:vAlign w:val="bottom"/>
          </w:tcPr>
          <w:p>
            <w:pPr>
              <w:spacing w:after="0"/>
              <w:rPr>
                <w:sz w:val="24"/>
                <w:szCs w:val="24"/>
                <w:color w:val="auto"/>
              </w:rPr>
            </w:pPr>
          </w:p>
        </w:tc>
      </w:tr>
      <w:tr>
        <w:trPr>
          <w:trHeight w:val="166"/>
        </w:trPr>
        <w:tc>
          <w:tcPr>
            <w:tcW w:w="2120" w:type="dxa"/>
            <w:vAlign w:val="bottom"/>
          </w:tcPr>
          <w:p>
            <w:pPr>
              <w:ind w:left="360"/>
              <w:spacing w:after="0"/>
              <w:rPr>
                <w:sz w:val="20"/>
                <w:szCs w:val="20"/>
                <w:color w:val="auto"/>
              </w:rPr>
            </w:pPr>
            <w:r>
              <w:rPr>
                <w:rFonts w:ascii="Courier New" w:cs="Courier New" w:eastAsia="Courier New" w:hAnsi="Courier New"/>
                <w:sz w:val="14"/>
                <w:szCs w:val="14"/>
                <w:color w:val="auto"/>
              </w:rPr>
              <w:t>Bethesda Row</w:t>
            </w:r>
          </w:p>
        </w:tc>
        <w:tc>
          <w:tcPr>
            <w:tcW w:w="1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331,000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Tanasbourne</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r>
        <w:trPr>
          <w:trHeight w:val="166"/>
        </w:trPr>
        <w:tc>
          <w:tcPr>
            <w:tcW w:w="34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Rollingwood Apartments 282 units</w:t>
            </w: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Uptown</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100,000</w:t>
            </w:r>
          </w:p>
        </w:tc>
      </w:tr>
      <w:tr>
        <w:trPr>
          <w:trHeight w:val="331"/>
        </w:trPr>
        <w:tc>
          <w:tcPr>
            <w:tcW w:w="2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80"/>
              <w:spacing w:after="0"/>
              <w:rPr>
                <w:sz w:val="20"/>
                <w:szCs w:val="20"/>
                <w:color w:val="auto"/>
              </w:rPr>
            </w:pPr>
            <w:r>
              <w:rPr>
                <w:rFonts w:ascii="Courier New" w:cs="Courier New" w:eastAsia="Courier New" w:hAnsi="Courier New"/>
                <w:sz w:val="14"/>
                <w:szCs w:val="14"/>
                <w:color w:val="auto"/>
              </w:rPr>
              <w:t>Texas</w:t>
            </w:r>
          </w:p>
        </w:tc>
        <w:tc>
          <w:tcPr>
            <w:tcW w:w="130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tcPr>
          <w:p>
            <w:pPr>
              <w:ind w:left="520"/>
              <w:spacing w:after="0"/>
              <w:rPr>
                <w:sz w:val="20"/>
                <w:szCs w:val="20"/>
                <w:color w:val="auto"/>
              </w:rPr>
            </w:pPr>
            <w:r>
              <w:rPr>
                <w:rFonts w:ascii="Courier New" w:cs="Courier New" w:eastAsia="Courier New" w:hAnsi="Courier New"/>
                <w:sz w:val="14"/>
                <w:szCs w:val="14"/>
                <w:color w:val="auto"/>
              </w:rPr>
              <w:t>Houston Street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N/A (2)</w:t>
            </w:r>
          </w:p>
        </w:tc>
      </w:tr>
    </w:tbl>
    <w:p>
      <w:pPr>
        <w:sectPr>
          <w:pgSz w:w="11900" w:h="16838" w:orient="portrait"/>
          <w:cols w:equalWidth="0" w:num="1">
            <w:col w:w="10239"/>
          </w:cols>
          <w:pgMar w:left="220" w:top="451" w:right="1440" w:bottom="1440" w:gutter="0" w:footer="0" w:header="0"/>
        </w:sectPr>
      </w:pPr>
    </w:p>
    <w:bookmarkStart w:id="12" w:name="page13"/>
    <w:bookmarkEnd w:id="12"/>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Pipeline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2000</w:t>
      </w:r>
    </w:p>
    <w:p>
      <w:pPr>
        <w:spacing w:after="0" w:line="200" w:lineRule="exact"/>
        <w:rPr>
          <w:sz w:val="20"/>
          <w:szCs w:val="20"/>
          <w:color w:val="auto"/>
        </w:rPr>
      </w:pPr>
    </w:p>
    <w:p>
      <w:pPr>
        <w:spacing w:after="0" w:line="304"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Expected</w:t>
            </w:r>
          </w:p>
        </w:tc>
        <w:tc>
          <w:tcPr>
            <w:tcW w:w="1040" w:type="dxa"/>
            <w:vAlign w:val="bottom"/>
          </w:tcPr>
          <w:p>
            <w:pPr>
              <w:spacing w:after="0"/>
              <w:rPr>
                <w:sz w:val="14"/>
                <w:szCs w:val="14"/>
                <w:color w:val="auto"/>
              </w:rPr>
            </w:pPr>
          </w:p>
        </w:tc>
      </w:tr>
      <w:tr>
        <w:trPr>
          <w:trHeight w:val="166"/>
        </w:trPr>
        <w:tc>
          <w:tcPr>
            <w:tcW w:w="1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120" w:type="dxa"/>
            <w:vAlign w:val="bottom"/>
          </w:tcPr>
          <w:p>
            <w:pPr>
              <w:ind w:left="560"/>
              <w:spacing w:after="0"/>
              <w:rPr>
                <w:sz w:val="20"/>
                <w:szCs w:val="20"/>
                <w:color w:val="auto"/>
              </w:rPr>
            </w:pPr>
            <w:r>
              <w:rPr>
                <w:rFonts w:ascii="Courier New" w:cs="Courier New" w:eastAsia="Courier New" w:hAnsi="Courier New"/>
                <w:sz w:val="14"/>
                <w:szCs w:val="14"/>
                <w:color w:val="auto"/>
              </w:rPr>
              <w:t>Cost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Estimate To Complete</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Completed</w:t>
            </w:r>
          </w:p>
        </w:tc>
        <w:tc>
          <w:tcPr>
            <w:tcW w:w="12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Stabilized</w:t>
            </w:r>
          </w:p>
        </w:tc>
        <w:tc>
          <w:tcPr>
            <w:tcW w:w="10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320" w:type="dxa"/>
            <w:vAlign w:val="bottom"/>
          </w:tcPr>
          <w:p>
            <w:pPr>
              <w:spacing w:after="0"/>
              <w:rPr>
                <w:sz w:val="20"/>
                <w:szCs w:val="20"/>
                <w:color w:val="auto"/>
              </w:rPr>
            </w:pPr>
            <w:r>
              <w:rPr>
                <w:rFonts w:ascii="Courier New" w:cs="Courier New" w:eastAsia="Courier New" w:hAnsi="Courier New"/>
                <w:sz w:val="14"/>
                <w:szCs w:val="14"/>
                <w:color w:val="auto"/>
              </w:rPr>
              <w:t>Project</w:t>
            </w:r>
          </w:p>
        </w:tc>
        <w:tc>
          <w:tcPr>
            <w:tcW w:w="2340" w:type="dxa"/>
            <w:vAlign w:val="bottom"/>
          </w:tcPr>
          <w:p>
            <w:pPr>
              <w:ind w:left="740"/>
              <w:spacing w:after="0"/>
              <w:rPr>
                <w:sz w:val="20"/>
                <w:szCs w:val="20"/>
                <w:color w:val="auto"/>
              </w:rPr>
            </w:pPr>
            <w:r>
              <w:rPr>
                <w:rFonts w:ascii="Courier New" w:cs="Courier New" w:eastAsia="Courier New" w:hAnsi="Courier New"/>
                <w:sz w:val="14"/>
                <w:szCs w:val="14"/>
                <w:color w:val="auto"/>
              </w:rPr>
              <w:t>Specifications</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To Date</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w:t>
            </w: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Return</w:t>
            </w:r>
          </w:p>
        </w:tc>
        <w:tc>
          <w:tcPr>
            <w:tcW w:w="10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Tenants</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DEVELOPMENT IN PROGRESS</w:t>
            </w: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Bethesda Row - Woodmont East</w:t>
            </w:r>
          </w:p>
        </w:tc>
        <w:tc>
          <w:tcPr>
            <w:tcW w:w="2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52,000 sf retail</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Jaleo Restaurant</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Bethesda, Maryland</w:t>
            </w:r>
          </w:p>
        </w:tc>
        <w:tc>
          <w:tcPr>
            <w:tcW w:w="2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78,000 sf office</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OpNet Technologies</w:t>
            </w:r>
          </w:p>
        </w:tc>
      </w:tr>
      <w:tr>
        <w:trPr>
          <w:trHeight w:val="497"/>
        </w:trPr>
        <w:tc>
          <w:tcPr>
            <w:tcW w:w="254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2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300,000 sf retail (1)</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Harris Teeter</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Arlington, Virginia</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500</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apartment units</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Bed, Bath &amp; Beyond</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Santana Row (Phase I)</w:t>
            </w:r>
          </w:p>
        </w:tc>
        <w:tc>
          <w:tcPr>
            <w:tcW w:w="2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538,000 sf retail</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 - 9%(2)</w:t>
            </w: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Crate &amp; Barrel</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San Jose, California</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501</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residential units</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200</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hotel rooms</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$581</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170"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FUTURE DEVELOPMENT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The Shops at Tanasbourne</w:t>
            </w:r>
          </w:p>
        </w:tc>
        <w:tc>
          <w:tcPr>
            <w:tcW w:w="22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400,000 sf retail</w:t>
            </w:r>
          </w:p>
        </w:tc>
        <w:tc>
          <w:tcPr>
            <w:tcW w:w="6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$14</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Portland, Oregon</w:t>
            </w:r>
          </w:p>
        </w:tc>
        <w:tc>
          <w:tcPr>
            <w:tcW w:w="22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12,000 sf office</w:t>
            </w:r>
          </w:p>
        </w:tc>
        <w:tc>
          <w:tcPr>
            <w:tcW w:w="60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Lindbergh City Center</w:t>
            </w:r>
          </w:p>
        </w:tc>
        <w:tc>
          <w:tcPr>
            <w:tcW w:w="22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300,000 sf retail (1)</w:t>
            </w:r>
          </w:p>
        </w:tc>
        <w:tc>
          <w:tcPr>
            <w:tcW w:w="6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$ 1</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Atlanta, Georgia</w:t>
            </w: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320</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apartments</w:t>
            </w:r>
          </w:p>
        </w:tc>
        <w:tc>
          <w:tcPr>
            <w:tcW w:w="60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120</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hotel rooms</w:t>
            </w:r>
          </w:p>
        </w:tc>
        <w:tc>
          <w:tcPr>
            <w:tcW w:w="60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290</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condominiums</w:t>
            </w:r>
          </w:p>
        </w:tc>
        <w:tc>
          <w:tcPr>
            <w:tcW w:w="60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Courier New" w:cs="Courier New" w:eastAsia="Courier New" w:hAnsi="Courier New"/>
                <w:sz w:val="14"/>
                <w:szCs w:val="14"/>
                <w:color w:val="auto"/>
              </w:rPr>
              <w:t>1.3</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million sf office</w:t>
            </w:r>
          </w:p>
        </w:tc>
        <w:tc>
          <w:tcPr>
            <w:tcW w:w="60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451" w:right="139" w:bottom="1440" w:gutter="0" w:footer="0" w:header="0"/>
        </w:sectPr>
      </w:pPr>
    </w:p>
    <w:p>
      <w:pPr>
        <w:spacing w:after="0" w:line="173" w:lineRule="exact"/>
        <w:rPr>
          <w:sz w:val="20"/>
          <w:szCs w:val="20"/>
          <w:color w:val="auto"/>
        </w:rPr>
      </w:pPr>
    </w:p>
    <w:p>
      <w:pPr>
        <w:jc w:val="right"/>
        <w:ind w:right="1620"/>
        <w:spacing w:after="0"/>
        <w:rPr>
          <w:sz w:val="20"/>
          <w:szCs w:val="20"/>
          <w:color w:val="auto"/>
        </w:rPr>
      </w:pPr>
      <w:r>
        <w:rPr>
          <w:rFonts w:ascii="Courier New" w:cs="Courier New" w:eastAsia="Courier New" w:hAnsi="Courier New"/>
          <w:sz w:val="14"/>
          <w:szCs w:val="14"/>
          <w:color w:val="auto"/>
        </w:rPr>
        <w:t>Total New Development and</w:t>
      </w:r>
    </w:p>
    <w:p>
      <w:pPr>
        <w:spacing w:after="0" w:line="7" w:lineRule="exact"/>
        <w:rPr>
          <w:sz w:val="20"/>
          <w:szCs w:val="20"/>
          <w:color w:val="auto"/>
        </w:rPr>
      </w:pPr>
    </w:p>
    <w:p>
      <w:pPr>
        <w:jc w:val="right"/>
        <w:ind w:right="1620"/>
        <w:spacing w:after="0"/>
        <w:rPr>
          <w:sz w:val="20"/>
          <w:szCs w:val="20"/>
          <w:color w:val="auto"/>
        </w:rPr>
      </w:pPr>
      <w:r>
        <w:rPr>
          <w:rFonts w:ascii="Courier New" w:cs="Courier New" w:eastAsia="Courier New" w:hAnsi="Courier New"/>
          <w:sz w:val="14"/>
          <w:szCs w:val="14"/>
          <w:color w:val="auto"/>
        </w:rPr>
        <w:t>Construction in Progress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120" w:space="720"/>
            <w:col w:w="6700"/>
          </w:cols>
          <w:pgMar w:left="220" w:top="451" w:right="139" w:bottom="1440" w:gutter="0" w:footer="0" w:header="0"/>
          <w:type w:val="continuous"/>
        </w:sectPr>
      </w:pPr>
    </w:p>
    <w:p>
      <w:pPr>
        <w:ind w:left="360" w:hanging="352"/>
        <w:spacing w:after="0"/>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will develop only the retail component of this project.</w:t>
      </w:r>
    </w:p>
    <w:p>
      <w:pPr>
        <w:spacing w:after="0" w:line="7" w:lineRule="exact"/>
        <w:rPr>
          <w:rFonts w:ascii="Courier New" w:cs="Courier New" w:eastAsia="Courier New" w:hAnsi="Courier New"/>
          <w:sz w:val="14"/>
          <w:szCs w:val="14"/>
          <w:color w:val="auto"/>
        </w:rPr>
      </w:pPr>
    </w:p>
    <w:p>
      <w:pPr>
        <w:ind w:right="4900" w:firstLine="8"/>
        <w:spacing w:after="0" w:line="252"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land and infrastructure for future phases. Phase I comprises approximately 40% of the residential entitlement and approximately 75% of the retail entitlement.</w:t>
      </w:r>
    </w:p>
    <w:p>
      <w:pPr>
        <w:sectPr>
          <w:pgSz w:w="11900" w:h="16838" w:orient="portrait"/>
          <w:cols w:equalWidth="0" w:num="1">
            <w:col w:w="11540"/>
          </w:cols>
          <w:pgMar w:left="220" w:top="451" w:right="139" w:bottom="1440" w:gutter="0" w:footer="0" w:header="0"/>
          <w:type w:val="continuous"/>
        </w:sectPr>
      </w:pPr>
    </w:p>
    <w:bookmarkStart w:id="13" w:name="page14"/>
    <w:bookmarkEnd w:id="13"/>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Net Operating Income: Gross revenues, including interest income, less rental expenses and real estate taxes.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operating properties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properties owned and operating in the periods being compared. Excludes centers purchased or sold as well as properties under redevelopment and 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ectPr>
          <w:pgSz w:w="11900" w:h="16838" w:orient="portrait"/>
          <w:cols w:equalWidth="0" w:num="1">
            <w:col w:w="10239"/>
          </w:cols>
          <w:pgMar w:left="220" w:top="616" w:right="1440" w:bottom="1440" w:gutter="0" w:footer="0" w:header="0"/>
        </w:sectPr>
      </w:pPr>
    </w:p>
    <w:bookmarkStart w:id="14" w:name="page15"/>
    <w:bookmarkEnd w:id="14"/>
    <w:p>
      <w:pPr>
        <w:ind w:left="5860"/>
        <w:spacing w:after="0"/>
        <w:rPr>
          <w:sz w:val="20"/>
          <w:szCs w:val="20"/>
          <w:color w:val="auto"/>
        </w:rPr>
      </w:pPr>
      <w:r>
        <w:rPr>
          <w:rFonts w:ascii="Courier New" w:cs="Courier New" w:eastAsia="Courier New" w:hAnsi="Courier New"/>
          <w:sz w:val="14"/>
          <w:szCs w:val="14"/>
          <w:color w:val="auto"/>
        </w:rPr>
        <w:t>Exhibit 99.1</w:t>
      </w:r>
    </w:p>
    <w:p>
      <w:pPr>
        <w:sectPr>
          <w:pgSz w:w="11900" w:h="16838" w:orient="portrait"/>
          <w:cols w:equalWidth="0" w:num="1">
            <w:col w:w="10239"/>
          </w:cols>
          <w:pgMar w:left="220" w:top="47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right="560"/>
        <w:spacing w:after="0" w:line="255" w:lineRule="auto"/>
        <w:rPr>
          <w:sz w:val="20"/>
          <w:szCs w:val="20"/>
          <w:color w:val="auto"/>
        </w:rPr>
      </w:pPr>
      <w:r>
        <w:rPr>
          <w:rFonts w:ascii="Courier New" w:cs="Courier New" w:eastAsia="Courier New" w:hAnsi="Courier New"/>
          <w:sz w:val="14"/>
          <w:szCs w:val="14"/>
          <w:color w:val="auto"/>
        </w:rPr>
        <w:t>FOR IMMEDIATE RELEASE February 15,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Andrew Blocher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Investor Relations &amp;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 998-8166</w:t>
      </w:r>
    </w:p>
    <w:p>
      <w:pPr>
        <w:spacing w:after="0" w:line="200" w:lineRule="exact"/>
        <w:rPr>
          <w:sz w:val="20"/>
          <w:szCs w:val="20"/>
          <w:color w:val="auto"/>
        </w:rPr>
      </w:pPr>
    </w:p>
    <w:p>
      <w:pPr>
        <w:sectPr>
          <w:pgSz w:w="11900" w:h="16838" w:orient="portrait"/>
          <w:cols w:equalWidth="0" w:num="2">
            <w:col w:w="2380" w:space="720"/>
            <w:col w:w="7139"/>
          </w:cols>
          <w:pgMar w:left="220" w:top="473" w:right="1440" w:bottom="1440" w:gutter="0" w:footer="0" w:header="0"/>
          <w:type w:val="continuous"/>
        </w:sectPr>
      </w:pPr>
    </w:p>
    <w:p>
      <w:pPr>
        <w:spacing w:after="0" w:line="1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RECORD YEAR-END 2000 OPERATING RESULTS</w:t>
      </w:r>
    </w:p>
    <w:p>
      <w:pPr>
        <w:spacing w:after="0" w:line="338"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ROCKVILLE, MD (February 15, 2001) - Federal Realty Investment Trust (NYSE:FRT) today reported operating results for the year ending December 31, 2000.</w:t>
      </w:r>
    </w:p>
    <w:p>
      <w:pPr>
        <w:spacing w:after="0" w:line="163" w:lineRule="exact"/>
        <w:rPr>
          <w:sz w:val="20"/>
          <w:szCs w:val="20"/>
          <w:color w:val="auto"/>
        </w:rPr>
      </w:pPr>
    </w:p>
    <w:p>
      <w:pPr>
        <w:ind w:left="700" w:hanging="261"/>
        <w:spacing w:after="0"/>
        <w:tabs>
          <w:tab w:leader="none" w:pos="7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Funds from operations (FFO) increased 8% to $2.56 per diluted share</w:t>
      </w:r>
    </w:p>
    <w:p>
      <w:pPr>
        <w:spacing w:after="0" w:line="7"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 remains strong at 95.8%</w:t>
      </w:r>
    </w:p>
    <w:p>
      <w:pPr>
        <w:spacing w:after="0" w:line="7" w:lineRule="exact"/>
        <w:rPr>
          <w:rFonts w:ascii="Courier New" w:cs="Courier New" w:eastAsia="Courier New" w:hAnsi="Courier New"/>
          <w:sz w:val="14"/>
          <w:szCs w:val="14"/>
          <w:color w:val="auto"/>
        </w:rPr>
      </w:pPr>
    </w:p>
    <w:p>
      <w:pPr>
        <w:ind w:left="700" w:hanging="261"/>
        <w:spacing w:after="0"/>
        <w:tabs>
          <w:tab w:leader="none" w:pos="70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underway at Santana Row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Funds from operations for the year ended December 31, 2000 increased 6% to $102.2 million from $96.8 in 1999. On a per diluted share basis, funds from operations increased 8% from $2.38 in 1999 to $2.56 in 2000, beating First Call Consensus Estimates by $0.01. Federal Realty reported net operating income, which includes interest income from mortgage notes receivable, of $196.4 million, a 6% increase from the $186.0 million reported for 1999. Growth in funds from operations and net operating income can largely be attributed to increased rental income, with a major contribution from the renovation and re-tenanting of certain properties in Federal Realty's shopping center portfolio, and a 12% decrease in general and administrative expenses from 1999 to 2000 due to non-recurring items in 1999. Given the current levels of interest rates, Federal Realty is comfortable with the consensus 2001 First Call FFO estimate of $2.64 per share.</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"Our property locations, in densely populated, high barrier-to-entry, affluent markets have allowed us to increase rental income and maintain strong occupancy rates through varied economic conditions both today, and over the past 38 years" commented Steven J. Guttman, president and chief executive officer of Federal Realty. "We are pleased with our continued progress in maximizing shareholder value through the redevelopment and re-tenanting of our core shopping center portfolio and the development and enhancement of our urban retail and mixed-use properties."</w:t>
      </w:r>
    </w:p>
    <w:p>
      <w:pPr>
        <w:spacing w:after="0" w:line="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473"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Year-end 2000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Portfolio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the year, rental income increased from $245.8 million in 1999 to $260.7 million in 2000, a 6% increase. During 2000, the Trust signed leases for a total of 1.7 million square feet of retail, office and residential space. On a comparable retail space basis, the Trust re-leased 1.0 million square feet at an average increase in rent per square foot of 14%. The weighted-average rent on these same space leases was $18.39 per square foot compared to the previous average rent of $16.10 per square foot. At year-end 2000, overall occupancy remained strong at 95.8%, versus 96.1% reported for December 31,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November 2000, construction began in earnest at Santana Row, Federal Realty's mixed-use urban district in San Jose, California. The Trust has negotiated the terms of a guaranteed maximum price contract with Bovis Lend Lease for a significant portion of the hard construction costs associated with Phase I. In addition, Federal Realty has a signed commitment letter from three banks for a $295 million construction loan. Leasing activity continues to progress with almost 40% of the Phase I retail space leased or under signed letter of intent. The company anticipates the first portions of Phase I to open during the second quarter of 2002.</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Bethesda Row, in Bethesda, Maryland, the 130,000 square foot mixed-use Woodmont East building continues to progress on schedule. Several retail tenants have opened for business since the first of this year, while the 77,000 square feet of office space is 100% leased and tenants are currently building out their spaces. In Arlington, Virginia, Federal Realty now anticipates an early second quarter opening of the first building of Pentagon Row. The 300,000 square foot mixed-use neighborhood is 90% committed, with 15 retail tenants actively building out their space.</w:t>
      </w:r>
    </w:p>
    <w:p>
      <w:pPr>
        <w:spacing w:after="0" w:line="200" w:lineRule="exact"/>
        <w:rPr>
          <w:sz w:val="20"/>
          <w:szCs w:val="20"/>
          <w:color w:val="auto"/>
        </w:rPr>
      </w:pPr>
    </w:p>
    <w:p>
      <w:pPr>
        <w:spacing w:after="0" w:line="29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61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Year-end 2000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Conference Call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Federal Realty's fourth quarter earnings conference call is scheduled for 11:00 AM EST, Friday February 16, 2001. To participate, please call (800) 289-0436 five to ten minutes prior to the start time. Federal Realty will also provide an online Web Simulcast on the company's web site, www.federalrealty.com. For</w:t>
      </w:r>
    </w:p>
    <w:p>
      <w:pPr>
        <w:spacing w:after="0" w:line="2"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those interested parties who are unable to participate in the conference call, a re-broadcast will be available online at www.federalrealty.com beginning at 6:00</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PM EST on February 16. A telephone recording of the call can also be heard by dialing (888) 203-1112. The passcode for this replay is 663631.</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Federal Realty Investment Trust is an equity real estate investment trust specializing in the ownership, management, development and re-development of prime retail and urban mixed-use districts. The Trust's real estate portfolio contains more than 120 properties consisting of community and neighborhood shopping centers, urban mixed-use main street retail and apartment properties located in strategic metropolitan markets across the United States. The Trust is nationally recognized for its main street revitalization, value-added urban development programs. Federal Realty has paid quarterly dividends to its shareholders continuously since its founding in 1962, and has increased its dividend rate for 33 consecutive years. Shares of the Trust are traded on the New York Stock Exchange under the symbol FRT.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Language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7" w:name="page18"/>
    <w:bookmarkEnd w:id="17"/>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9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Three Months Ended</w:t>
            </w:r>
          </w:p>
        </w:tc>
        <w:tc>
          <w:tcPr>
            <w:tcW w:w="23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Twelve Months Ended</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9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December 31,</w:t>
            </w:r>
          </w:p>
        </w:tc>
        <w:tc>
          <w:tcPr>
            <w:tcW w:w="23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44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Revenues</w:t>
            </w:r>
          </w:p>
        </w:tc>
        <w:tc>
          <w:tcPr>
            <w:tcW w:w="4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2160" w:type="dxa"/>
            <w:vAlign w:val="bottom"/>
          </w:tcPr>
          <w:p>
            <w:pPr>
              <w:ind w:left="620"/>
              <w:spacing w:after="0"/>
              <w:rPr>
                <w:sz w:val="20"/>
                <w:szCs w:val="20"/>
                <w:color w:val="auto"/>
              </w:rPr>
            </w:pPr>
            <w:r>
              <w:rPr>
                <w:rFonts w:ascii="Courier New" w:cs="Courier New" w:eastAsia="Courier New" w:hAnsi="Courier New"/>
                <w:sz w:val="14"/>
                <w:szCs w:val="14"/>
                <w:color w:val="auto"/>
              </w:rPr>
              <w:t>Rental income</w:t>
            </w: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$68,100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$64,755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$260,684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$245,833</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Other property income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3,055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11,065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11,231</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Interest  and other income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7,532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7,649</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72,790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69,680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279,281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264,713</w:t>
            </w:r>
          </w:p>
        </w:tc>
      </w:tr>
      <w:tr>
        <w:trPr>
          <w:trHeight w:val="166"/>
        </w:trPr>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Expenses</w:t>
            </w: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160" w:type="dxa"/>
            <w:vAlign w:val="bottom"/>
          </w:tcPr>
          <w:p>
            <w:pPr>
              <w:ind w:left="620"/>
              <w:spacing w:after="0"/>
              <w:rPr>
                <w:sz w:val="20"/>
                <w:szCs w:val="20"/>
                <w:color w:val="auto"/>
              </w:rPr>
            </w:pPr>
            <w:r>
              <w:rPr>
                <w:rFonts w:ascii="Courier New" w:cs="Courier New" w:eastAsia="Courier New" w:hAnsi="Courier New"/>
                <w:sz w:val="14"/>
                <w:szCs w:val="14"/>
                <w:color w:val="auto"/>
              </w:rPr>
              <w:t>Rental</w:t>
            </w: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15,223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14,623</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56,280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53,677</w:t>
            </w:r>
          </w:p>
        </w:tc>
      </w:tr>
      <w:tr>
        <w:trPr>
          <w:trHeight w:val="166"/>
        </w:trPr>
        <w:tc>
          <w:tcPr>
            <w:tcW w:w="2160" w:type="dxa"/>
            <w:vAlign w:val="bottom"/>
          </w:tcPr>
          <w:p>
            <w:pPr>
              <w:ind w:left="620"/>
              <w:spacing w:after="0"/>
              <w:rPr>
                <w:sz w:val="20"/>
                <w:szCs w:val="20"/>
                <w:color w:val="auto"/>
              </w:rPr>
            </w:pPr>
            <w:r>
              <w:rPr>
                <w:rFonts w:ascii="Courier New" w:cs="Courier New" w:eastAsia="Courier New" w:hAnsi="Courier New"/>
                <w:sz w:val="14"/>
                <w:szCs w:val="14"/>
                <w:color w:val="auto"/>
              </w:rPr>
              <w:t>Real estate taxes</w:t>
            </w: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6,677</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26,620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25,021</w:t>
            </w:r>
          </w:p>
        </w:tc>
      </w:tr>
      <w:tr>
        <w:trPr>
          <w:trHeight w:val="166"/>
        </w:trPr>
        <w:tc>
          <w:tcPr>
            <w:tcW w:w="2160" w:type="dxa"/>
            <w:vAlign w:val="bottom"/>
          </w:tcPr>
          <w:p>
            <w:pPr>
              <w:ind w:left="620"/>
              <w:spacing w:after="0"/>
              <w:rPr>
                <w:sz w:val="20"/>
                <w:szCs w:val="20"/>
                <w:color w:val="auto"/>
              </w:rPr>
            </w:pPr>
            <w:r>
              <w:rPr>
                <w:rFonts w:ascii="Courier New" w:cs="Courier New" w:eastAsia="Courier New" w:hAnsi="Courier New"/>
                <w:sz w:val="14"/>
                <w:szCs w:val="14"/>
                <w:color w:val="auto"/>
              </w:rPr>
              <w:t>Interest</w:t>
            </w: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16,897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15,985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66,418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61,492</w:t>
            </w:r>
          </w:p>
        </w:tc>
      </w:tr>
      <w:tr>
        <w:trPr>
          <w:trHeight w:val="166"/>
        </w:trPr>
        <w:tc>
          <w:tcPr>
            <w:tcW w:w="2160" w:type="dxa"/>
            <w:vAlign w:val="bottom"/>
          </w:tcPr>
          <w:p>
            <w:pPr>
              <w:ind w:left="620"/>
              <w:spacing w:after="0"/>
              <w:rPr>
                <w:sz w:val="20"/>
                <w:szCs w:val="20"/>
                <w:color w:val="auto"/>
              </w:rPr>
            </w:pPr>
            <w:r>
              <w:rPr>
                <w:rFonts w:ascii="Courier New" w:cs="Courier New" w:eastAsia="Courier New" w:hAnsi="Courier New"/>
                <w:sz w:val="14"/>
                <w:szCs w:val="14"/>
                <w:color w:val="auto"/>
              </w:rPr>
              <w:t>Administrative</w:t>
            </w: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4,232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13,318</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15,120</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Depreciation and amortization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13,826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12,698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53,259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50,011</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57,129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54,215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215,895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205,321</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Operating income before investors' share of operations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15,661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15,465</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63,386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59,392</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Investor's share of operations</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(1,772)</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(6,544)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(3,899)</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13,889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13,888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56,842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55,493</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Gain (Loss) on sale of real estate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(7,050)</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ind w:left="620"/>
              <w:spacing w:after="0"/>
              <w:rPr>
                <w:sz w:val="20"/>
                <w:szCs w:val="20"/>
                <w:color w:val="auto"/>
              </w:rPr>
            </w:pPr>
            <w:r>
              <w:rPr>
                <w:rFonts w:ascii="Courier New" w:cs="Courier New" w:eastAsia="Courier New" w:hAnsi="Courier New"/>
                <w:sz w:val="14"/>
                <w:szCs w:val="14"/>
                <w:color w:val="auto"/>
              </w:rPr>
              <w:t>Net Income</w:t>
            </w: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$13,889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$13,888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$ 60,523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$ 48,443</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Dividends on preferred stock</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(1,987)</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(1,987)</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(7,950)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(7,950)</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$11,901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$ 52,573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$ 40,493</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Earnings per common share, basic</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Earnings per common share, diluted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Weighted average shares outstanding, basic</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39,694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38,796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39,574</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39,794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40,662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39,910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40,638</w:t>
            </w:r>
          </w:p>
        </w:tc>
      </w:tr>
      <w:tr>
        <w:trPr>
          <w:trHeight w:val="331"/>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Funds from Operations</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6640" w:type="dxa"/>
            <w:vAlign w:val="bottom"/>
            <w:gridSpan w:val="2"/>
          </w:tcPr>
          <w:p>
            <w:pPr>
              <w:ind w:left="174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$11,901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$52,573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$40,493</w:t>
            </w:r>
          </w:p>
        </w:tc>
      </w:tr>
      <w:tr>
        <w:trPr>
          <w:trHeight w:val="166"/>
        </w:trPr>
        <w:tc>
          <w:tcPr>
            <w:tcW w:w="2160" w:type="dxa"/>
            <w:vAlign w:val="bottom"/>
          </w:tcPr>
          <w:p>
            <w:pPr>
              <w:ind w:left="1740"/>
              <w:spacing w:after="0"/>
              <w:rPr>
                <w:sz w:val="20"/>
                <w:szCs w:val="20"/>
                <w:color w:val="auto"/>
              </w:rPr>
            </w:pPr>
            <w:r>
              <w:rPr>
                <w:rFonts w:ascii="Courier New" w:cs="Courier New" w:eastAsia="Courier New" w:hAnsi="Courier New"/>
                <w:sz w:val="14"/>
                <w:szCs w:val="14"/>
                <w:color w:val="auto"/>
              </w:rPr>
              <w:t>Add:</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(gain) loss on sale of real estate</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(3,681)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7,050</w:t>
            </w:r>
          </w:p>
        </w:tc>
      </w:tr>
      <w:tr>
        <w:trPr>
          <w:trHeight w:val="166"/>
        </w:trPr>
        <w:tc>
          <w:tcPr>
            <w:tcW w:w="2160" w:type="dxa"/>
            <w:vAlign w:val="bottom"/>
          </w:tcPr>
          <w:p>
            <w:pPr>
              <w:ind w:left="1740"/>
              <w:spacing w:after="0"/>
              <w:rPr>
                <w:sz w:val="20"/>
                <w:szCs w:val="20"/>
                <w:color w:val="auto"/>
              </w:rPr>
            </w:pPr>
            <w:r>
              <w:rPr>
                <w:rFonts w:ascii="Courier New" w:cs="Courier New" w:eastAsia="Courier New" w:hAnsi="Courier New"/>
                <w:sz w:val="14"/>
                <w:szCs w:val="14"/>
                <w:color w:val="auto"/>
              </w:rPr>
              <w:t>Add:</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depreciation and amortization of real estate assets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12,604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11,539</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48,456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45,388</w:t>
            </w:r>
          </w:p>
        </w:tc>
      </w:tr>
      <w:tr>
        <w:trPr>
          <w:trHeight w:val="166"/>
        </w:trPr>
        <w:tc>
          <w:tcPr>
            <w:tcW w:w="2160" w:type="dxa"/>
            <w:vAlign w:val="bottom"/>
          </w:tcPr>
          <w:p>
            <w:pPr>
              <w:ind w:left="1740"/>
              <w:spacing w:after="0"/>
              <w:rPr>
                <w:sz w:val="20"/>
                <w:szCs w:val="20"/>
                <w:color w:val="auto"/>
              </w:rPr>
            </w:pPr>
            <w:r>
              <w:rPr>
                <w:rFonts w:ascii="Courier New" w:cs="Courier New" w:eastAsia="Courier New" w:hAnsi="Courier New"/>
                <w:sz w:val="14"/>
                <w:szCs w:val="14"/>
                <w:color w:val="auto"/>
              </w:rPr>
              <w:t>Add:</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amortization of initial direct costs of leases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798</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3,514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3,033</w:t>
            </w:r>
          </w:p>
        </w:tc>
      </w:tr>
      <w:tr>
        <w:trPr>
          <w:trHeight w:val="166"/>
        </w:trPr>
        <w:tc>
          <w:tcPr>
            <w:tcW w:w="2160" w:type="dxa"/>
            <w:vAlign w:val="bottom"/>
          </w:tcPr>
          <w:p>
            <w:pPr>
              <w:ind w:left="1740"/>
              <w:spacing w:after="0"/>
              <w:rPr>
                <w:sz w:val="20"/>
                <w:szCs w:val="20"/>
                <w:color w:val="auto"/>
              </w:rPr>
            </w:pPr>
            <w:r>
              <w:rPr>
                <w:rFonts w:ascii="Courier New" w:cs="Courier New" w:eastAsia="Courier New" w:hAnsi="Courier New"/>
                <w:sz w:val="14"/>
                <w:szCs w:val="14"/>
                <w:color w:val="auto"/>
              </w:rPr>
              <w:t>Add:</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income attributable to operating partnership units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831</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Funds from operations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$25,712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$24,517</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$102,173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$96,795</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Funds from operations per share, diluted</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Assets</w:t>
            </w:r>
          </w:p>
        </w:tc>
        <w:tc>
          <w:tcPr>
            <w:tcW w:w="4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Real estate, at cost</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$1,854,913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$1,721,459</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(351,258)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(317,921)</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1,503,655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1,403,538</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Mortgage notes receivable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47,360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53,495</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Cash and investments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11,357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11,738</w:t>
            </w:r>
          </w:p>
        </w:tc>
      </w:tr>
      <w:tr>
        <w:trPr>
          <w:trHeight w:val="166"/>
        </w:trPr>
        <w:tc>
          <w:tcPr>
            <w:tcW w:w="2160" w:type="dxa"/>
            <w:vAlign w:val="bottom"/>
          </w:tcPr>
          <w:p>
            <w:pPr>
              <w:ind w:left="620"/>
              <w:spacing w:after="0"/>
              <w:rPr>
                <w:sz w:val="20"/>
                <w:szCs w:val="20"/>
                <w:color w:val="auto"/>
              </w:rPr>
            </w:pPr>
            <w:r>
              <w:rPr>
                <w:rFonts w:ascii="Courier New" w:cs="Courier New" w:eastAsia="Courier New" w:hAnsi="Courier New"/>
                <w:sz w:val="14"/>
                <w:szCs w:val="14"/>
                <w:color w:val="auto"/>
              </w:rPr>
              <w:t>Receivables</w:t>
            </w: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13,092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23,130</w:t>
            </w:r>
          </w:p>
        </w:tc>
      </w:tr>
      <w:tr>
        <w:trPr>
          <w:trHeight w:val="166"/>
        </w:trPr>
        <w:tc>
          <w:tcPr>
            <w:tcW w:w="2160" w:type="dxa"/>
            <w:vAlign w:val="bottom"/>
          </w:tcPr>
          <w:p>
            <w:pPr>
              <w:ind w:left="620"/>
              <w:spacing w:after="0"/>
              <w:rPr>
                <w:sz w:val="20"/>
                <w:szCs w:val="20"/>
                <w:color w:val="auto"/>
              </w:rPr>
            </w:pPr>
            <w:r>
              <w:rPr>
                <w:rFonts w:ascii="Courier New" w:cs="Courier New" w:eastAsia="Courier New" w:hAnsi="Courier New"/>
                <w:sz w:val="14"/>
                <w:szCs w:val="14"/>
                <w:color w:val="auto"/>
              </w:rPr>
              <w:t>Other assets</w:t>
            </w: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45,615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42,147</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Total assets</w:t>
            </w: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$1,621,079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$1,534,048</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Liabilities and Shareholders' Equity</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323,911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172,573</w:t>
            </w:r>
          </w:p>
        </w:tc>
      </w:tr>
      <w:tr>
        <w:trPr>
          <w:trHeight w:val="166"/>
        </w:trPr>
        <w:tc>
          <w:tcPr>
            <w:tcW w:w="2160" w:type="dxa"/>
            <w:vAlign w:val="bottom"/>
          </w:tcPr>
          <w:p>
            <w:pPr>
              <w:ind w:left="620"/>
              <w:spacing w:after="0"/>
              <w:rPr>
                <w:sz w:val="20"/>
                <w:szCs w:val="20"/>
                <w:color w:val="auto"/>
              </w:rPr>
            </w:pPr>
            <w:r>
              <w:rPr>
                <w:rFonts w:ascii="Courier New" w:cs="Courier New" w:eastAsia="Courier New" w:hAnsi="Courier New"/>
                <w:sz w:val="14"/>
                <w:szCs w:val="14"/>
                <w:color w:val="auto"/>
              </w:rPr>
              <w:t>Notes payable</w:t>
            </w: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225,246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162,768</w:t>
            </w:r>
          </w:p>
        </w:tc>
      </w:tr>
      <w:tr>
        <w:trPr>
          <w:trHeight w:val="166"/>
        </w:trPr>
        <w:tc>
          <w:tcPr>
            <w:tcW w:w="2160" w:type="dxa"/>
            <w:vAlign w:val="bottom"/>
          </w:tcPr>
          <w:p>
            <w:pPr>
              <w:ind w:left="620"/>
              <w:spacing w:after="0"/>
              <w:rPr>
                <w:sz w:val="20"/>
                <w:szCs w:val="20"/>
                <w:color w:val="auto"/>
              </w:rPr>
            </w:pPr>
            <w:r>
              <w:rPr>
                <w:rFonts w:ascii="Courier New" w:cs="Courier New" w:eastAsia="Courier New" w:hAnsi="Courier New"/>
                <w:sz w:val="14"/>
                <w:szCs w:val="14"/>
                <w:color w:val="auto"/>
              </w:rPr>
              <w:t>Senior Notes</w:t>
            </w: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410,000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510,000</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5 1/4% Convertible subordinated debentures</w:t>
            </w: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75,289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2160" w:type="dxa"/>
            <w:vAlign w:val="bottom"/>
          </w:tcPr>
          <w:p>
            <w:pPr>
              <w:ind w:left="620"/>
              <w:spacing w:after="0"/>
              <w:rPr>
                <w:sz w:val="20"/>
                <w:szCs w:val="20"/>
                <w:color w:val="auto"/>
              </w:rPr>
            </w:pPr>
            <w:r>
              <w:rPr>
                <w:rFonts w:ascii="Courier New" w:cs="Courier New" w:eastAsia="Courier New" w:hAnsi="Courier New"/>
                <w:sz w:val="14"/>
                <w:szCs w:val="14"/>
                <w:color w:val="auto"/>
              </w:rPr>
              <w:t>Other liabilities</w:t>
            </w: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118,979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111,591</w:t>
            </w:r>
          </w:p>
        </w:tc>
      </w:tr>
      <w:tr>
        <w:trPr>
          <w:trHeight w:val="331"/>
        </w:trPr>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Shareholders' Equity</w:t>
            </w:r>
          </w:p>
        </w:tc>
        <w:tc>
          <w:tcPr>
            <w:tcW w:w="4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467,654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501,827</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$1,621,079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$1,534,048</w:t>
            </w:r>
          </w:p>
        </w:tc>
      </w:tr>
      <w:tr>
        <w:trPr>
          <w:trHeight w:val="166"/>
        </w:trPr>
        <w:tc>
          <w:tcPr>
            <w:tcW w:w="21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1" w:lineRule="exact"/>
        <w:rPr>
          <w:sz w:val="20"/>
          <w:szCs w:val="20"/>
          <w:color w:val="auto"/>
        </w:rPr>
      </w:pPr>
    </w:p>
    <w:sectPr>
      <w:pgSz w:w="11900" w:h="16838" w:orient="portrait"/>
      <w:cols w:equalWidth="0" w:num="1">
        <w:col w:w="10940"/>
      </w:cols>
      <w:pgMar w:left="220" w:top="451"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3"/>
    </w:lvl>
  </w:abstractNum>
  <w:abstractNum w:abstractNumId="1">
    <w:nsid w:val="2EB141F2"/>
    <w:multiLevelType w:val="hybridMultilevel"/>
    <w:lvl w:ilvl="0">
      <w:lvlJc w:val="left"/>
      <w:lvlText w:val="%1."/>
      <w:numFmt w:val="decimal"/>
      <w:start w:val="4"/>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2019-12-12T09:25:28Z</dcterms:created>
  <dcterms:modified xsi:type="dcterms:W3CDTF">2019-12-12T09:25:28Z</dcterms:modified>
</cp:coreProperties>
</file>