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62" w:lineRule="exact"/>
        <w:rPr>
          <w:sz w:val="24"/>
          <w:szCs w:val="24"/>
          <w:color w:val="auto"/>
        </w:rPr>
      </w:pPr>
    </w:p>
    <w:p>
      <w:pPr>
        <w:ind w:left="3980" w:right="1020" w:hanging="3945"/>
        <w:spacing w:after="0" w:line="360" w:lineRule="auto"/>
        <w:tabs>
          <w:tab w:leader="none" w:pos="73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THE SECTION 13 OR 15(D) OF THE SECURITIES EXCHANGE ACT OF 1934 For the quarterly period ended June 30, 2019</w:t>
      </w: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1-07533</w:t>
      </w:r>
    </w:p>
    <w:p>
      <w:pPr>
        <w:spacing w:after="0" w:line="83"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FEDERAL REALTY INVESTMENT TRUST</w:t>
      </w:r>
    </w:p>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248" w:lineRule="exact"/>
        <w:rPr>
          <w:sz w:val="24"/>
          <w:szCs w:val="24"/>
          <w:color w:val="auto"/>
        </w:rPr>
      </w:pPr>
    </w:p>
    <w:tbl>
      <w:tblPr>
        <w:tblLayout w:type="fixed"/>
        <w:tblInd w:w="28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3120" w:type="dxa"/>
            <w:vAlign w:val="bottom"/>
            <w:gridSpan w:val="2"/>
          </w:tcPr>
          <w:p>
            <w:pPr>
              <w:jc w:val="center"/>
              <w:ind w:right="2005"/>
              <w:spacing w:after="0"/>
              <w:rPr>
                <w:sz w:val="20"/>
                <w:szCs w:val="20"/>
                <w:color w:val="auto"/>
              </w:rPr>
            </w:pPr>
            <w:r>
              <w:rPr>
                <w:rFonts w:ascii="Arial" w:cs="Arial" w:eastAsia="Arial" w:hAnsi="Arial"/>
                <w:sz w:val="16"/>
                <w:szCs w:val="16"/>
                <w:b w:val="1"/>
                <w:bCs w:val="1"/>
                <w:color w:val="auto"/>
                <w:w w:val="96"/>
              </w:rPr>
              <w:t>Maryland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20" w:type="dxa"/>
            <w:vAlign w:val="bottom"/>
          </w:tcPr>
          <w:p>
            <w:pPr>
              <w:ind w:left="720"/>
              <w:spacing w:after="0"/>
              <w:rPr>
                <w:sz w:val="20"/>
                <w:szCs w:val="20"/>
                <w:color w:val="auto"/>
              </w:rPr>
            </w:pPr>
            <w:r>
              <w:rPr>
                <w:rFonts w:ascii="Arial" w:cs="Arial" w:eastAsia="Arial" w:hAnsi="Arial"/>
                <w:sz w:val="16"/>
                <w:szCs w:val="16"/>
                <w:b w:val="1"/>
                <w:bCs w:val="1"/>
                <w:color w:val="auto"/>
              </w:rPr>
              <w:t>52-0782497</w:t>
            </w:r>
          </w:p>
        </w:tc>
        <w:tc>
          <w:tcPr>
            <w:tcW w:w="0" w:type="dxa"/>
            <w:vAlign w:val="bottom"/>
          </w:tcPr>
          <w:p>
            <w:pPr>
              <w:spacing w:after="0"/>
              <w:rPr>
                <w:sz w:val="1"/>
                <w:szCs w:val="1"/>
                <w:color w:val="auto"/>
              </w:rPr>
            </w:pPr>
          </w:p>
        </w:tc>
      </w:tr>
      <w:tr>
        <w:trPr>
          <w:trHeight w:val="251"/>
        </w:trPr>
        <w:tc>
          <w:tcPr>
            <w:tcW w:w="4620" w:type="dxa"/>
            <w:vAlign w:val="bottom"/>
            <w:gridSpan w:val="3"/>
          </w:tcPr>
          <w:p>
            <w:pPr>
              <w:jc w:val="center"/>
              <w:ind w:right="525"/>
              <w:spacing w:after="0"/>
              <w:rPr>
                <w:sz w:val="20"/>
                <w:szCs w:val="20"/>
                <w:color w:val="auto"/>
              </w:rPr>
            </w:pPr>
            <w:r>
              <w:rPr>
                <w:rFonts w:ascii="Arial" w:cs="Arial" w:eastAsia="Arial" w:hAnsi="Arial"/>
                <w:sz w:val="14"/>
                <w:szCs w:val="14"/>
                <w:b w:val="1"/>
                <w:bCs w:val="1"/>
                <w:color w:val="auto"/>
                <w:w w:val="94"/>
              </w:rPr>
              <w:t>(State of Organization)</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600" w:type="dxa"/>
            <w:vAlign w:val="bottom"/>
            <w:gridSpan w:val="5"/>
          </w:tcPr>
          <w:p>
            <w:pPr>
              <w:jc w:val="center"/>
              <w:ind w:right="2261"/>
              <w:spacing w:after="0"/>
              <w:rPr>
                <w:sz w:val="20"/>
                <w:szCs w:val="20"/>
                <w:color w:val="auto"/>
              </w:rPr>
            </w:pPr>
            <w:r>
              <w:rPr>
                <w:rFonts w:ascii="Arial" w:cs="Arial" w:eastAsia="Arial" w:hAnsi="Arial"/>
                <w:sz w:val="16"/>
                <w:szCs w:val="16"/>
                <w:b w:val="1"/>
                <w:bCs w:val="1"/>
                <w:color w:val="auto"/>
                <w:w w:val="91"/>
              </w:rPr>
              <w:t>1626 East Jefferson Street, Rockville, Maryland 20852</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80" w:type="dxa"/>
            <w:vAlign w:val="bottom"/>
            <w:gridSpan w:val="4"/>
          </w:tcPr>
          <w:p>
            <w:pPr>
              <w:jc w:val="center"/>
              <w:ind w:left="825"/>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4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3"/>
              </w:rPr>
              <w:t>(301) 998-8100</w:t>
            </w:r>
          </w:p>
        </w:tc>
        <w:tc>
          <w:tcPr>
            <w:tcW w:w="1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80" w:type="dxa"/>
            <w:vAlign w:val="bottom"/>
            <w:gridSpan w:val="4"/>
          </w:tcPr>
          <w:p>
            <w:pPr>
              <w:jc w:val="center"/>
              <w:ind w:left="78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92"/>
              </w:rPr>
              <w:t>Trading Symbol</w:t>
            </w:r>
          </w:p>
        </w:tc>
        <w:tc>
          <w:tcPr>
            <w:tcW w:w="3220" w:type="dxa"/>
            <w:vAlign w:val="bottom"/>
          </w:tcPr>
          <w:p>
            <w:pP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20" w:type="dxa"/>
            <w:vAlign w:val="bottom"/>
            <w:gridSpan w:val="3"/>
          </w:tcPr>
          <w:p>
            <w:pPr>
              <w:jc w:val="center"/>
              <w:ind w:right="265"/>
              <w:spacing w:after="0"/>
              <w:rPr>
                <w:sz w:val="20"/>
                <w:szCs w:val="20"/>
                <w:color w:val="auto"/>
              </w:rPr>
            </w:pPr>
            <w:r>
              <w:rPr>
                <w:rFonts w:ascii="Arial" w:cs="Arial" w:eastAsia="Arial" w:hAnsi="Arial"/>
                <w:sz w:val="16"/>
                <w:szCs w:val="16"/>
                <w:color w:val="auto"/>
                <w:w w:val="92"/>
              </w:rPr>
              <w:t>Common Shares of Beneficial Interest</w:t>
            </w:r>
          </w:p>
        </w:tc>
        <w:tc>
          <w:tcPr>
            <w:tcW w:w="3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47"/>
        </w:trPr>
        <w:tc>
          <w:tcPr>
            <w:tcW w:w="4620" w:type="dxa"/>
            <w:vAlign w:val="bottom"/>
            <w:gridSpan w:val="3"/>
          </w:tcPr>
          <w:p>
            <w:pPr>
              <w:jc w:val="center"/>
              <w:ind w:right="245"/>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3120" w:type="dxa"/>
            <w:vAlign w:val="bottom"/>
            <w:gridSpan w:val="2"/>
          </w:tcPr>
          <w:p>
            <w:pPr>
              <w:jc w:val="center"/>
              <w:ind w:right="1745"/>
              <w:spacing w:after="0"/>
              <w:rPr>
                <w:sz w:val="20"/>
                <w:szCs w:val="20"/>
                <w:color w:val="auto"/>
              </w:rPr>
            </w:pPr>
            <w:r>
              <w:rPr>
                <w:rFonts w:ascii="Arial" w:cs="Arial" w:eastAsia="Arial" w:hAnsi="Arial"/>
                <w:sz w:val="16"/>
                <w:szCs w:val="16"/>
                <w:color w:val="auto"/>
                <w:w w:val="92"/>
              </w:rPr>
              <w:t>Rights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4620" w:type="dxa"/>
            <w:vAlign w:val="bottom"/>
            <w:gridSpan w:val="3"/>
          </w:tcPr>
          <w:p>
            <w:pPr>
              <w:jc w:val="center"/>
              <w:ind w:right="265"/>
              <w:spacing w:after="0"/>
              <w:rPr>
                <w:sz w:val="20"/>
                <w:szCs w:val="20"/>
                <w:color w:val="auto"/>
              </w:rPr>
            </w:pPr>
            <w:r>
              <w:rPr>
                <w:rFonts w:ascii="Arial" w:cs="Arial" w:eastAsia="Arial" w:hAnsi="Arial"/>
                <w:sz w:val="16"/>
                <w:szCs w:val="16"/>
                <w:color w:val="auto"/>
                <w:w w:val="89"/>
              </w:rPr>
              <w:t>Depositary Shares, each representing 1/1000 of a share</w:t>
            </w:r>
          </w:p>
        </w:tc>
        <w:tc>
          <w:tcPr>
            <w:tcW w:w="3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FRT-C</w:t>
            </w:r>
          </w:p>
        </w:tc>
        <w:tc>
          <w:tcPr>
            <w:tcW w:w="3220" w:type="dxa"/>
            <w:vAlign w:val="bottom"/>
          </w:tcPr>
          <w:p>
            <w:pPr>
              <w:ind w:left="74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64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480"/>
        <w:spacing w:after="0"/>
        <w:rPr>
          <w:sz w:val="20"/>
          <w:szCs w:val="20"/>
          <w:color w:val="auto"/>
        </w:rPr>
      </w:pPr>
      <w:r>
        <w:rPr>
          <w:rFonts w:ascii="Arial" w:cs="Arial" w:eastAsia="Arial" w:hAnsi="Arial"/>
          <w:sz w:val="16"/>
          <w:szCs w:val="16"/>
          <w:color w:val="auto"/>
        </w:rPr>
        <w:t>value per share</w:t>
      </w:r>
    </w:p>
    <w:p>
      <w:pPr>
        <w:spacing w:after="0" w:line="177"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Arial" w:cs="Arial" w:eastAsia="Arial" w:hAnsi="Arial"/>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46" w:lineRule="exact"/>
        <w:rPr>
          <w:sz w:val="24"/>
          <w:szCs w:val="24"/>
          <w:color w:val="auto"/>
        </w:rPr>
      </w:pPr>
    </w:p>
    <w:p>
      <w:pPr>
        <w:spacing w:after="0" w:line="221" w:lineRule="exact"/>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and posted pursuant to Rule 405 of Regulation S-T (</w:t>
      </w:r>
      <w:r>
        <w:rPr>
          <w:rFonts w:ascii="Arial" w:cs="Arial" w:eastAsia="Arial" w:hAnsi="Arial"/>
          <w:sz w:val="17"/>
          <w:szCs w:val="17"/>
          <w:color w:val="auto"/>
        </w:rPr>
        <w:t>§232.405 of this chapter)</w:t>
      </w:r>
      <w:r>
        <w:rPr>
          <w:rFonts w:ascii="Arial" w:cs="Arial" w:eastAsia="Arial" w:hAnsi="Arial"/>
          <w:sz w:val="15"/>
          <w:szCs w:val="15"/>
          <w:color w:val="auto"/>
        </w:rPr>
        <w:t xml:space="preserve">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14"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4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513"/>
        </w:trPr>
        <w:tc>
          <w:tcPr>
            <w:tcW w:w="200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42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513"/>
        </w:trPr>
        <w:tc>
          <w:tcPr>
            <w:tcW w:w="2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8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56"/>
        </w:trPr>
        <w:tc>
          <w:tcPr>
            <w:tcW w:w="10800" w:type="dxa"/>
            <w:vAlign w:val="bottom"/>
            <w:gridSpan w:val="3"/>
          </w:tcPr>
          <w:p>
            <w:pPr>
              <w:ind w:left="40"/>
              <w:spacing w:after="0"/>
              <w:rPr>
                <w:sz w:val="20"/>
                <w:szCs w:val="20"/>
                <w:color w:val="auto"/>
              </w:rPr>
            </w:pPr>
            <w:r>
              <w:rPr>
                <w:rFonts w:ascii="Arial" w:cs="Arial" w:eastAsia="Arial" w:hAnsi="Arial"/>
                <w:sz w:val="16"/>
                <w:szCs w:val="16"/>
                <w:color w:val="auto"/>
                <w:w w:val="94"/>
              </w:rPr>
              <w:t>If an emerging growth company, indicate by checkmark if the registrant has elected not use the extended transition period for complying with any new or revised</w:t>
            </w:r>
          </w:p>
        </w:tc>
        <w:tc>
          <w:tcPr>
            <w:tcW w:w="4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1"/>
        </w:trPr>
        <w:tc>
          <w:tcPr>
            <w:tcW w:w="6420" w:type="dxa"/>
            <w:vAlign w:val="bottom"/>
            <w:gridSpan w:val="2"/>
          </w:tcPr>
          <w:p>
            <w:pPr>
              <w:ind w:left="4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43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10800" w:type="dxa"/>
            <w:vAlign w:val="bottom"/>
            <w:gridSpan w:val="3"/>
          </w:tcPr>
          <w:p>
            <w:pPr>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21"/>
                <w:szCs w:val="21"/>
                <w:color w:val="auto"/>
              </w:rPr>
              <w:t>☒</w:t>
            </w:r>
            <w:r>
              <w:rPr>
                <w:rFonts w:ascii="Arial" w:cs="Arial" w:eastAsia="Arial" w:hAnsi="Arial"/>
                <w:sz w:val="16"/>
                <w:szCs w:val="16"/>
                <w:color w:val="auto"/>
              </w:rPr>
              <w:t xml:space="preserve"> No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Registrant’s common shares outstanding on July 29, 2019 was 74,954,462.</w:t>
      </w:r>
    </w:p>
    <w:p>
      <w:pPr>
        <w:sectPr>
          <w:pgSz w:w="11900" w:h="16838" w:orient="portrait"/>
          <w:cols w:equalWidth="0" w:num="1">
            <w:col w:w="11340"/>
          </w:cols>
          <w:pgMar w:left="240" w:top="23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6"/>
              </w:rPr>
              <w:t>QUARTER ENDED JUNE 30, 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Balance Sheets as of June 30, 2019 (unaudited) and December 31,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7"/>
              </w:rPr>
              <w:t>Consolidated Statements of Comprehensive Income (unaudited) for the three and six months ended June 30,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9"/>
              </w:rPr>
              <w:t>Consolidated Statements of Shareholders' Equity (unaudited) for the three and six months ended June 30,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2019 and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574"/>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76"/>
        </w:trPr>
        <w:tc>
          <w:tcPr>
            <w:tcW w:w="8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2"/>
        </w:trPr>
        <w:tc>
          <w:tcPr>
            <w:tcW w:w="8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4"/>
          </w:tcPr>
          <w:p>
            <w:pPr>
              <w:jc w:val="right"/>
              <w:ind w:right="91"/>
              <w:spacing w:after="0" w:line="153"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6"/>
        </w:trPr>
        <w:tc>
          <w:tcPr>
            <w:tcW w:w="8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6"/>
        </w:trPr>
        <w:tc>
          <w:tcPr>
            <w:tcW w:w="8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8"/>
              </w:rPr>
              <w:t>Operating (including $1,703,069 and $1,701,804 of consolidated variable interest entities, 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7,293,212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7,307,622</w:t>
            </w:r>
          </w:p>
        </w:tc>
        <w:tc>
          <w:tcPr>
            <w:tcW w:w="0" w:type="dxa"/>
            <w:vAlign w:val="bottom"/>
          </w:tcPr>
          <w:p>
            <w:pPr>
              <w:spacing w:after="0"/>
              <w:rPr>
                <w:sz w:val="1"/>
                <w:szCs w:val="1"/>
                <w:color w:val="auto"/>
              </w:rPr>
            </w:pPr>
          </w:p>
        </w:tc>
      </w:tr>
      <w:tr>
        <w:trPr>
          <w:trHeight w:val="229"/>
        </w:trPr>
        <w:tc>
          <w:tcPr>
            <w:tcW w:w="8780" w:type="dxa"/>
            <w:vAlign w:val="bottom"/>
          </w:tcPr>
          <w:p>
            <w:pPr>
              <w:ind w:left="700"/>
              <w:spacing w:after="0"/>
              <w:rPr>
                <w:sz w:val="20"/>
                <w:szCs w:val="20"/>
                <w:color w:val="auto"/>
              </w:rPr>
            </w:pPr>
            <w:r>
              <w:rPr>
                <w:rFonts w:ascii="Arial" w:cs="Arial" w:eastAsia="Arial" w:hAnsi="Arial"/>
                <w:sz w:val="18"/>
                <w:szCs w:val="18"/>
                <w:color w:val="auto"/>
              </w:rPr>
              <w:t>Construction-in-progress (including $78,633 and $51,313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575,229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495,274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7,874,379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7,819,472</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Less accumulated depreciation and amortization (including $312,416 and $292,374 of consolidated variable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(2,059,143)</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5,726,369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5,760,329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138,870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142,237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Investment in partnerships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26,859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Finance lease right of use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53,044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265,703</w:t>
            </w:r>
          </w:p>
        </w:tc>
        <w:tc>
          <w:tcPr>
            <w:tcW w:w="0" w:type="dxa"/>
            <w:vAlign w:val="bottom"/>
          </w:tcPr>
          <w:p>
            <w:pPr>
              <w:spacing w:after="0"/>
              <w:rPr>
                <w:sz w:val="1"/>
                <w:szCs w:val="1"/>
                <w:color w:val="auto"/>
              </w:rPr>
            </w:pP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6,383,741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Mortgages payable, net (including $441,469 and $444,388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450,883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474,379</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71,519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Notes payable,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279,027</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2,702,737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2,404,279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177,922</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78,207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Security deposits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Finance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157,524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182,898</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3,738,385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3,686,106</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136,208</w:t>
            </w:r>
          </w:p>
        </w:tc>
        <w:tc>
          <w:tcPr>
            <w:tcW w:w="0" w:type="dxa"/>
            <w:vAlign w:val="bottom"/>
          </w:tcPr>
          <w:p>
            <w:pPr>
              <w:spacing w:after="0"/>
              <w:rPr>
                <w:sz w:val="1"/>
                <w:szCs w:val="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80" w:type="dxa"/>
            <w:vAlign w:val="bottom"/>
          </w:tcPr>
          <w:p>
            <w:pPr>
              <w:ind w:left="820"/>
              <w:spacing w:after="0"/>
              <w:rPr>
                <w:sz w:val="20"/>
                <w:szCs w:val="20"/>
                <w:color w:val="auto"/>
              </w:rPr>
            </w:pPr>
            <w:r>
              <w:rPr>
                <w:rFonts w:ascii="Arial" w:cs="Arial" w:eastAsia="Arial" w:hAnsi="Arial"/>
                <w:sz w:val="18"/>
                <w:szCs w:val="18"/>
                <w:color w:val="auto"/>
                <w:w w:val="89"/>
              </w:rPr>
              <w:t>5.0% Series C Cumulative Redeemable Preferred Shares, (stated at liquidation preference $25,000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820"/>
              <w:spacing w:after="0"/>
              <w:rPr>
                <w:sz w:val="20"/>
                <w:szCs w:val="20"/>
                <w:color w:val="auto"/>
              </w:rPr>
            </w:pPr>
            <w:r>
              <w:rPr>
                <w:rFonts w:ascii="Arial" w:cs="Arial" w:eastAsia="Arial" w:hAnsi="Arial"/>
                <w:sz w:val="18"/>
                <w:szCs w:val="18"/>
                <w:color w:val="auto"/>
              </w:rPr>
              <w:t>6,000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5.417% Series 1 Cumulative Convertible Preferred Shares, (stated at liquidation preference $25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780" w:type="dxa"/>
            <w:vAlign w:val="bottom"/>
          </w:tcPr>
          <w:p>
            <w:pPr>
              <w:ind w:left="700"/>
              <w:spacing w:after="0"/>
              <w:rPr>
                <w:sz w:val="20"/>
                <w:szCs w:val="20"/>
                <w:color w:val="auto"/>
              </w:rPr>
            </w:pPr>
            <w:r>
              <w:rPr>
                <w:rFonts w:ascii="Arial" w:cs="Arial" w:eastAsia="Arial" w:hAnsi="Arial"/>
                <w:sz w:val="18"/>
                <w:szCs w:val="18"/>
                <w:color w:val="auto"/>
                <w:w w:val="93"/>
              </w:rPr>
              <w:t>Common shares of beneficial interest, $.01 par, 100,000,000 shares authorized, 74,950,197 and 74,249,633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3,088,946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3,004,442</w:t>
            </w:r>
          </w:p>
        </w:tc>
        <w:tc>
          <w:tcPr>
            <w:tcW w:w="0" w:type="dxa"/>
            <w:vAlign w:val="bottom"/>
          </w:tcPr>
          <w:p>
            <w:pPr>
              <w:spacing w:after="0"/>
              <w:rPr>
                <w:sz w:val="1"/>
                <w:szCs w:val="1"/>
                <w:color w:val="auto"/>
              </w:rPr>
            </w:pPr>
          </w:p>
        </w:tc>
      </w:tr>
      <w:tr>
        <w:trPr>
          <w:trHeight w:val="243"/>
        </w:trPr>
        <w:tc>
          <w:tcPr>
            <w:tcW w:w="8780" w:type="dxa"/>
            <w:vAlign w:val="bottom"/>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(818,877)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2,407,166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2,345,891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103,480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121,439</w:t>
            </w:r>
          </w:p>
        </w:tc>
        <w:tc>
          <w:tcPr>
            <w:tcW w:w="0" w:type="dxa"/>
            <w:vAlign w:val="bottom"/>
          </w:tcPr>
          <w:p>
            <w:pPr>
              <w:spacing w:after="0"/>
              <w:rPr>
                <w:sz w:val="1"/>
                <w:szCs w:val="1"/>
                <w:color w:val="auto"/>
              </w:rPr>
            </w:pP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2,510,646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2,467,330</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6,383,741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6,289,644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8"/>
                <w:szCs w:val="18"/>
                <w:color w:val="auto"/>
                <w:w w:val="93"/>
              </w:rPr>
              <w:t>The accompanying notes are an integral part of these consolidated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7"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6" w:right="259" w:bottom="17"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Rental income</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229,731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224,168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461,223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448,816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37"/>
        </w:trPr>
        <w:tc>
          <w:tcPr>
            <w:tcW w:w="530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230,465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224,902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462,692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450,307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41,438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39,905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85,698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84,678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56,755</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16,342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59,057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116,491</w:t>
            </w:r>
          </w:p>
        </w:tc>
        <w:tc>
          <w:tcPr>
            <w:tcW w:w="0" w:type="dxa"/>
            <w:vAlign w:val="bottom"/>
          </w:tcPr>
          <w:p>
            <w:pPr>
              <w:spacing w:after="0"/>
              <w:rPr>
                <w:sz w:val="1"/>
                <w:szCs w:val="1"/>
                <w:color w:val="auto"/>
              </w:rPr>
            </w:pPr>
          </w:p>
        </w:tc>
      </w:tr>
      <w:tr>
        <w:trPr>
          <w:trHeight w:val="237"/>
        </w:trPr>
        <w:tc>
          <w:tcPr>
            <w:tcW w:w="53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137,083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135,006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278,217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274,266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40"/>
              <w:spacing w:after="0"/>
              <w:rPr>
                <w:sz w:val="20"/>
                <w:szCs w:val="20"/>
                <w:color w:val="auto"/>
              </w:rPr>
            </w:pPr>
            <w:r>
              <w:rPr>
                <w:rFonts w:ascii="Arial" w:cs="Arial" w:eastAsia="Arial" w:hAnsi="Arial"/>
                <w:sz w:val="18"/>
                <w:szCs w:val="18"/>
                <w:color w:val="auto"/>
              </w:rPr>
              <w:t>Gain on sale of real estate, net of tax</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16,197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109,579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93,868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200,672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183,329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OTHER INCOME/(EXPENSE)</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interest income</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53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(53,950)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partnerships</w:t>
            </w: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82,667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65,533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128,464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80,902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63,595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141,046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124,842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7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78,891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61,584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137,025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120,821</w:t>
            </w:r>
          </w:p>
        </w:tc>
        <w:tc>
          <w:tcPr>
            <w:tcW w:w="0" w:type="dxa"/>
            <w:vAlign w:val="bottom"/>
          </w:tcPr>
          <w:p>
            <w:pPr>
              <w:spacing w:after="0"/>
              <w:rPr>
                <w:sz w:val="1"/>
                <w:szCs w:val="1"/>
                <w:color w:val="auto"/>
              </w:rPr>
            </w:pPr>
          </w:p>
        </w:tc>
      </w:tr>
      <w:tr>
        <w:trPr>
          <w:trHeight w:val="67"/>
        </w:trPr>
        <w:tc>
          <w:tcPr>
            <w:tcW w:w="53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BASIC:</w:t>
            </w:r>
          </w:p>
        </w:tc>
        <w:tc>
          <w:tcPr>
            <w:tcW w:w="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67"/>
        </w:trPr>
        <w:tc>
          <w:tcPr>
            <w:tcW w:w="53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72,948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DILUTED:</w:t>
            </w: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for common shareholders</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74,713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74,458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72,997</w:t>
            </w:r>
          </w:p>
        </w:tc>
        <w:tc>
          <w:tcPr>
            <w:tcW w:w="0" w:type="dxa"/>
            <w:vAlign w:val="bottom"/>
          </w:tcPr>
          <w:p>
            <w:pPr>
              <w:spacing w:after="0"/>
              <w:rPr>
                <w:sz w:val="1"/>
                <w:szCs w:val="1"/>
                <w:color w:val="auto"/>
              </w:rPr>
            </w:pPr>
          </w:p>
        </w:tc>
      </w:tr>
      <w:tr>
        <w:trPr>
          <w:trHeight w:val="67"/>
        </w:trPr>
        <w:tc>
          <w:tcPr>
            <w:tcW w:w="53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82,268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65,456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143,862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128,854</w:t>
            </w:r>
          </w:p>
        </w:tc>
        <w:tc>
          <w:tcPr>
            <w:tcW w:w="0" w:type="dxa"/>
            <w:vAlign w:val="bottom"/>
          </w:tcPr>
          <w:p>
            <w:pPr>
              <w:spacing w:after="0"/>
              <w:rPr>
                <w:sz w:val="1"/>
                <w:szCs w:val="1"/>
                <w:color w:val="auto"/>
              </w:rPr>
            </w:pPr>
          </w:p>
        </w:tc>
      </w:tr>
      <w:tr>
        <w:trPr>
          <w:trHeight w:val="67"/>
        </w:trPr>
        <w:tc>
          <w:tcPr>
            <w:tcW w:w="53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COMPREHENSIVE INCOME ATTRIBUTABLE TO THE TRUST</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80,503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63,518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140,438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125,232</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8"/>
          </w:tcPr>
          <w:p>
            <w:pPr>
              <w:jc w:val="center"/>
              <w:ind w:left="24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00" w:type="dxa"/>
            <w:vAlign w:val="bottom"/>
          </w:tcPr>
          <w:p>
            <w:pPr>
              <w:spacing w:after="0"/>
              <w:rPr>
                <w:sz w:val="24"/>
                <w:szCs w:val="24"/>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Three and Six Months Ended June 30, 2019</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BALANCE AT DECEMBER 31, 2018</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January 1, 2019 adoption of new accounting standard - See Note 2</w:t>
      </w:r>
    </w:p>
    <w:p>
      <w:pPr>
        <w:spacing w:after="0" w:line="12" w:lineRule="exact"/>
        <w:rPr>
          <w:sz w:val="20"/>
          <w:szCs w:val="20"/>
          <w:color w:val="auto"/>
        </w:rPr>
      </w:pPr>
    </w:p>
    <w:p>
      <w:pPr>
        <w:ind w:left="40" w:right="320"/>
        <w:spacing w:after="0" w:line="253" w:lineRule="auto"/>
        <w:rPr>
          <w:sz w:val="20"/>
          <w:szCs w:val="20"/>
          <w:color w:val="auto"/>
        </w:rPr>
      </w:pPr>
      <w:r>
        <w:rPr>
          <w:rFonts w:ascii="Arial" w:cs="Arial" w:eastAsia="Arial" w:hAnsi="Arial"/>
          <w:sz w:val="14"/>
          <w:szCs w:val="14"/>
          <w:color w:val="auto"/>
          <w:shd w:val="clear" w:color="auto" w:fill="CCEEFF"/>
        </w:rPr>
        <w:t>Net income, excluding $1,783 attributable to redeemable noncontrolling interests</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Other comprehensive loss - change in fair value of interest rate swaps</w:t>
      </w:r>
    </w:p>
    <w:p>
      <w:pPr>
        <w:spacing w:after="0" w:line="12" w:lineRule="exact"/>
        <w:rPr>
          <w:sz w:val="20"/>
          <w:szCs w:val="20"/>
          <w:color w:val="auto"/>
        </w:rPr>
      </w:pPr>
    </w:p>
    <w:p>
      <w:pPr>
        <w:ind w:left="40" w:right="340"/>
        <w:spacing w:after="0" w:line="253" w:lineRule="auto"/>
        <w:rPr>
          <w:sz w:val="20"/>
          <w:szCs w:val="20"/>
          <w:color w:val="auto"/>
        </w:rPr>
      </w:pPr>
      <w:r>
        <w:rPr>
          <w:rFonts w:ascii="Arial" w:cs="Arial" w:eastAsia="Arial" w:hAnsi="Arial"/>
          <w:sz w:val="14"/>
          <w:szCs w:val="14"/>
          <w:color w:val="auto"/>
          <w:shd w:val="clear" w:color="auto" w:fill="CCEEFF"/>
        </w:rPr>
        <w:t>Dividends declared to common shareholders ($2.04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shd w:val="clear" w:color="auto" w:fill="CCEEFF"/>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46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right="620"/>
        <w:spacing w:after="0" w:line="433" w:lineRule="auto"/>
        <w:rPr>
          <w:sz w:val="20"/>
          <w:szCs w:val="20"/>
          <w:color w:val="auto"/>
        </w:rPr>
      </w:pPr>
      <w:r>
        <w:rPr>
          <w:rFonts w:ascii="Arial" w:cs="Arial" w:eastAsia="Arial" w:hAnsi="Arial"/>
          <w:sz w:val="13"/>
          <w:szCs w:val="13"/>
          <w:color w:val="auto"/>
        </w:rPr>
        <w:t>Shares withheld for employee taxes Conversion and redemption of OP units</w:t>
      </w:r>
    </w:p>
    <w:p>
      <w:pPr>
        <w:spacing w:after="0" w:line="1" w:lineRule="exact"/>
        <w:rPr>
          <w:sz w:val="20"/>
          <w:szCs w:val="20"/>
          <w:color w:val="auto"/>
        </w:rPr>
      </w:pPr>
    </w:p>
    <w:p>
      <w:pPr>
        <w:ind w:left="40" w:right="500"/>
        <w:spacing w:after="0" w:line="253" w:lineRule="auto"/>
        <w:rPr>
          <w:sz w:val="20"/>
          <w:szCs w:val="20"/>
          <w:color w:val="auto"/>
        </w:rPr>
      </w:pPr>
      <w:r>
        <w:rPr>
          <w:rFonts w:ascii="Arial" w:cs="Arial" w:eastAsia="Arial" w:hAnsi="Arial"/>
          <w:sz w:val="14"/>
          <w:szCs w:val="14"/>
          <w:color w:val="auto"/>
          <w:shd w:val="clear" w:color="auto" w:fill="CCEEFF"/>
        </w:rPr>
        <w:t>Adjustment to redeemable noncontrolling interests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2019</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w w:val="97"/>
              </w:rPr>
              <w:t>Shareholders’ Equity of the Trust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166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7"/>
          </w:tcPr>
          <w:p>
            <w:pPr>
              <w:ind w:left="340"/>
              <w:spacing w:after="0"/>
              <w:rPr>
                <w:sz w:val="20"/>
                <w:szCs w:val="20"/>
                <w:color w:val="auto"/>
              </w:rPr>
            </w:pPr>
            <w:r>
              <w:rPr>
                <w:rFonts w:ascii="Arial" w:cs="Arial" w:eastAsia="Arial" w:hAnsi="Arial"/>
                <w:sz w:val="14"/>
                <w:szCs w:val="14"/>
                <w:b w:val="1"/>
                <w:bCs w:val="1"/>
                <w:color w:val="auto"/>
                <w:w w:val="94"/>
              </w:rPr>
              <w:t>(In thousands, except share data)</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74,249,633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w w:val="96"/>
              </w:rPr>
              <w:t>$3,004,442</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(818,877)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121,439</w:t>
            </w:r>
          </w:p>
        </w:tc>
        <w:tc>
          <w:tcPr>
            <w:tcW w:w="1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2,467,330</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(7,098)</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141,046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142,687</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(152,555)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(152,555)</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511,954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68,299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68,304</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102,137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6,991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6,992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(32,900)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(4,442)</w:t>
            </w:r>
          </w:p>
        </w:tc>
        <w:tc>
          <w:tcPr>
            <w:tcW w:w="0" w:type="dxa"/>
            <w:vAlign w:val="bottom"/>
          </w:tcPr>
          <w:p>
            <w:pPr>
              <w:spacing w:after="0"/>
              <w:rPr>
                <w:sz w:val="1"/>
                <w:szCs w:val="1"/>
                <w:color w:val="auto"/>
              </w:rPr>
            </w:pP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111,252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7"/>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74,950,197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$3,088,946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(841,505)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103,480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2,510,646</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-2726690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-2331720</wp:posOffset>
            </wp:positionV>
            <wp:extent cx="724662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-1885950</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-1491615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-1148715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-753745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-410845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40"/>
            <w:col w:w="8440"/>
          </w:cols>
          <w:pgMar w:left="240" w:top="126" w:right="239" w:bottom="1440" w:gutter="0" w:footer="0" w:header="0"/>
          <w:type w:val="continuous"/>
        </w:sectPr>
      </w:pP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MARCH 31, 2019</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3"/>
              </w:rPr>
              <w:t>$ 159,997</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6"/>
              </w:rPr>
              <w:t>74,836,984</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$3,071,981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(843,947)</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113,405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2,501,563</w:t>
            </w:r>
          </w:p>
        </w:tc>
        <w:tc>
          <w:tcPr>
            <w:tcW w:w="0" w:type="dxa"/>
            <w:vAlign w:val="bottom"/>
          </w:tcPr>
          <w:p>
            <w:pPr>
              <w:spacing w:after="0"/>
              <w:rPr>
                <w:sz w:val="1"/>
                <w:szCs w:val="1"/>
                <w:color w:val="auto"/>
              </w:rPr>
            </w:pPr>
          </w:p>
        </w:tc>
      </w:tr>
      <w:tr>
        <w:trPr>
          <w:trHeight w:val="68"/>
        </w:trPr>
        <w:tc>
          <w:tcPr>
            <w:tcW w:w="29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rPr>
              <w:t>Net income, excluding $907 attributable to</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80,902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81,760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loss - change in fair value of</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rPr>
              <w:t>Dividends declared to common shareholders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40"/>
              <w:spacing w:after="0"/>
              <w:rPr>
                <w:sz w:val="20"/>
                <w:szCs w:val="20"/>
                <w:color w:val="auto"/>
              </w:rPr>
            </w:pPr>
            <w:r>
              <w:rPr>
                <w:rFonts w:ascii="Arial" w:cs="Arial" w:eastAsia="Arial" w:hAnsi="Arial"/>
                <w:sz w:val="14"/>
                <w:szCs w:val="14"/>
                <w:color w:val="auto"/>
              </w:rPr>
              <w:t>($1.02 per share)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(76,449)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(76,449)</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w w:val="97"/>
              </w:rPr>
              <w:t>Distributions declared to noncontrolling interests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(6,398)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 net</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65,822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8,951</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w w:val="97"/>
              </w:rPr>
              <w:t>Shares issued under dividend reinvestment plan</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3,848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 net of</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Shares withheld for employee taxes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and redemption of OP units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42,206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40"/>
              <w:spacing w:after="0"/>
              <w:rPr>
                <w:sz w:val="20"/>
                <w:szCs w:val="20"/>
                <w:color w:val="auto"/>
              </w:rPr>
            </w:pPr>
            <w:r>
              <w:rPr>
                <w:rFonts w:ascii="Arial" w:cs="Arial" w:eastAsia="Arial" w:hAnsi="Arial"/>
                <w:sz w:val="14"/>
                <w:szCs w:val="14"/>
                <w:color w:val="auto"/>
              </w:rPr>
              <w:t>BALANCE AT JUNE 30, 2019</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14"/>
                <w:szCs w:val="14"/>
                <w:color w:val="auto"/>
              </w:rPr>
            </w:pP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3"/>
              </w:rPr>
              <w:t>$ 159,997</w:t>
            </w:r>
          </w:p>
        </w:tc>
        <w:tc>
          <w:tcPr>
            <w:tcW w:w="120" w:type="dxa"/>
            <w:vAlign w:val="bottom"/>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6"/>
              </w:rPr>
              <w:t>74,950,197</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6"/>
              </w:rPr>
              <w:t>$3,088,946</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(841,505)</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103,480</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2,510,646</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Shareholders’ Equity of the Trust</w:t>
            </w: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6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2980" w:type="dxa"/>
            <w:vAlign w:val="bottom"/>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Dividends in</w:t>
            </w:r>
          </w:p>
        </w:tc>
        <w:tc>
          <w:tcPr>
            <w:tcW w:w="140" w:type="dxa"/>
            <w:vAlign w:val="bottom"/>
          </w:tcPr>
          <w:p>
            <w:pPr>
              <w:spacing w:after="0"/>
              <w:rPr>
                <w:sz w:val="13"/>
                <w:szCs w:val="13"/>
                <w:color w:val="auto"/>
              </w:rPr>
            </w:pPr>
          </w:p>
        </w:tc>
        <w:tc>
          <w:tcPr>
            <w:tcW w:w="9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3"/>
              </w:rPr>
              <w:t>Excess of Net</w:t>
            </w: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14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Noncontrolling</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5"/>
              </w:rPr>
              <w:t>Interests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gridSpan w:val="3"/>
          </w:tcPr>
          <w:p>
            <w:pPr>
              <w:ind w:left="660"/>
              <w:spacing w:after="0"/>
              <w:rPr>
                <w:sz w:val="20"/>
                <w:szCs w:val="20"/>
                <w:color w:val="auto"/>
              </w:rPr>
            </w:pPr>
            <w:r>
              <w:rPr>
                <w:rFonts w:ascii="Arial" w:cs="Arial" w:eastAsia="Arial" w:hAnsi="Arial"/>
                <w:sz w:val="14"/>
                <w:szCs w:val="14"/>
                <w:b w:val="1"/>
                <w:bCs w:val="1"/>
                <w:color w:val="auto"/>
                <w:w w:val="92"/>
              </w:rPr>
              <w:t>(In thousands, except share data)</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405,896</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$ 159,997</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73,090,877</w:t>
            </w: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733</w:t>
            </w:r>
          </w:p>
        </w:tc>
        <w:tc>
          <w:tcPr>
            <w:tcW w:w="9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$2,855,321</w:t>
            </w:r>
          </w:p>
        </w:tc>
        <w:tc>
          <w:tcPr>
            <w:tcW w:w="1000" w:type="dxa"/>
            <w:vAlign w:val="bottom"/>
            <w:vMerge w:val="restart"/>
            <w:shd w:val="clear" w:color="auto" w:fill="CCEEFF"/>
          </w:tcPr>
          <w:p>
            <w:pPr>
              <w:jc w:val="center"/>
              <w:ind w:right="9"/>
              <w:spacing w:after="0"/>
              <w:rPr>
                <w:sz w:val="20"/>
                <w:szCs w:val="20"/>
                <w:color w:val="auto"/>
              </w:rPr>
            </w:pPr>
            <w:r>
              <w:rPr>
                <w:rFonts w:ascii="Arial" w:cs="Arial" w:eastAsia="Arial" w:hAnsi="Arial"/>
                <w:sz w:val="14"/>
                <w:szCs w:val="14"/>
                <w:color w:val="auto"/>
              </w:rPr>
              <w:t>$   (749,367)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28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124,808</w:t>
            </w: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  2,391,514</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6" w:right="239" w:bottom="1440" w:gutter="0" w:footer="0" w:header="0"/>
        </w:sectPr>
      </w:pPr>
    </w:p>
    <w:p>
      <w:pPr>
        <w:ind w:left="40" w:right="280"/>
        <w:spacing w:after="0" w:line="253" w:lineRule="auto"/>
        <w:rPr>
          <w:sz w:val="20"/>
          <w:szCs w:val="20"/>
          <w:color w:val="auto"/>
        </w:rPr>
      </w:pPr>
      <w:r>
        <w:rPr>
          <w:rFonts w:ascii="Arial" w:cs="Arial" w:eastAsia="Arial" w:hAnsi="Arial"/>
          <w:sz w:val="14"/>
          <w:szCs w:val="14"/>
          <w:color w:val="auto"/>
        </w:rPr>
        <w:t>January 1, 2018 adoption of new accounting standard</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Net income, excluding $1,998 attributable to redeemable noncontrolling interests</w:t>
      </w:r>
    </w:p>
    <w:p>
      <w:pPr>
        <w:spacing w:after="0" w:line="12" w:lineRule="exact"/>
        <w:rPr>
          <w:sz w:val="20"/>
          <w:szCs w:val="20"/>
          <w:color w:val="auto"/>
        </w:rPr>
      </w:pPr>
    </w:p>
    <w:p>
      <w:pPr>
        <w:ind w:left="40" w:right="220"/>
        <w:spacing w:after="0" w:line="253" w:lineRule="auto"/>
        <w:rPr>
          <w:sz w:val="20"/>
          <w:szCs w:val="20"/>
          <w:color w:val="auto"/>
        </w:rPr>
      </w:pPr>
      <w:r>
        <w:rPr>
          <w:rFonts w:ascii="Arial" w:cs="Arial" w:eastAsia="Arial" w:hAnsi="Arial"/>
          <w:sz w:val="14"/>
          <w:szCs w:val="14"/>
          <w:color w:val="auto"/>
        </w:rPr>
        <w:t>Other comprehensive income - change in fair value of interest rate swaps</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Dividends declared to common shareholders ($2.00 per share)</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to preferred shareholders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Distributions declared to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Common shares issued,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Shares issued under dividend reinvestment plan</w:t>
      </w:r>
    </w:p>
    <w:p>
      <w:pPr>
        <w:spacing w:after="0" w:line="121" w:lineRule="exact"/>
        <w:rPr>
          <w:sz w:val="20"/>
          <w:szCs w:val="20"/>
          <w:color w:val="auto"/>
        </w:rPr>
      </w:pPr>
    </w:p>
    <w:p>
      <w:pPr>
        <w:ind w:left="40" w:right="380"/>
        <w:spacing w:after="0" w:line="253" w:lineRule="auto"/>
        <w:rPr>
          <w:sz w:val="20"/>
          <w:szCs w:val="20"/>
          <w:color w:val="auto"/>
        </w:rPr>
      </w:pPr>
      <w:r>
        <w:rPr>
          <w:rFonts w:ascii="Arial" w:cs="Arial" w:eastAsia="Arial" w:hAnsi="Arial"/>
          <w:sz w:val="14"/>
          <w:szCs w:val="14"/>
          <w:color w:val="auto"/>
        </w:rPr>
        <w:t>Share-based compensation expense, net of forfeitures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Shares withheld for employee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Redemption of OP units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Contributions from noncontrolling interests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30, 2018</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(6,028)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(6,028)</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124,842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1,624</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126,466</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390</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(146,399)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(146,399)</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(4,021)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(4,021)</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(2,767)</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(2,767)</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148,614</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18,318</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18,320</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93,593</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4,040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4,041</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9,292</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1,086</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1,086</w:t>
            </w:r>
          </w:p>
        </w:tc>
      </w:tr>
      <w:tr>
        <w:trPr>
          <w:trHeight w:val="351"/>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99,574</w:t>
            </w:r>
          </w:p>
        </w:tc>
        <w:tc>
          <w:tcPr>
            <w:tcW w:w="10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7,143</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7,144</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(7,007)</w:t>
            </w:r>
          </w:p>
        </w:tc>
        <w:tc>
          <w:tcPr>
            <w:tcW w:w="10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70"/>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(4,026)</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(4,386)</w:t>
            </w:r>
          </w:p>
        </w:tc>
      </w:tr>
      <w:tr>
        <w:trPr>
          <w:trHeight w:val="276"/>
        </w:trPr>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3,009</w:t>
            </w: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3,009</w:t>
            </w:r>
          </w:p>
        </w:tc>
      </w:tr>
      <w:tr>
        <w:trPr>
          <w:trHeight w:val="237"/>
        </w:trPr>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$ 159,997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73,434,943</w:t>
            </w: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737</w:t>
            </w: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$2,884,771</w:t>
            </w:r>
          </w:p>
        </w:tc>
        <w:tc>
          <w:tcPr>
            <w:tcW w:w="1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(780,973)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122,648</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  2,387,592</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-2451735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-2005965</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-1611630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-1268730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-925830</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-530860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-187960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860" w:space="120"/>
            <w:col w:w="844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MARCH 31, 2018</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3"/>
              </w:rPr>
              <w:t>$ 159,997</w:t>
            </w:r>
          </w:p>
        </w:tc>
        <w:tc>
          <w:tcPr>
            <w:tcW w:w="1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6"/>
              </w:rPr>
              <w:t>73,216,520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$2,859,717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(769,311)</w:t>
            </w: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121,483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2,373,110</w:t>
            </w:r>
          </w:p>
        </w:tc>
        <w:tc>
          <w:tcPr>
            <w:tcW w:w="0" w:type="dxa"/>
            <w:vAlign w:val="bottom"/>
          </w:tcPr>
          <w:p>
            <w:pPr>
              <w:spacing w:after="0"/>
              <w:rPr>
                <w:sz w:val="1"/>
                <w:szCs w:val="1"/>
                <w:color w:val="auto"/>
              </w:rPr>
            </w:pPr>
          </w:p>
        </w:tc>
      </w:tr>
      <w:tr>
        <w:trPr>
          <w:trHeight w:val="68"/>
        </w:trPr>
        <w:tc>
          <w:tcPr>
            <w:tcW w:w="29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rPr>
              <w:t>Net income, excluding $983 attributable to</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63,595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64,550</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loss - change in fair value of</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rPr>
              <w:t>Dividends declared to common shareholders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40"/>
              <w:spacing w:after="0"/>
              <w:rPr>
                <w:sz w:val="20"/>
                <w:szCs w:val="20"/>
                <w:color w:val="auto"/>
              </w:rPr>
            </w:pPr>
            <w:r>
              <w:rPr>
                <w:rFonts w:ascii="Arial" w:cs="Arial" w:eastAsia="Arial" w:hAnsi="Arial"/>
                <w:sz w:val="14"/>
                <w:szCs w:val="14"/>
                <w:color w:val="auto"/>
              </w:rPr>
              <w:t>($1.00 per share)</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(73,246)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(73,246)</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to preferred shareholders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w w:val="97"/>
              </w:rPr>
              <w:t>Distributions declared to noncontrolling interests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 issued, net</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148,584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63,593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2,779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Shares issued under dividend reinvestment plan</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980" w:type="dxa"/>
            <w:vAlign w:val="bottom"/>
          </w:tcPr>
          <w:p>
            <w:pPr>
              <w:ind w:left="40"/>
              <w:spacing w:after="0" w:line="157" w:lineRule="exact"/>
              <w:rPr>
                <w:sz w:val="20"/>
                <w:szCs w:val="20"/>
                <w:color w:val="auto"/>
              </w:rPr>
            </w:pPr>
            <w:r>
              <w:rPr>
                <w:rFonts w:ascii="Arial" w:cs="Arial" w:eastAsia="Arial" w:hAnsi="Arial"/>
                <w:sz w:val="14"/>
                <w:szCs w:val="14"/>
                <w:color w:val="auto"/>
              </w:rPr>
              <w:t>Share-based compensation expense, net of</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40"/>
              <w:spacing w:after="0"/>
              <w:rPr>
                <w:sz w:val="20"/>
                <w:szCs w:val="20"/>
                <w:color w:val="auto"/>
              </w:rPr>
            </w:pPr>
            <w:r>
              <w:rPr>
                <w:rFonts w:ascii="Arial" w:cs="Arial" w:eastAsia="Arial" w:hAnsi="Arial"/>
                <w:sz w:val="14"/>
                <w:szCs w:val="14"/>
                <w:color w:val="auto"/>
              </w:rPr>
              <w:t>forfeitures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withheld for employee taxes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980" w:type="dxa"/>
            <w:vAlign w:val="bottom"/>
          </w:tcPr>
          <w:p>
            <w:pPr>
              <w:ind w:left="40"/>
              <w:spacing w:after="0"/>
              <w:rPr>
                <w:sz w:val="20"/>
                <w:szCs w:val="20"/>
                <w:color w:val="auto"/>
              </w:rPr>
            </w:pPr>
            <w:r>
              <w:rPr>
                <w:rFonts w:ascii="Arial" w:cs="Arial" w:eastAsia="Arial" w:hAnsi="Arial"/>
                <w:sz w:val="14"/>
                <w:szCs w:val="14"/>
                <w:color w:val="auto"/>
              </w:rPr>
              <w:t>Redemption of OP units</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74"/>
        </w:trPr>
        <w:tc>
          <w:tcPr>
            <w:tcW w:w="29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Contributions from noncontrolling interests</w:t>
            </w: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80"/>
        </w:trPr>
        <w:tc>
          <w:tcPr>
            <w:tcW w:w="29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980" w:type="dxa"/>
            <w:vAlign w:val="bottom"/>
          </w:tcPr>
          <w:p>
            <w:pPr>
              <w:ind w:left="40"/>
              <w:spacing w:after="0"/>
              <w:rPr>
                <w:sz w:val="20"/>
                <w:szCs w:val="20"/>
                <w:color w:val="auto"/>
              </w:rPr>
            </w:pPr>
            <w:r>
              <w:rPr>
                <w:rFonts w:ascii="Arial" w:cs="Arial" w:eastAsia="Arial" w:hAnsi="Arial"/>
                <w:sz w:val="14"/>
                <w:szCs w:val="14"/>
                <w:color w:val="auto"/>
              </w:rPr>
              <w:t>BALANCE AT JUNE 30, 2018</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405,896</w:t>
            </w:r>
          </w:p>
        </w:tc>
        <w:tc>
          <w:tcPr>
            <w:tcW w:w="140" w:type="dxa"/>
            <w:vAlign w:val="bottom"/>
          </w:tcPr>
          <w:p>
            <w:pPr>
              <w:spacing w:after="0"/>
              <w:rPr>
                <w:sz w:val="14"/>
                <w:szCs w:val="14"/>
                <w:color w:val="auto"/>
              </w:rPr>
            </w:pP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3"/>
              </w:rPr>
              <w:t>$ 159,997</w:t>
            </w:r>
          </w:p>
        </w:tc>
        <w:tc>
          <w:tcPr>
            <w:tcW w:w="120" w:type="dxa"/>
            <w:vAlign w:val="bottom"/>
          </w:tcPr>
          <w:p>
            <w:pPr>
              <w:spacing w:after="0"/>
              <w:rPr>
                <w:sz w:val="14"/>
                <w:szCs w:val="14"/>
                <w:color w:val="auto"/>
              </w:rPr>
            </w:pP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96"/>
              </w:rPr>
              <w:t>73,434,943</w:t>
            </w:r>
          </w:p>
        </w:tc>
        <w:tc>
          <w:tcPr>
            <w:tcW w:w="12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4"/>
                <w:szCs w:val="14"/>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6"/>
              </w:rPr>
              <w:t>$2,884,771</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(780,973)</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122,648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99"/>
              </w:rPr>
              <w:t>2,387,592</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90"/>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144,470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128,464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116,491</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(7,288)</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1,253</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2,825</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12,353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10,077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(Decrease) increase in security deposits and other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4,027</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242,287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263,111</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(133,570)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(150,119)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121,391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 from partnerships in excess of earnings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205</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 (issuance) of mortgage and other notes receivable,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(78,695)</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297,076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finance leases and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68,461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22,492</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(149,603)</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(9,086)</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(100,654)</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31,937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83,762</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25,200</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140,269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108,962</w:t>
            </w:r>
          </w:p>
        </w:tc>
      </w:tr>
      <w:tr>
        <w:trPr>
          <w:trHeight w:val="27"/>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2019</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June 30, 2019,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accompanying consolidated balance sheet as of December 31, 2018,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six months ended June 30, 2019 are not necessarily indicative of the results that may be expected for the full year. Certain 2018 amounts have been reclassified to conform to current period presentation, which includes the presentation of rental income on our Consolidated Statements of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ectPr>
          <w:pgSz w:w="11900" w:h="16838" w:orient="portrait"/>
          <w:cols w:equalWidth="0" w:num="1">
            <w:col w:w="11360"/>
          </w:cols>
          <w:pgMar w:left="240" w:top="126" w:right="29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80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u w:val="single" w:color="auto"/>
          <w:color w:val="auto"/>
        </w:rPr>
        <w:t>Adopted on January 1, 2019:</w:t>
      </w:r>
    </w:p>
    <w:p>
      <w:pPr>
        <w:spacing w:after="0" w:line="98" w:lineRule="exact"/>
        <w:rPr>
          <w:sz w:val="20"/>
          <w:szCs w:val="20"/>
          <w:color w:val="auto"/>
        </w:rPr>
      </w:pPr>
    </w:p>
    <w:p>
      <w:pPr>
        <w:ind w:left="40"/>
        <w:spacing w:after="0" w:line="274" w:lineRule="auto"/>
        <w:rPr>
          <w:sz w:val="20"/>
          <w:szCs w:val="20"/>
          <w:color w:val="auto"/>
        </w:rPr>
      </w:pPr>
      <w:r>
        <w:rPr>
          <w:rFonts w:ascii="Arial" w:cs="Arial" w:eastAsia="Arial" w:hAnsi="Arial"/>
          <w:sz w:val="17"/>
          <w:szCs w:val="17"/>
          <w:color w:val="auto"/>
        </w:rPr>
        <w:t>Leases (Topic 842) and related updates: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2016-02,</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2016,</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Leases (Topic 842)</w:t>
      </w:r>
    </w:p>
    <w:p>
      <w:pPr>
        <w:spacing w:after="0" w:line="196" w:lineRule="exact"/>
        <w:rPr>
          <w:sz w:val="20"/>
          <w:szCs w:val="20"/>
          <w:color w:val="auto"/>
        </w:rPr>
      </w:pPr>
    </w:p>
    <w:p>
      <w:pPr>
        <w:ind w:left="40" w:right="780"/>
        <w:spacing w:after="0" w:line="302" w:lineRule="auto"/>
        <w:rPr>
          <w:sz w:val="20"/>
          <w:szCs w:val="20"/>
          <w:color w:val="auto"/>
        </w:rPr>
      </w:pPr>
      <w:r>
        <w:rPr>
          <w:rFonts w:ascii="Arial" w:cs="Arial" w:eastAsia="Arial" w:hAnsi="Arial"/>
          <w:sz w:val="15"/>
          <w:szCs w:val="15"/>
          <w:color w:val="auto"/>
        </w:rPr>
        <w:t>ASU 2018-10, July 2018, Codification improvements to Topic 842, Leases</w:t>
      </w:r>
    </w:p>
    <w:p>
      <w:pPr>
        <w:spacing w:after="0" w:line="145" w:lineRule="exact"/>
        <w:rPr>
          <w:sz w:val="20"/>
          <w:szCs w:val="20"/>
          <w:color w:val="auto"/>
        </w:rPr>
      </w:pPr>
    </w:p>
    <w:p>
      <w:pPr>
        <w:jc w:val="both"/>
        <w:ind w:left="40" w:right="720"/>
        <w:spacing w:after="0" w:line="261" w:lineRule="auto"/>
        <w:rPr>
          <w:sz w:val="20"/>
          <w:szCs w:val="20"/>
          <w:color w:val="auto"/>
        </w:rPr>
      </w:pPr>
      <w:r>
        <w:rPr>
          <w:rFonts w:ascii="Arial" w:cs="Arial" w:eastAsia="Arial" w:hAnsi="Arial"/>
          <w:sz w:val="17"/>
          <w:szCs w:val="17"/>
          <w:color w:val="auto"/>
        </w:rPr>
        <w:t>ASU 2018-11, July 2018, Leases (Topic 842)</w:t>
      </w:r>
    </w:p>
    <w:p>
      <w:pPr>
        <w:spacing w:after="0" w:line="173" w:lineRule="exact"/>
        <w:rPr>
          <w:sz w:val="20"/>
          <w:szCs w:val="20"/>
          <w:color w:val="auto"/>
        </w:rPr>
      </w:pPr>
    </w:p>
    <w:p>
      <w:pPr>
        <w:ind w:left="120" w:right="540" w:hanging="9"/>
        <w:spacing w:after="0" w:line="302" w:lineRule="auto"/>
        <w:rPr>
          <w:sz w:val="20"/>
          <w:szCs w:val="20"/>
          <w:color w:val="auto"/>
        </w:rPr>
      </w:pPr>
      <w:r>
        <w:rPr>
          <w:rFonts w:ascii="Arial" w:cs="Arial" w:eastAsia="Arial" w:hAnsi="Arial"/>
          <w:sz w:val="15"/>
          <w:szCs w:val="15"/>
          <w:color w:val="auto"/>
        </w:rPr>
        <w:t>ASU 2019-01, March 2019, Leases (Topic 842), Codification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2246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ASC 842 significantly changes the accounting for leases by requiring lessees to recognize assets and liabilities for leases greater than 12 months on their balance sheet. The larger changes to the lessor model include: a change in the definition of initial direct costs of leases (resulting in the upfront expensing of more leasing related costs), the requirement to make an upfront and ongoing assessment of whether collection of substantially all of the lease payments required for the term of each lease is probable (if not probable, lease revenue is effectively recognized when cash is collected), certain presentation changes, and the elimination of real estate specific guidance.</w:t>
      </w:r>
    </w:p>
    <w:p>
      <w:pPr>
        <w:spacing w:after="0" w:line="377"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ASU 2018-10 and ASU 2019-01 provide narrow amendments that clarify how to apply certain aspects of the guidance in ASU 2016-02. ASU 2018-11 provides the option of an additional transition method, by allowing entities to initially apply the new leases standard at the adoption date and recognize a cumulative-effect adjustment to the opening balance of retained earnings in the period of adoption. It also provides lessors an option to not separate lease and non-lease components when certain criteria are met.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34290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We have elected to apply the transition provisions of ASC Topic 842 at the beginning of the period of adoption (i.e., January 1, 2019), and therefore, did not retrospectively adjust prior periods presented. We have also elected to apply certain adoption related practical expedients for all leases that commenced prior to the effective date. These practical expedients include not reassessing whether any expired or existing contracts are or contain leases; not reassessing the lease classification for any expired or existing leases; and not reassessing initial direct costs for any existing leases. We have also elected the practical expedient allowing lessors to combine non-lease and lease components (primarily impacts common area maintenance recoveries).</w:t>
      </w:r>
    </w:p>
    <w:p>
      <w:pPr>
        <w:spacing w:after="0" w:line="159"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From a lessee perspective, the primary impact of adoption on January 1, 2019 was to record a lease obligation liability and right of use asset for operating leases where we are the lessee. The most significant of these operating leases are ground leases at 14 properties. The operating lease right of use assets and related liabilities are shown separately on the face of our consolidated balance sheet. Additionally, amounts previously recorded as capital lease assets and included in real estate have been reclassified in the June 30, 2019 balance sheet as finance lease right of use assets and the related capital lease obligations have been reclassified in the June 30, 2019 balance sheet as finance lease liabilities. Income statement presentation is not impacted for our existing operating and finance leases.</w:t>
      </w:r>
    </w:p>
    <w:p>
      <w:pPr>
        <w:spacing w:after="0" w:line="16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From a lessor perspective, adoption of ASC 842 results in a charge to opening accumulated dividends in excess of net income of $7.1 million. This charge is attributable to the write off of certain direct leasing costs recorded as of December 31, 2018 under the previous lease accounting rules for leases which had not commenced and the write off of December 31, 2018 unreserved receivables (including straight-line receivables) for leases where we have determined that the collection of substantially all of the lease payments required for the term of the lease is not probable. Income statement presentation changes incorporated into our June 30, 2019 financial statements include: no longer recording a gross up of revenue and expense for costs (such as real estate taxes) paid directly by lessees on our behalf and recording collectability adjustments against revenue rather than as bad debt within rental expenses.</w:t>
      </w:r>
    </w:p>
    <w:p>
      <w:pPr>
        <w:spacing w:after="0" w:line="175"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As a result of the change in the definition of initial direct costs of leases, capitalized leasing costs excluding external commissions decreased to $0.6 million and $1.0 million for the three and six months ended June 30, 2019, respectively, from$2.0 million and $3.6 million for the three and six months ended June 30, 2018, respectively.</w:t>
      </w:r>
    </w:p>
    <w:p>
      <w:pPr>
        <w:spacing w:after="0" w:line="200" w:lineRule="exact"/>
        <w:rPr>
          <w:sz w:val="20"/>
          <w:szCs w:val="20"/>
          <w:color w:val="auto"/>
        </w:rPr>
      </w:pPr>
    </w:p>
    <w:p>
      <w:pPr>
        <w:sectPr>
          <w:pgSz w:w="11900" w:h="16838" w:orient="portrait"/>
          <w:cols w:equalWidth="0" w:num="3">
            <w:col w:w="2140" w:space="200"/>
            <w:col w:w="3420" w:space="220"/>
            <w:col w:w="5380"/>
          </w:cols>
          <w:pgMar w:left="240" w:top="12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26"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our operating and finance leases where we are the lessee: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Six Months Ended</w:t>
            </w:r>
          </w:p>
        </w:tc>
      </w:tr>
      <w:tr>
        <w:trPr>
          <w:trHeight w:val="250"/>
        </w:trPr>
        <w:tc>
          <w:tcPr>
            <w:tcW w:w="85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8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4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COST:</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642</w:t>
            </w:r>
          </w:p>
        </w:tc>
      </w:tr>
      <w:tr>
        <w:trPr>
          <w:trHeight w:val="243"/>
        </w:trPr>
        <w:tc>
          <w:tcPr>
            <w:tcW w:w="850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2,911</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2,997</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220</w:t>
            </w:r>
          </w:p>
        </w:tc>
      </w:tr>
      <w:tr>
        <w:trPr>
          <w:trHeight w:val="27"/>
        </w:trPr>
        <w:tc>
          <w:tcPr>
            <w:tcW w:w="8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3,398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6,770</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8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cash flows for finance leases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2,893</w:t>
            </w:r>
          </w:p>
        </w:tc>
      </w:tr>
      <w:tr>
        <w:trPr>
          <w:trHeight w:val="243"/>
        </w:trPr>
        <w:tc>
          <w:tcPr>
            <w:tcW w:w="8500" w:type="dxa"/>
            <w:vAlign w:val="bottom"/>
          </w:tcPr>
          <w:p>
            <w:pPr>
              <w:ind w:left="260"/>
              <w:spacing w:after="0"/>
              <w:rPr>
                <w:sz w:val="20"/>
                <w:szCs w:val="20"/>
                <w:color w:val="auto"/>
              </w:rPr>
            </w:pPr>
            <w:r>
              <w:rPr>
                <w:rFonts w:ascii="Arial" w:cs="Arial" w:eastAsia="Arial" w:hAnsi="Arial"/>
                <w:sz w:val="18"/>
                <w:szCs w:val="18"/>
                <w:color w:val="auto"/>
              </w:rPr>
              <w:t>Operating cash flows for operating leases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2,779</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Financing cash flows for finance leases</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r>
      <w:tr>
        <w:trPr>
          <w:trHeight w:val="270"/>
        </w:trPr>
        <w:tc>
          <w:tcPr>
            <w:tcW w:w="8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85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right="54"/>
              <w:spacing w:after="0"/>
              <w:rPr>
                <w:sz w:val="20"/>
                <w:szCs w:val="20"/>
                <w:color w:val="auto"/>
              </w:rPr>
            </w:pPr>
            <w:r>
              <w:rPr>
                <w:rFonts w:ascii="Arial" w:cs="Arial" w:eastAsia="Arial" w:hAnsi="Arial"/>
                <w:sz w:val="14"/>
                <w:szCs w:val="14"/>
                <w:b w:val="1"/>
                <w:bCs w:val="1"/>
                <w:color w:val="auto"/>
                <w:w w:val="92"/>
              </w:rPr>
              <w:t>June 30,</w:t>
            </w:r>
          </w:p>
        </w:tc>
      </w:tr>
      <w:tr>
        <w:trPr>
          <w:trHeight w:val="264"/>
        </w:trPr>
        <w:tc>
          <w:tcPr>
            <w:tcW w:w="85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18.6 years</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53.7 years</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30"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64,755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55,515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53,950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53,588</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52,997</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additional disclosures in the "Recently Adopted Accounting Pronouncements" section of this footnote relating to operating lease right of use assets and lease liabilities recorded in connection with our adoption of ASC Topic 842.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105,903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64,087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34,366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44,245</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140,269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108,332</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825"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825"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February 8, 2019, we acquired the fee interest in Fairfax Junction, a 75,000 square foot shopping center in Fairfax, Virginia for $22.5 million. Approximately $0.6 million and $0.4 million of net assets acquired were allocated to other assets for "above market leases," and other liabilities for "below market leases," respectively.</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28, 2019, we sold Free State Shopping Center in Bowie, Maryland for a sales price of $72.0 million, and on May 29, 2019, we sold a land parcel at Northeast Shopping Center in Philadelphia, Pennsylvania for $7.7 million. These sales resulted in a gain of $15.2 million.</w:t>
      </w:r>
    </w:p>
    <w:p>
      <w:pPr>
        <w:spacing w:after="0" w:line="11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six months ended June 30, 2019, we closed on the sale of 27 condominium units at our Assembly Row and Pike &amp; Rose properties (combined), received proceeds net of closing costs of $13.1 million, and recognized a gain of $0.7 million, net of $0.2 million of income taxes. The cost basis for the remaining condominium units as of June 30, 2019 is $5.9 million, and is included in "assets held for sale" on our consolidated balance sheets.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229" w:lineRule="exact"/>
        <w:rPr>
          <w:sz w:val="20"/>
          <w:szCs w:val="20"/>
          <w:color w:val="auto"/>
        </w:rPr>
      </w:pPr>
    </w:p>
    <w:p>
      <w:pPr>
        <w:ind w:right="2740"/>
        <w:spacing w:after="0" w:line="277" w:lineRule="auto"/>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3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June 7, 2019, we issued $300.0 million of fixed rate senior unsecured notes that mature on June 15, 2029 and bear interest at 3.20%. The notes were offered at 99.838% of the principal amount with a yield to maturity of 3.219%. The net proceeds from this note offering after issuance discounts, underwriting fees, and other costs were $297.0 million, which were primarily used to repay our $275.0 million unsecured term loan, at par, on June 7, 2019.</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six months ended June 30, 2019, the maximum amount of borrowings outstanding under our $800.0 million revolving credit facility was $81.0 million and $116.5 million, respectively, and the weighted average interest rate, before amortization of debt fees, was 3.2% for both periods. During the three and six months ended June 30, 2019, the weighted average borrowings outstanding were $27.1 million and $45.1 million, respectively. At June 30, 2019, our revolving credit facility had no balance outstanding. Our revolving credit facility and certain notes require us to comply with various financial covenants, including the maintenance of minimum shareholders' equity and debt coverage ratios and a maximum ratio of debt to net worth. As of June 30, 2019, we were in compliance with all default related debt covenants.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455,046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460,416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753,406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751,361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2,702,737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2,830,445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2,404,279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2,371,392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One of our equity method investees has two interest rate swaps which qualify for cash flow hedge accounting. For the three and six months ended June 30, 2019, our share of the change in fair value of the related swaps included in "accumulated other comprehensive loss" was $0.4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the terms of certain partnership agreements, the partners have the right to exchange their operating partnership units for cash or common shares, at our option. A total of 627,171 downREIT operating partnership units are outstanding which have a total fair value of approximately $80.8 million, which is calculated by multiplying the outstanding number of downREIT partnership units by our closing stock price on June 30, 2019.</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2019</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0.677</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0.681</w:t>
            </w:r>
          </w:p>
        </w:tc>
      </w:tr>
      <w:tr>
        <w:trPr>
          <w:trHeight w:val="20"/>
        </w:trPr>
        <w:tc>
          <w:tcPr>
            <w:tcW w:w="7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Amount represents dividends per depository share, each representing 1/1000th of a share.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six months ended June 30, 2019, we sold 511,938 common shares at a weighted average price per share of $134.96 for net cash proceeds of $68.3 million and paid $0.7 million in commissions and $0.1 million in additional offering expenses related to the sales of these common shares. As of June 30, 2019, we had the capacity to issue up to $203.4 million in common shares under our ATM equity program.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3,131</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3,274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6,992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2,930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6,520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9—EARNINGS PER SHARE</w:t>
      </w:r>
    </w:p>
    <w:p>
      <w:pPr>
        <w:spacing w:after="0" w:line="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2019, we had 0.2 million weighted average unvested shares outstanding and for the three and six months ended June 30, 2018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for the three and six months ended June 30, 2019 and 2018.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82,667</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65,533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144,470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128,464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Income from operations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78,665</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136,586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120,313</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74,713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72,990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74,458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72,948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74,713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74,458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72,997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w:t>
      </w:r>
    </w:p>
    <w:p>
      <w:pPr>
        <w:spacing w:after="0" w:line="9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July 25, 2019, we amended our revolving credit facility to increase our borrowing capacity to $1.0 billion and extend the maturity date to January 19, 2024, subject to two six-month extensions at our option. Under the amended facility, the spread over LIBOR is 77.5 basis points based on our current credit rating. In addition, we have an option (subject to bank approval) to increase the credit facility through an accordion feature to $1.5 billion.</w:t>
      </w:r>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2018 filed with the Securities and Exchange Commission (the “SEC”) on February 13, 2019.</w:t>
      </w:r>
    </w:p>
    <w:p>
      <w:pPr>
        <w:spacing w:after="0" w:line="12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2018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2019, we owned or had a majority interest in community and neighborhood shopping centers and mixed-use properties which are operated as 104 predominantly retail real estate projects comprising approximately 23.9 million square feet. In total, the real estate projects were 94.1% leased and 93.3% occupied at June 30,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Property Acquisition and Dispositions</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February 8, 2019, we acquired the fee interest in Fairfax Junction, a 75,000 square foot shopping center in Fairfax, Virginia for $22.5 million. Approximately $0.6 million and $0.4 million of net assets acquired were allocated to other assets for "above market leases," and other liabilities for "below market leases," respectively.</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May 28, 2019, we sold Free State Shopping Center in Bowie, Maryland for a sales price of $72.0 million, and on May 29, 2019, we sold a land parcel at Northeast Shopping Center in Philadelphia, Pennsylvania for $7.7 million. These sales resulted in a gain of $15.2 million.</w:t>
      </w:r>
    </w:p>
    <w:p>
      <w:pPr>
        <w:spacing w:after="0" w:line="11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During the six months ended June 30, 2019, we closed on the sale of 27 condominium units at our Assembly Row and Pike &amp; Rose properties (combined), received proceeds net of closing costs of $13.1 million, and recognized a gain of $0.7 million, net of $0.2 million of income taxes. The cost basis for the remaining condominium units as of June 30, 2019 is $5.9 million, and is included in "assets held for sale" on our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Debt and Equity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2019, we repaid the $20.3 million mortgage loan on Rollingwood Apartments, at par, prior to its original maturity date.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June 7, 2019, we issued $300.0 million of fixed rate senior unsecured notes that mature on June 15, 2029 and bear interest at 3.20%. The notes were offered at 99.838% of the principal amount with a yield to maturity of 3.219%. The net proceeds from this note offering after issuance discounts, underwriting fees, and other costs were $297.0 million, which were primarily used to repay our $275.0 million unsecured term loan on June 7, 2019.</w:t>
      </w:r>
    </w:p>
    <w:p>
      <w:pPr>
        <w:spacing w:after="0" w:line="16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 July 25, 2019, we amended our revolving credit facility to increase our borrowing capacity to $1.0 billion and extend the maturity date to January 19, 2024, subject to two six-month extensions at our option. Under the amended facility, the spread over LIBOR is 77.5 basis points based on our current credit rating. In addition, we have an option (subject to bank approval) to increase the credit facility through an accordion feature to $1.5 billion.</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at-the-market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six months ended June 30, 2019, we sold 511,938 common shares at a weighted average price per share of $134.96 for net cash proceeds of $68.3 million and paid $0.7 million in commissions and $0.1 million in additional offering expenses related to the sales of these common shares. As of June 30, 2019, we had the capacity to issue up to $203.4 million in common shares under our ATM equity program.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$142 million and $4 million, respectively, for the six months ended June 30, 2019, and $137 million and $5 million, respectively, for the six months ended June 30, 2018. We capitalized external and internal costs related to other property improvements of $29 million and $2 million, respectively, for the six months ended June 30, 2019, and $28 million and $2 million for the six months ended June 30, 2018. We capitalized external and internal costs related to leasing activities of $10 million and $1 million, respectively, for the six months ended June 30, 2019, and $9 million and $3 million, respectively, for the six months ended June 30, 2018. The amount of capitalized internal costs for salaries and related benefits for development and redevelopment activities, other property improvements, and leasing activities were $4 million, $1 million, and $1 million, respectively, for the six months ended June 30, 2019 and $4 million, $1 million, and $3 million, respectively for the six months ended June 30, 2018. Total capitalized costs were $188 million and $184 million for the six months ended June 30, 2019 and 2018,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relatively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vacating prior to the end of their lease term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June 30, 2019, no single tenant accounted for more than 2.6% of annualized base rent.</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$325 million that we expect to stabilize in the next several years.</w:t>
      </w:r>
    </w:p>
    <w:p>
      <w:pPr>
        <w:spacing w:after="0" w:line="13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continue our ongoing redevelopment efforts at Santana Row and are under construction on an eight story 301,000 square foot office building which will include an additional 18,000 square feet of retail space and 1,300 parking spaces. The project is expected to cost between $210 million and $220 million, to be delivered in 2020, and the office portion is 100% leased. After current phases, we have approximately 4 acres remaining for further redevelopment and entitlements in place for an additional 395 residential units and 321,000 square feet of commercial space.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we control 12 acres of land across from Santana Row, which has approximately 1 million square feet of commercial space entitlements. We are proceeding with the first phase of construction on this land, which includes an eight story 360,000 square foot office building, with over 1,700 parking spaces. The building is expected to cost between $250 and $270 million, with deliveries beginning in 2021.</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Phase II of Assembly Row includes approximately 161,000 square feet of retail space, 447 residential units, and a 158 room boutique hotel (owned and operated by a joint venture in which we are a partner). Total expected costs range from $290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 $305 million and delivery is expected to continue through 2019. As of June 30, 2019, approximately 130,000 square feet of retail space and the 158 room hotel have opened, and all of the residential units have been completed. Phase II also includes 122 for-sale condominium units of which 115 units have closed as of June 30, 2019. The remaining 7 units are expected to close in 2019. The condominium units have an expected total cost of $81 million.</w:t>
      </w:r>
    </w:p>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Additionally, we commenced construction on Phase III of Assembly Row, which will include 277,000 square feet of office space (of which, 150,000 square feet is pre-leased), 56,000 square feet of retail space, 500 residential units, and over 800 additional parking spaces. The expected costs for Phase III are between $465 million and $485 million and is projected to open beginning in 2022.</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Phase II of Pike &amp; Rose includes approximately 216,000 square feet of retail space, 272 residential units, and a 177 room boutique hotel (owned and operated by a joint venture in which we are a partner). As of June 30, 2019, approximately 196,000 square feet of retail space and the 177 room hotel have opened, and all of the residential units have been completed. Total expected costs range from $200 million to $207 million and remaining delivery is expected to continue through 2019. As of June 30, 2019, we closed on the sale of 88 of the 99 for-sale condominium units in Phase II. The condominium units have an expected total cost of $62 million.</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at Pike &amp; Rose, we have commenced construction on a 212,000 square foot office building (which includes 4,000 square feet of ground floor retail space), and will include over 600 additional parking spaces. The building is expected to cost between $128 million and $135 million and is projected to open beginning in 2021.</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Including costs incurred in the first six months of 2019, we expect to invest between $175 million and $200 million at Assembly Row and Pike &amp; Rose in 2019.</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2019, the leasable square feet in our properties was 94.1% leased and 93.3%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the second quarter of 2019, we signed leases for a total of 383,000 square feet of retail space including 379,000 square feet of comparable space leases (leases for which there was a prior tenant) at an average rental increase of 7% on a cash basis. New leases for comparable spaces were signed for 136,000 square feet at an average rental increase of 17% on a cash basis. Renewals for comparable spaces were signed for 243,000 square feet at an average rental increase of 3% on a cash basis. Tenant improvements and incentives for comparable spaces were $33.12 per square foot, of which, $88.78 per square foot was for new leases and $2.00 per square foot was for renewals for the three months ended June 30, 2019.</w:t>
      </w:r>
    </w:p>
    <w:p>
      <w:pPr>
        <w:spacing w:after="0" w:line="11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the six months ended June 30, 2019, we signed leases for a total of 688,000 square feet of retail space including 626,000 square feet of comparable space leases (leases for which there was a prior tenant) at an average rental increase of 8% on a cash basis. New leases for comparable spaces were signed for 264,000 square feet at an average rental increase of 17% on a cash basis. Renewals for comparable spaces were signed for 362,000 square feet at an average rental increase of 2% on a cash basis. Tenant improvements and incentives for comparable spaces were $41.75 per square foot, of which, $96.56 per square foot was for new leases and $1.77 per square foot was for renewals for the six months ended June 30, 2019.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for retail space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2019 generally become effective over the following two years though some may not become effective until 2022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Historically, we have executed comparable space leases for 1.2 to 1.7 million square feet of retail space each year, and expect that volume for 2019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2019, all or a portion of 97 properties were considered comparable properties and eight properties were considered non-comparable properties. For the three and six months ended June 30, 2019, eight properties were moved from acquisitions to comparable properties, one property was moved from acquisitions to non-comparable properties, one portion of a property was moved from non-comparable to comparable properties, and one property was removed from comparable properties, as it was sold, compared to the designations for the year ended December 31, 2018, which were 90 properties or portions of properties considered comparable and eight considered non-comparable.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224,168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230,465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224,902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5,563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39,905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68,212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12,225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(loss) from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65,533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17,134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80,902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63,595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17,307</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property revenue increased $5.6 million, or 2.5%, to $230.5 million in the three months ended June 30, 2019 compared to $224.9 million in the three months ended June 30, 2018. The percentage occupied at our shopping centers was 93.3% at June 30, 2019 compared to 93.7% at June 30, 2018.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12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$5.6 million, or 2.5%, to $229.7 million in the three months ended June 30, 2019 compared to $224.2 million in the three months ended June 30, 2018 due primarily to the following:</w:t>
      </w:r>
    </w:p>
    <w:p>
      <w:pPr>
        <w:ind w:left="1140" w:right="20" w:hanging="241"/>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$3.1 million from comparable properties due primarily to higher rental rates of approximately $3.4 million, higher legal and lease termination fees of $1.7 million, and higher average occupancy of approximately $0.8 million, partially offset by a $2.9 million decrease in real estate tax recoveries primarily due to lower multi-year tax reassessments for three of our properties and the requirements of the new lease accounting standard (see Note 2 for additional disclosure),</w:t>
      </w:r>
    </w:p>
    <w:p>
      <w:pPr>
        <w:spacing w:after="0" w:line="24" w:lineRule="exact"/>
        <w:rPr>
          <w:rFonts w:ascii="Arial" w:cs="Arial" w:eastAsia="Arial" w:hAnsi="Arial"/>
          <w:sz w:val="18"/>
          <w:szCs w:val="18"/>
          <w:color w:val="auto"/>
        </w:rPr>
      </w:pPr>
    </w:p>
    <w:p>
      <w:pPr>
        <w:ind w:left="1140" w:right="380" w:hanging="241"/>
        <w:spacing w:after="0" w:line="298"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of $2.8 million from non-comparable properties due primarily to the openings at Phase II at Assembly Row and Pike &amp; Rose, partially offset by redevelopment related occupancy decreases at one of our Florida properties and one Virginia property, and</w:t>
      </w:r>
    </w:p>
    <w:p>
      <w:pPr>
        <w:ind w:left="1140" w:hanging="24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$0.5 million from the acquisition of Fairfax Junction in February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$1.4 million from our 2018 and 2019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property expenses decreased $1.6 million, or 2.4%, to $66.6 million in the three months ended June 30, 2019 compared to $68.2 million in the three months ended June 30, 2018. Changes in the components of property expenses are discussed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Rental expenses increased $1.5 million, or 3.8%, to $41.4 million in the three months ended June 30, 2019 compared to $39.9 million in the three months ended June 30, 2018. This increase is due primarily to an increase of $1.4 million from comparable properties due primarily to higher repairs and maintenance costs partially offset by a $0.9 million decrease due to the new lease accounting standard requirement to record collectibility adjustments as a reduction to revenue rather than rental expense effective at adoption on January 1, 2019.</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increased to 18.0% in the three months ended June 30, 2019 from 17.8% in the three months ended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Real estate tax expense decreased $3.1 million, or 11.1%, to $25.2 million in the three months ended June 30, 2019 compared to $28.3 million in the three months ended June 30, 2018. This decrease is primarily due to the following:</w:t>
      </w:r>
    </w:p>
    <w:p>
      <w:pPr>
        <w:spacing w:after="0" w:line="8" w:lineRule="exact"/>
        <w:rPr>
          <w:sz w:val="20"/>
          <w:szCs w:val="20"/>
          <w:color w:val="auto"/>
        </w:rPr>
      </w:pPr>
    </w:p>
    <w:p>
      <w:pPr>
        <w:ind w:left="1140" w:right="60" w:hanging="241"/>
        <w:spacing w:after="0" w:line="305"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decrease of $3.4 million from comparable properties due primarily to a tax refund from a multi-year appeal and reassessment of three of our properties and $1.3 million due to the new lease accounting standard requirement, which no longer permits the gross up of real estate tax revenue and expense for real estate taxes that our tenants pay directly to the taxing authority (see Note 2 for additional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620" w:hanging="241"/>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$0.3 million from non-comparable properties due primarily to increases in assessments as a result of our redevelopment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Property operating income increased $7.2 million, or 4.6%, to $163.9 million in the three months ended June 30, 2019 compared to $156.7 million in the three months ended June 30, 2018. This increase is due primarily to growth in earnings at comparable properties and Assembly Row and Pike &amp; Rose, partially offset by property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 increased $3.0 million, or 35.8%, to $11.4 million in the three months ended June 30, 2019 from $8.4 million in the three months ended June 30, 2018. This increase is due primarily to higher leasing related costs as certain costs can no longer be capitalized as a result of the new lease accounting standard (see Note 2 for additional disclosure) and higher personnel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$16.2 million gain on sale of real estate, net for the three months ended June 30, 2019 is due primarily to the sale of Free State Shopping Center and a land parcel at Northeast Shopping Center.</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$4.0 million net gain for the three months ended June 30, 2018 is related to condominium unit sales that closed at our Assembly Row and Pike and Rose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income increased $15.7 million, or 16.7%, to $109.6 million in the three months ended June 30, 2019 compared to $93.9 million in the three months ended June 30, 2018. This increase is due primarily to the net gains on the sales of Free State Shopping Center and a land parcel at Northeast Shopping Center, growth in earnings at our comparable properties, and the opening of Phase II of Assembly Row and Pike &amp; Rose, partially offset by higher leasing and personnel related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expense decreased $0.3 million, or 1.0%, to $27.5 million in the three months ended June 30, 2019 compared to $27.8 million in the three months ended June 30, 2018. This decrease is due primarily to a decrease of $0.9 million due to lower weighted average borrowings, partially offset by an increase of $0.7 million due to a higher overall weighted average borrowing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Gross interest costs were $32.2 million and $32.4 million in the three months ended June 30, 2019 and 2018, respectively. Capitalized interest was $4.7 million and $4.6 million for the three months ended June 30,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Partnerships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Income (loss) from partnerships increased $1.1 million, or 152.3%, to $0.4 million in the three months ended June 30, 2019 compared to a loss of $0.7 million in the three months ended June 30, 2018. This increase is due primarily to our share of earnings related to the hotel joint ventures at Assembly Row and Pike &amp; Rose, which opened in August 2018 and March 2018,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2019 AND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461,223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12,407</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450,307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12,385</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85,698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84,678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138,551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141,433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308,874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15,267</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8,909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128,464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16,006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141,046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124,842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16,204</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32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property revenue increased $12.4 million, or 2.8%, to $462.7 million in the six months ended June 30, 2019 compared to $450.3 million in the six months ended June 30, 2018. The percentage occupied at our shopping centers was 93.3% at June 30, 2019 compared to 93.7% at June 30, 2018.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$12.4 million, or 2.8%, to $461.2 million in the six months ended June 30, 2019 compared to $448.8 million in the six months ended June 30, 2018 due primarily to the following:</w:t>
      </w:r>
    </w:p>
    <w:p>
      <w:pPr>
        <w:ind w:left="1140" w:right="160" w:hanging="241"/>
        <w:spacing w:after="0" w:line="26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$7.1 million from non-comparable properties due primarily to the opening of Phase II at Assembly Row and Pike &amp; Rose and the lease-up of one of our other redevelopments, partially offset by redevelopment related occupancy decreases at two of our Florida properties and one Virginia property,</w:t>
      </w:r>
    </w:p>
    <w:p>
      <w:pPr>
        <w:spacing w:after="0" w:line="19" w:lineRule="exact"/>
        <w:rPr>
          <w:rFonts w:ascii="Arial" w:cs="Arial" w:eastAsia="Arial" w:hAnsi="Arial"/>
          <w:sz w:val="18"/>
          <w:szCs w:val="18"/>
          <w:color w:val="auto"/>
        </w:rPr>
      </w:pPr>
    </w:p>
    <w:p>
      <w:pPr>
        <w:ind w:left="1140" w:right="300" w:hanging="241"/>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$6.0 million from comparable properties due primarily to higher rental rates of approximately $5.6 million, higher legal and lease termination fees of $5.1 million, and higher average occupancy of</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left="1140" w:right="40"/>
        <w:spacing w:after="0" w:line="352" w:lineRule="auto"/>
        <w:rPr>
          <w:sz w:val="20"/>
          <w:szCs w:val="20"/>
          <w:color w:val="auto"/>
        </w:rPr>
      </w:pPr>
      <w:r>
        <w:rPr>
          <w:rFonts w:ascii="Arial" w:cs="Arial" w:eastAsia="Arial" w:hAnsi="Arial"/>
          <w:sz w:val="16"/>
          <w:szCs w:val="16"/>
          <w:color w:val="auto"/>
        </w:rPr>
        <w:t>approximately $1.2 million, partially offset by a $4.1 million decrease in real estate tax recoveries primarily due to lower multi-year tax reassessments for three of our properties and the requirements of the new lease accounting standard (see Note 2 for additional disclosure), and</w:t>
      </w:r>
    </w:p>
    <w:p>
      <w:pPr>
        <w:spacing w:after="0" w:line="1" w:lineRule="exact"/>
        <w:rPr>
          <w:sz w:val="20"/>
          <w:szCs w:val="20"/>
          <w:color w:val="auto"/>
        </w:rPr>
      </w:pPr>
    </w:p>
    <w:p>
      <w:pPr>
        <w:ind w:right="4120" w:firstLine="899"/>
        <w:spacing w:after="0" w:line="313" w:lineRule="auto"/>
        <w:tabs>
          <w:tab w:leader="none" w:pos="11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$0.8 million from the acquisition of Fairfax Junction in February 2019, partially offset by</w:t>
      </w: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$2.3 million from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property expenses decreased $2.9 million, or 2.0%, to $138.6 million in the six months ended June 30, 2019 compared to $141.4 million in the six months ended June 30, 2018.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$1.0 million, or 1.2%, to $85.7 million in the six months ended June 30, 2019 compared to $84.7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This increase is due primarily to the following:</w:t>
      </w:r>
    </w:p>
    <w:p>
      <w:pPr>
        <w:spacing w:after="0" w:line="49" w:lineRule="exact"/>
        <w:rPr>
          <w:sz w:val="20"/>
          <w:szCs w:val="20"/>
          <w:color w:val="auto"/>
        </w:rPr>
      </w:pPr>
    </w:p>
    <w:p>
      <w:pPr>
        <w:ind w:left="1140" w:right="42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$0.6 million from non-comparable properties due primarily to the opening of Phase II at Assembly Row and Pike &amp; Rose, partially offset by lower expenses at two of our Florida properties,</w:t>
      </w:r>
    </w:p>
    <w:p>
      <w:pPr>
        <w:spacing w:after="0" w:line="8" w:lineRule="exact"/>
        <w:rPr>
          <w:rFonts w:ascii="Arial" w:cs="Arial" w:eastAsia="Arial" w:hAnsi="Arial"/>
          <w:sz w:val="18"/>
          <w:szCs w:val="18"/>
          <w:color w:val="auto"/>
        </w:rPr>
      </w:pPr>
    </w:p>
    <w:p>
      <w:pPr>
        <w:jc w:val="both"/>
        <w:ind w:left="1140" w:right="20" w:hanging="241"/>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$0.5 million from comparable properties due primarily to higher repairs and maintenance costs partially offset by a $1.8 million decrease due to the new lease accounting standard requirement to record collectibility adjustments as a reduction to revenue rather than rental expense effective at adoption on January 1, 2019,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$0.3 million from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$0.6 million from property sales.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decreased to 18.6% in the six months ended June 30, 2019 from 18.9% the six months ended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Real estate tax expense decreased $3.9 million, or 6.9%, to $52.9 million in the six months ended June 30, 2019 compared to $56.8 million in the six months ended June 30, 2018 due primarily to:</w:t>
      </w:r>
    </w:p>
    <w:p>
      <w:pPr>
        <w:spacing w:after="0" w:line="8" w:lineRule="exact"/>
        <w:rPr>
          <w:sz w:val="20"/>
          <w:szCs w:val="20"/>
          <w:color w:val="auto"/>
        </w:rPr>
      </w:pPr>
    </w:p>
    <w:p>
      <w:pPr>
        <w:ind w:left="1140" w:hanging="241"/>
        <w:spacing w:after="0" w:line="305"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decrease of $4.3 million from comparable properties due primarily to a tax refund from a multi-year appeal and reassessment for three of our properties and $2.7 million due to the new lease accounting standard requirement, which no longer permits the gross up of real estate tax revenue and expense for real estate taxes that our tenants pay directly to the taxing authority (see Note 2 for additional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62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$0.6 million from non-comparable properties due primarily to increases in assessments as a result of our redevelopment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Property operating income increased $15.3 million, or 4.9%, to $324.1 million in the six months ended June 30, 2019 compared to $308.9 million in the six months ended June 30, 2018. This increase is due primarily to growth in earnings at comparable properties, the opening of Phase II at Assembly Row and Pike &amp; Rose, and our acquisition of Fairfax Junction in February 2019, partially offset by property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General and administrative expense increased $4.6 million, or 28.4%, to $21.0 million in the six months ended June 30, 2019 from $16.3 million in the six months ended June 30, 2018. This increase is due primarily to higher leasing related costs as certain costs can no longer be capitalized as a result of the new lease accounting standard (see Note 2 for additional disclosure) and higher personnel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$16.2 million gain on sale of real estate, net for the six months ended June 30, 2019 is due primarily to the sale of Free State Shopping Center and a land parcel at Northeast Shopping Center.</w:t>
      </w:r>
    </w:p>
    <w:p>
      <w:pPr>
        <w:spacing w:after="0" w:line="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$7.3 million net gain for the six months ended June 30, 2018 is related to condominium unit sales that closed at our Assembly Row and Pike and Rose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increased $17.3 million, or 9.5%, to $200.7 million in the six months ended June 30, 2019 compared to $183.3 million in the six months ended June 30, 2018. This increase is due primarily to growth in earnings at our comparable properties, the net gains on the sales of Free State Shopping Center and a land parcel at Northeast Shopping Center, and the opening of Phase II of Assembly Row and Pike &amp; Rose, partially offset by higher leasing and personnel related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$1.6 million, or 2.9%, to $55.5 million in the six months ended June 30, 2019 compared to $54.0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This increase is due primarily to the following:</w:t>
      </w:r>
    </w:p>
    <w:p>
      <w:pPr>
        <w:spacing w:after="0" w:line="49" w:lineRule="exact"/>
        <w:rPr>
          <w:sz w:val="20"/>
          <w:szCs w:val="20"/>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$1.9 million due to a higher overall weighted average borrowing rate and</w:t>
      </w:r>
    </w:p>
    <w:p>
      <w:pPr>
        <w:spacing w:after="0" w:line="63" w:lineRule="exact"/>
        <w:rPr>
          <w:rFonts w:ascii="Arial" w:cs="Arial" w:eastAsia="Arial" w:hAnsi="Arial"/>
          <w:sz w:val="18"/>
          <w:szCs w:val="18"/>
          <w:color w:val="auto"/>
        </w:rPr>
      </w:pPr>
    </w:p>
    <w:p>
      <w:pPr>
        <w:ind w:left="1140" w:right="50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$1.5 million in capitalized interest, primarily attributable to portions of Phase II of Assembly Row and Pike &amp; Rose being placed in service partially offset by our Santana Row development,</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$1.8 million due to lower weighted average borrowings.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Gross interest costs were $64.8 million and $64.7 million in the six months ended June 30, 2019 and 2018, respectively. Capitalized interest was $9.2 million and $10.7 million in the six months ended June 30,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June 30, 2019, we had cash and cash equivalents of $105.9 million and no outstanding balance on our $800.0 million unsecured revolving credit facility. For the six months ended June 30, 2019, the maximum amount of borrowings outstanding under our revolving credit facility was $116.5 million, the weighted average amount of borrowings outstanding was $45.1 million and the weighted average interest rate, before amortization of debt fees, was 3.2%. On July 25, 2019, we amended our revolving credit facility to increase our borrowing capacity to $1.0 billion, lower our spread over LIBOR from 82.5 basis points to</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77.5 basis points, and extend the maturity date to January 19, 2024, subject to two six-month extensions at our option. In addition, we have an option (subject to bank approval) to increase the credit facility through an accordion feature to $1.5 billion.</w:t>
      </w:r>
    </w:p>
    <w:p>
      <w:pPr>
        <w:spacing w:after="0" w:line="1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June 7, 2019, we issued $300.0 million of fixed rate senior unsecured notes that mature on June 15, 2029 and bear interest at 3.20%. The net proceeds of $297.0 million were primarily used to repay our $275.0 million unsecured term loan, which was to mature in November 2019, resulting in no remaining debt maturing in 2019. During the six months ended June 30, 2019, we raised $68.3 million, after fees and other costs, under our ATM equity program, which as of June 30, 2019, had the capacity to issue up to $203.4 million in common shares. We currently believe that cash flows from operations, cash on han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 our ATM program, our revolving credit facility and our general ability to access the capital markets will be sufficient to finance our operations and fund our debt service requirements and capital expenditures.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overall capital requirements for the remainder of 2019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see higher levels of capital investments in our properties under development and redevelopment compared to 2018, as we invest in the next phase of these projects.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242,287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(113,368)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(78,695)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(96,982)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31,937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83,762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108,332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140,269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108,962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Net cash provided by operating activities decreased $20.8 million to $242.3 million during the six months ended June 30, 2019 from $263.1 million during the six months ended June 30, 2018. The decrease was primarily attributable to $12.4 million in net proceeds from the Jordan Downs Plaza new market tax credit transaction in June 2018 and the timing of cash receipts, partially offset by higher net income before certain non-cash items.</w:t>
      </w:r>
    </w:p>
    <w:p>
      <w:pPr>
        <w:spacing w:after="0" w:line="111"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Net cash used in investing activities increased $34.7 million to $113.4 million during the six months ended June 30, 2019 from $78.7 million during the six months ended June 30, 2018. The increase was primarily attributable to:</w:t>
      </w:r>
    </w:p>
    <w:p>
      <w:pPr>
        <w:spacing w:after="0" w:line="8" w:lineRule="exact"/>
        <w:rPr>
          <w:sz w:val="20"/>
          <w:szCs w:val="20"/>
          <w:color w:val="auto"/>
        </w:rPr>
      </w:pPr>
    </w:p>
    <w:p>
      <w:pPr>
        <w:ind w:left="1140" w:right="100" w:hanging="241"/>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$28.4 million decrease in proceeds from sales of real estate, resulting from a decrease in the sale of condominiums at our Assembly Row and Pike &amp; Rose properties, partially offset by the sale of Free State Shopping Center and a land parcel at Northeast Shopping Center in May 2019,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$23.4 million increase in acquisition of real estate, primarily due to the acquisition of Fairfax Junction in February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$15.5 million decrease in capital expenditures as we complete portions of Phase II of both our Assembly Row and Pike &amp; Rose projects.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in financing activities decreased $3.7 million to $97.0 million during the six months ended June 30, 2019 from $100.7 million during the six months ended June 30, 2018. The decrease was primarily attributable to:</w:t>
      </w:r>
    </w:p>
    <w:p>
      <w:pPr>
        <w:spacing w:after="0" w:line="8" w:lineRule="exact"/>
        <w:rPr>
          <w:sz w:val="20"/>
          <w:szCs w:val="20"/>
          <w:color w:val="auto"/>
        </w:rPr>
      </w:pPr>
    </w:p>
    <w:p>
      <w:pPr>
        <w:ind w:left="5620" w:right="1760" w:hanging="4721"/>
        <w:spacing w:after="0" w:line="559" w:lineRule="auto"/>
        <w:tabs>
          <w:tab w:leader="none" w:pos="11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$297.1 million in net proceeds from the issuance of $300.0 million of 3.20% senior unsecured notes in June 2019, and 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140" w:hanging="241"/>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$46.0 million increase in net proceeds from the issuance of 0.5 million common shares under our ATM program at a weighted average price of $134.96 during the six months ended June 30, 2019, as compared to 0.2 million common shares at a weighted average price of $125.46 in 2018,</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right="380" w:hanging="241"/>
        <w:spacing w:after="0" w:line="286"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$284.7 million increase in repayment of mortgages, finance leases, and notes payable primarily due to the payoff of our $275.0 million unsecured term loan in June 2019 and the $20.3 million payoff of the mortgage loan on Rollingwood Apartments in January 2019, as compared to the $10.5 million payoff of the mortgage loan on the Grove at Shrewsbury (West) in March 2018,</w:t>
      </w:r>
    </w:p>
    <w:p>
      <w:pPr>
        <w:spacing w:after="0" w:line="3" w:lineRule="exact"/>
        <w:rPr>
          <w:rFonts w:ascii="Arial" w:cs="Arial" w:eastAsia="Arial" w:hAnsi="Arial"/>
          <w:sz w:val="17"/>
          <w:szCs w:val="17"/>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$48.0 million decrease in net borrowings on our revolving credit facility, and</w:t>
      </w:r>
    </w:p>
    <w:p>
      <w:pPr>
        <w:spacing w:after="0" w:line="63" w:lineRule="exact"/>
        <w:rPr>
          <w:rFonts w:ascii="Arial" w:cs="Arial" w:eastAsia="Arial" w:hAnsi="Arial"/>
          <w:sz w:val="18"/>
          <w:szCs w:val="18"/>
          <w:color w:val="auto"/>
        </w:rPr>
      </w:pPr>
    </w:p>
    <w:p>
      <w:pPr>
        <w:ind w:left="1140" w:right="80" w:hanging="241"/>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$5.4 million increase in dividends paid to shareholders due to an increase in the common share dividend rate and an increase in the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6" w:right="29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of June 30, 2019</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June 30, 2019</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63,326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3,999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16,819</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Del Sol</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8,321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68,411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Bell Gardens</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12,808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5,770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452,259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(1,376)</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 net</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450,883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(1)</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Various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7,239</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4,229</w:t>
            </w:r>
          </w:p>
        </w:tc>
        <w:tc>
          <w:tcPr>
            <w:tcW w:w="1740" w:type="dxa"/>
            <w:vAlign w:val="bottom"/>
            <w:gridSpan w:val="2"/>
          </w:tcPr>
          <w:p>
            <w:pPr>
              <w:jc w:val="right"/>
              <w:ind w:right="85"/>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 net</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15, 2029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3.625%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2,719,200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(16,463)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2,702,737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net</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3,157,783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60" w:hanging="652"/>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2019 was $116.5 million, and the weighted average interest rate on borrowings under our revolving credit facility, before amortization of debt fees, was 3.2%. On July 25, 2019, we amended our revolving credit facility to increase our borrowing capacity to $1.0 billion and extend the maturity date to January 19, 2024. We also lowered the spread over LIBOR to 77.5 basis points.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revolving credit facility and other debt agreements include financial and other covenants that may limit our operating activities in the future. As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June 30, 2019, we were in compliance with all financial and other covenants related to our revolving credit facility and senior notes. Additionally,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2019, we were in compliance with all of the financial and other covenants that could trigger loan default on our mortgage loans. If we were to breach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of these financial and other covenants and did not cure the breach within an applicable cure period, our lenders could require us to repay the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immediately and, if the debt is secured, could immediately begin proceedings to take possession of the property securing the loan. Many of our debt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arrangements, including our public notes and our revolving credit facility, are cross-defaulted, which</w:t>
      </w:r>
    </w:p>
    <w:p>
      <w:pPr>
        <w:sectPr>
          <w:pgSz w:w="11900" w:h="16838" w:orient="portrait"/>
          <w:cols w:equalWidth="0" w:num="1">
            <w:col w:w="11420"/>
          </w:cols>
          <w:pgMar w:left="240" w:top="126" w:right="239" w:bottom="19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6" w:right="239" w:bottom="19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2019:</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Unsecured</w:t>
            </w:r>
          </w:p>
        </w:tc>
        <w:tc>
          <w:tcPr>
            <w:tcW w:w="180" w:type="dxa"/>
            <w:vAlign w:val="bottom"/>
          </w:tcPr>
          <w:p>
            <w:pPr>
              <w:spacing w:after="0"/>
              <w:rPr>
                <w:sz w:val="16"/>
                <w:szCs w:val="16"/>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Secured</w:t>
            </w:r>
          </w:p>
        </w:tc>
        <w:tc>
          <w:tcPr>
            <w:tcW w:w="320" w:type="dxa"/>
            <w:vAlign w:val="bottom"/>
          </w:tcPr>
          <w:p>
            <w:pPr>
              <w:spacing w:after="0"/>
              <w:rPr>
                <w:sz w:val="16"/>
                <w:szCs w:val="16"/>
                <w:color w:val="auto"/>
              </w:rPr>
            </w:pPr>
          </w:p>
        </w:tc>
        <w:tc>
          <w:tcPr>
            <w:tcW w:w="14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2,746</w:t>
            </w: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3,134</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613</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65,539</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66,152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30,541</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250,758</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117,018</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367,776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275,787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276,517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1,945,201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235,685</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2,180,886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2,723,429</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452,259</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3,175,688  (1)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820" w:right="280" w:hanging="812"/>
        <w:spacing w:after="0" w:line="277" w:lineRule="auto"/>
        <w:tabs>
          <w:tab w:leader="none" w:pos="1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June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of June 30, 2019, our Assembly Row hotel joint venture is party to two interest rate swap agreements that effectively fix their debt at 5.206%. Both swaps were designated and qualify for cash flow hedge accounting. Hedge ineffectiveness has not impacted earnings as of June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1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82,667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144,470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128,464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53,323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52,011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106,812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103,362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122,565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116,336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240,948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230,218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121,005</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114,822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237,898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227,216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73,859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40" w:hanging="652"/>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weighted average common shares used to compute FFO per diluted common share includes operating partnership units and our Series 1 preferred shares that were excluded from the computation of diluted EPS. Conversion of these operating partnership units and preferred shares is dilutive in the computation of FFO per diluted common share but is anti-dilutive for the computation of diluted EPS for the periods presented.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majority of our outstanding debt obligations (maturing at various times through 2046) have fixed interest rates which limit the risk of fluctuating interest rates. However, interest rate fluctuations may affect the fair value of our fixed rate debt instruments. At June 30, 2019, we had $3.2 billion of fixed-rate debt outstanding. If market interest rates used to calculate the fair value on our fixed-rate debt instruments at June 30, 2019 had been 1.0% higher, the fair value of those debt instruments on that date would have decreased by approximately $237.5 million. If market interest rates used to calculate the fair value on our fixed-rate debt instruments at June 30, 2019 had been 1.0% lower, the fair value of those debt instruments on that date would have increased by approximately $272.1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outstanding variable rate debt. At June 30, 2019, our only variable rate debt was our revolving credit facility, which had no outstanding balance.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2019. Based on this evaluation, our management, including our Chief Executive Officer and Chief Financial Officer, concluded that our disclosure controls and procedures were effective as of June 30, 2019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2018.</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2018 filed with the SEC on February 13, 2019.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June 30, 2019, we issued 42,206 common shares in connection with redemptions of downREIT operating partnership units.</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6" w:right="2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126" w:right="4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right="340" w:hanging="1165"/>
        <w:spacing w:after="0" w:line="259"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2019,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6"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2019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2019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1, 2019</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2019-12-28T09:25:00Z</dcterms:created>
  <dcterms:modified xsi:type="dcterms:W3CDTF">2019-12-28T09:25:00Z</dcterms:modified>
</cp:coreProperties>
</file>