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3 )</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4000" w:val="left"/>
          <w:tab w:leader="none" w:pos="6420" w:val="left"/>
          <w:tab w:leader="none" w:pos="726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tab/>
        <w:t>of 8</w:t>
        <w:tab/>
        <w:t>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1060"/>
        <w:spacing w:after="0"/>
        <w:tabs>
          <w:tab w:leader="none" w:pos="1880" w:val="left"/>
          <w:tab w:leader="none" w:pos="3360" w:val="left"/>
          <w:tab w:leader="none" w:pos="4420" w:val="left"/>
        </w:tabs>
        <w:rPr>
          <w:sz w:val="20"/>
          <w:szCs w:val="20"/>
          <w:color w:val="auto"/>
        </w:rPr>
      </w:pPr>
      <w:r>
        <w:rPr>
          <w:rFonts w:ascii="Courier New" w:cs="Courier New" w:eastAsia="Courier New" w:hAnsi="Courier New"/>
          <w:sz w:val="18"/>
          <w:szCs w:val="18"/>
          <w:color w:val="auto"/>
        </w:rPr>
        <w:t>Morgan</w:t>
        <w:tab/>
        <w:t>Stanley Dean</w:t>
        <w:tab/>
        <w:t>Witter &amp;</w:t>
      </w:r>
      <w:r>
        <w:rPr>
          <w:sz w:val="20"/>
          <w:szCs w:val="20"/>
          <w:color w:val="auto"/>
        </w:rPr>
        <w:tab/>
      </w:r>
      <w:r>
        <w:rPr>
          <w:rFonts w:ascii="Courier New" w:cs="Courier New" w:eastAsia="Courier New" w:hAnsi="Courier New"/>
          <w:sz w:val="16"/>
          <w:szCs w:val="16"/>
          <w:color w:val="auto"/>
        </w:rPr>
        <w:t>Co.</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2"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3,335,636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32" w:right="5259" w:hanging="736"/>
        <w:spacing w:after="0" w:line="235" w:lineRule="auto"/>
        <w:tabs>
          <w:tab w:leader="none" w:pos="2421"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4,000,536</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4,000,536</w:t>
      </w:r>
    </w:p>
    <w:p>
      <w:pPr>
        <w:spacing w:after="0" w:line="207"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10.13%</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IA, CO</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3780" w:val="left"/>
          <w:tab w:leader="none" w:pos="620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tab/>
        <w:t>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Morgan Stanley Dean Witter Investment Management Inc.</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3,042,000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3,706,900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3,706,900</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280"/>
        <w:spacing w:after="0"/>
        <w:rPr>
          <w:sz w:val="20"/>
          <w:szCs w:val="20"/>
          <w:color w:val="auto"/>
        </w:rPr>
      </w:pPr>
      <w:r>
        <w:rPr>
          <w:rFonts w:ascii="Courier New" w:cs="Courier New" w:eastAsia="Courier New" w:hAnsi="Courier New"/>
          <w:sz w:val="18"/>
          <w:szCs w:val="18"/>
          <w:color w:val="auto"/>
        </w:rPr>
        <w:t>9.39%</w:t>
      </w:r>
    </w:p>
    <w:p>
      <w:pPr>
        <w:spacing w:after="0" w:line="20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IA, CO</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4000" w:val="left"/>
          <w:tab w:leader="none" w:pos="6300" w:val="left"/>
          <w:tab w:leader="none" w:pos="7160" w:val="left"/>
          <w:tab w:leader="none" w:pos="758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w:t>
        <w:tab/>
        <w:t>of</w:t>
        <w:tab/>
        <w:t>8</w:t>
        <w:tab/>
        <w:t>Pages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ind w:left="6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ind w:left="1900"/>
        <w:spacing w:after="0"/>
        <w:rPr>
          <w:sz w:val="20"/>
          <w:szCs w:val="20"/>
          <w:color w:val="auto"/>
        </w:rPr>
      </w:pPr>
      <w:r>
        <w:rPr>
          <w:rFonts w:ascii="Courier New" w:cs="Courier New" w:eastAsia="Courier New" w:hAnsi="Courier New"/>
          <w:sz w:val="18"/>
          <w:szCs w:val="18"/>
          <w:color w:val="auto"/>
        </w:rPr>
        <w:t>(a) Morgan Stanley Dean Witter &amp; Co.</w:t>
      </w:r>
    </w:p>
    <w:p>
      <w:pPr>
        <w:ind w:left="1900"/>
        <w:spacing w:after="0" w:line="237" w:lineRule="auto"/>
        <w:rPr>
          <w:sz w:val="20"/>
          <w:szCs w:val="20"/>
          <w:color w:val="auto"/>
        </w:rPr>
      </w:pPr>
      <w:r>
        <w:rPr>
          <w:rFonts w:ascii="Courier New" w:cs="Courier New" w:eastAsia="Courier New" w:hAnsi="Courier New"/>
          <w:sz w:val="18"/>
          <w:szCs w:val="18"/>
          <w:color w:val="auto"/>
        </w:rPr>
        <w:t>(b) Morgan Stanley Dean Witter Investment Management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1900"/>
        <w:spacing w:after="0" w:line="237" w:lineRule="auto"/>
        <w:rPr>
          <w:sz w:val="20"/>
          <w:szCs w:val="20"/>
          <w:color w:val="auto"/>
        </w:rPr>
      </w:pPr>
      <w:r>
        <w:rPr>
          <w:rFonts w:ascii="Courier New" w:cs="Courier New" w:eastAsia="Courier New" w:hAnsi="Courier New"/>
          <w:sz w:val="18"/>
          <w:szCs w:val="18"/>
          <w:color w:val="auto"/>
        </w:rPr>
        <w:t>(a) 1585 Broadway</w:t>
      </w:r>
    </w:p>
    <w:p>
      <w:pPr>
        <w:ind w:left="2320"/>
        <w:spacing w:after="0"/>
        <w:tabs>
          <w:tab w:leader="none" w:pos="2840" w:val="left"/>
          <w:tab w:leader="none" w:pos="4000" w:val="left"/>
          <w:tab w:leader="none" w:pos="4620" w:val="left"/>
        </w:tabs>
        <w:rPr>
          <w:sz w:val="20"/>
          <w:szCs w:val="20"/>
          <w:color w:val="auto"/>
        </w:rPr>
      </w:pPr>
      <w:r>
        <w:rPr>
          <w:rFonts w:ascii="Courier New" w:cs="Courier New" w:eastAsia="Courier New" w:hAnsi="Courier New"/>
          <w:sz w:val="18"/>
          <w:szCs w:val="18"/>
          <w:color w:val="auto"/>
        </w:rPr>
        <w:t>New</w:t>
        <w:tab/>
        <w:t>York, New</w:t>
        <w:tab/>
        <w:t>York</w:t>
      </w:r>
      <w:r>
        <w:rPr>
          <w:sz w:val="20"/>
          <w:szCs w:val="20"/>
          <w:color w:val="auto"/>
        </w:rPr>
        <w:tab/>
      </w:r>
      <w:r>
        <w:rPr>
          <w:rFonts w:ascii="Courier New" w:cs="Courier New" w:eastAsia="Courier New" w:hAnsi="Courier New"/>
          <w:sz w:val="16"/>
          <w:szCs w:val="16"/>
          <w:color w:val="auto"/>
        </w:rPr>
        <w:t>10036</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1221 Avenue of the Americas</w:t>
      </w:r>
    </w:p>
    <w:p>
      <w:pPr>
        <w:ind w:left="2320"/>
        <w:spacing w:after="0" w:line="238" w:lineRule="auto"/>
        <w:tabs>
          <w:tab w:leader="none" w:pos="2840" w:val="left"/>
          <w:tab w:leader="none" w:pos="3560" w:val="left"/>
          <w:tab w:leader="none" w:pos="4100" w:val="left"/>
          <w:tab w:leader="none" w:pos="4720" w:val="left"/>
        </w:tabs>
        <w:rPr>
          <w:sz w:val="20"/>
          <w:szCs w:val="20"/>
          <w:color w:val="auto"/>
        </w:rPr>
      </w:pPr>
      <w:r>
        <w:rPr>
          <w:rFonts w:ascii="Courier New" w:cs="Courier New" w:eastAsia="Courier New" w:hAnsi="Courier New"/>
          <w:sz w:val="18"/>
          <w:szCs w:val="18"/>
          <w:color w:val="auto"/>
        </w:rPr>
        <w:t>New</w:t>
        <w:tab/>
        <w:t>York,</w:t>
        <w:tab/>
        <w:t>New</w:t>
        <w:tab/>
        <w:t>York</w:t>
        <w:tab/>
        <w:t>10020</w:t>
      </w:r>
    </w:p>
    <w:p>
      <w:pPr>
        <w:jc w:val="right"/>
        <w:ind w:right="1779"/>
        <w:spacing w:after="0"/>
        <w:rPr>
          <w:sz w:val="20"/>
          <w:szCs w:val="20"/>
          <w:color w:val="auto"/>
        </w:rPr>
      </w:pPr>
      <w:r>
        <w:rPr>
          <w:rFonts w:ascii="Courier New" w:cs="Courier New" w:eastAsia="Courier New" w:hAnsi="Courier New"/>
          <w:sz w:val="18"/>
          <w:szCs w:val="18"/>
          <w:color w:val="auto"/>
        </w:rPr>
        <w:t>--------------------------------------------------------------</w:t>
      </w: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ind w:left="2860"/>
        <w:spacing w:after="0"/>
        <w:tabs>
          <w:tab w:leader="none" w:pos="4300" w:val="left"/>
          <w:tab w:leader="none" w:pos="4720" w:val="left"/>
          <w:tab w:leader="none" w:pos="5880" w:val="left"/>
          <w:tab w:leader="none" w:pos="6300" w:val="left"/>
          <w:tab w:leader="none" w:pos="6940" w:val="left"/>
          <w:tab w:leader="none" w:pos="7260" w:val="left"/>
          <w:tab w:leader="none" w:pos="7680" w:val="left"/>
        </w:tabs>
        <w:rPr>
          <w:sz w:val="20"/>
          <w:szCs w:val="20"/>
          <w:color w:val="auto"/>
        </w:rPr>
      </w:pPr>
      <w:r>
        <w:rPr>
          <w:rFonts w:ascii="Courier New" w:cs="Courier New" w:eastAsia="Courier New" w:hAnsi="Courier New"/>
          <w:sz w:val="18"/>
          <w:szCs w:val="18"/>
          <w:color w:val="auto"/>
        </w:rPr>
        <w:t>Incorporated</w:t>
        <w:tab/>
        <w:t>by</w:t>
        <w:tab/>
        <w:t>reference</w:t>
        <w:tab/>
        <w:t>to</w:t>
        <w:tab/>
        <w:t>Item</w:t>
        <w:tab/>
        <w:t>4</w:t>
        <w:tab/>
        <w:t>of</w:t>
      </w:r>
      <w:r>
        <w:rPr>
          <w:sz w:val="20"/>
          <w:szCs w:val="20"/>
          <w:color w:val="auto"/>
        </w:rPr>
        <w:tab/>
      </w:r>
      <w:r>
        <w:rPr>
          <w:rFonts w:ascii="Courier New" w:cs="Courier New" w:eastAsia="Courier New" w:hAnsi="Courier New"/>
          <w:sz w:val="16"/>
          <w:szCs w:val="16"/>
          <w:color w:val="auto"/>
        </w:rPr>
        <w:t>the</w:t>
      </w:r>
    </w:p>
    <w:p>
      <w:pPr>
        <w:ind w:left="2860"/>
        <w:spacing w:after="0"/>
        <w:tabs>
          <w:tab w:leader="none" w:pos="4100" w:val="left"/>
          <w:tab w:leader="none" w:pos="5360" w:val="left"/>
          <w:tab w:leader="none" w:pos="5780" w:val="left"/>
          <w:tab w:leader="none" w:pos="6420" w:val="left"/>
          <w:tab w:leader="none" w:pos="7580" w:val="left"/>
        </w:tabs>
        <w:rPr>
          <w:sz w:val="20"/>
          <w:szCs w:val="20"/>
          <w:color w:val="auto"/>
        </w:rPr>
      </w:pPr>
      <w:r>
        <w:rPr>
          <w:rFonts w:ascii="Courier New" w:cs="Courier New" w:eastAsia="Courier New" w:hAnsi="Courier New"/>
          <w:sz w:val="18"/>
          <w:szCs w:val="18"/>
          <w:color w:val="auto"/>
        </w:rPr>
        <w:t>cover page</w:t>
        <w:tab/>
        <w:t>pertaining</w:t>
        <w:tab/>
        <w:t>to</w:t>
        <w:tab/>
        <w:t>each</w:t>
        <w:tab/>
        <w:t>reporting</w:t>
      </w:r>
      <w:r>
        <w:rPr>
          <w:sz w:val="20"/>
          <w:szCs w:val="20"/>
          <w:color w:val="auto"/>
        </w:rPr>
        <w:tab/>
      </w:r>
      <w:r>
        <w:rPr>
          <w:rFonts w:ascii="Courier New" w:cs="Courier New" w:eastAsia="Courier New" w:hAnsi="Courier New"/>
          <w:sz w:val="16"/>
          <w:szCs w:val="16"/>
          <w:color w:val="auto"/>
        </w:rPr>
        <w:t>person.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860" w:right="5259" w:hanging="1588"/>
        <w:spacing w:after="0" w:line="268" w:lineRule="auto"/>
        <w:tabs>
          <w:tab w:leader="none" w:pos="19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60" w:right="6419" w:hanging="1588"/>
        <w:spacing w:after="0" w:line="268" w:lineRule="auto"/>
        <w:tabs>
          <w:tab w:leader="none" w:pos="19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w w:val="99"/>
              </w:rPr>
              <w:t>Morgan Stanley Dean</w:t>
            </w:r>
          </w:p>
        </w:tc>
        <w:tc>
          <w:tcPr>
            <w:tcW w:w="4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Witter &amp; Co. is (e) an Investment Adviser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registered under Section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203  of the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Advisers Act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1940.</w:t>
            </w: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(b)</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w w:val="99"/>
              </w:rPr>
              <w:t>Morgan Stanley Dean</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Witter Investment</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Management  Inc. is (e)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  Investment  Adviser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under  Section 203 of the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Investment Advisers</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Act of 1940.</w:t>
            </w:r>
          </w:p>
        </w:tc>
        <w:tc>
          <w:tcPr>
            <w:tcW w:w="26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8</w:t>
        <w:tab/>
        <w:t>Pages</w:t>
      </w:r>
    </w:p>
    <w:p>
      <w:pPr>
        <w:spacing w:after="0" w:line="200" w:lineRule="exact"/>
        <w:rPr>
          <w:sz w:val="20"/>
          <w:szCs w:val="20"/>
          <w:color w:val="auto"/>
        </w:rPr>
      </w:pPr>
    </w:p>
    <w:p>
      <w:pPr>
        <w:sectPr>
          <w:pgSz w:w="11900" w:h="16838" w:orient="portrait"/>
          <w:cols w:equalWidth="0" w:num="5">
            <w:col w:w="3180" w:space="720"/>
            <w:col w:w="1700" w:space="720"/>
            <w:col w:w="640" w:space="220"/>
            <w:col w:w="200" w:space="220"/>
            <w:col w:w="26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20" w:lineRule="exact"/>
        <w:rPr>
          <w:sz w:val="20"/>
          <w:szCs w:val="20"/>
          <w:color w:val="auto"/>
        </w:rPr>
      </w:pPr>
    </w:p>
    <w:p>
      <w:pPr>
        <w:sectPr>
          <w:pgSz w:w="11900" w:h="16838" w:orient="portrait"/>
          <w:cols w:equalWidth="0" w:num="6">
            <w:col w:w="2860" w:space="200"/>
            <w:col w:w="220" w:space="200"/>
            <w:col w:w="960" w:space="200"/>
            <w:col w:w="220" w:space="200"/>
            <w:col w:w="540" w:space="200"/>
            <w:col w:w="4419"/>
          </w:cols>
          <w:pgMar w:left="24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Inapplicable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580" w:right="1779" w:hanging="104"/>
        <w:spacing w:after="0" w:line="237" w:lineRule="auto"/>
        <w:rPr>
          <w:sz w:val="20"/>
          <w:szCs w:val="20"/>
          <w:color w:val="auto"/>
        </w:rPr>
      </w:pPr>
      <w:r>
        <w:rPr>
          <w:rFonts w:ascii="Courier New" w:cs="Courier New" w:eastAsia="Courier New" w:hAnsi="Courier New"/>
          <w:sz w:val="18"/>
          <w:szCs w:val="18"/>
          <w:color w:val="auto"/>
        </w:rPr>
        <w:t>Accounts managed on a discretionary</w:t>
      </w:r>
      <w:r>
        <w:rPr>
          <w:sz w:val="20"/>
          <w:szCs w:val="20"/>
          <w:color w:val="auto"/>
        </w:rPr>
        <w:t xml:space="preserve"> </w:t>
      </w:r>
      <w:r>
        <w:rPr>
          <w:rFonts w:ascii="Courier New" w:cs="Courier New" w:eastAsia="Courier New" w:hAnsi="Courier New"/>
          <w:sz w:val="18"/>
          <w:szCs w:val="18"/>
          <w:color w:val="auto"/>
        </w:rPr>
        <w:t>basis by Morgan Stanley Dean Witter Investment Management Inc., a wholly owned subsidiary of Morgan Stanley Dean Witter &amp; Co., are known to have the right to receive or the power to direct the receipt of dividends from, or the proceeds from, the sale of such securities. No such account holds more than 5 percent of the class.</w:t>
      </w:r>
    </w:p>
    <w:p>
      <w:pPr>
        <w:spacing w:after="0" w:line="210"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31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13-G</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Page 6</w:t>
            </w:r>
          </w:p>
        </w:tc>
        <w:tc>
          <w:tcPr>
            <w:tcW w:w="460" w:type="dxa"/>
            <w:vAlign w:val="bottom"/>
          </w:tcPr>
          <w:p>
            <w:pPr>
              <w:jc w:val="center"/>
              <w:spacing w:after="0"/>
              <w:rPr>
                <w:sz w:val="20"/>
                <w:szCs w:val="20"/>
                <w:color w:val="auto"/>
              </w:rPr>
            </w:pPr>
            <w:r>
              <w:rPr>
                <w:rFonts w:ascii="Courier New" w:cs="Courier New" w:eastAsia="Courier New" w:hAnsi="Courier New"/>
                <w:sz w:val="18"/>
                <w:szCs w:val="18"/>
                <w:color w:val="auto"/>
                <w:w w:val="92"/>
              </w:rPr>
              <w:t>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 Pages</w:t>
            </w:r>
          </w:p>
        </w:tc>
      </w:tr>
      <w:tr>
        <w:trPr>
          <w:trHeight w:val="608"/>
        </w:trPr>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Signature.</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After  reasonable</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6"/>
              </w:rPr>
              <w:t>inquiry  and to the best of my</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knowledge</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160" w:type="dxa"/>
            <w:vAlign w:val="bottom"/>
          </w:tcPr>
          <w:p>
            <w:pPr>
              <w:spacing w:after="0"/>
              <w:rPr>
                <w:sz w:val="17"/>
                <w:szCs w:val="17"/>
                <w:color w:val="auto"/>
              </w:rPr>
            </w:pPr>
          </w:p>
        </w:tc>
        <w:tc>
          <w:tcPr>
            <w:tcW w:w="60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belief,  I  certify  that  the  information  set  forth</w:t>
            </w:r>
          </w:p>
        </w:tc>
        <w:tc>
          <w:tcPr>
            <w:tcW w:w="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in</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statement is true, complete and correct.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February , 2001</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w w:val="96"/>
              </w:rPr>
              <w:t>/s/ Dennine Bullard</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60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Dennine Bullard / Morgan Stanley &amp; Co. Incorporated</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MORGAN STANLEY DEAN WITTER &amp; CO.</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February , 2001</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/s/ Donald P. Ryan</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728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Donald P. Ryan / Principal Morgan Stanley Dean Witter Investment</w:t>
            </w:r>
          </w:p>
        </w:tc>
      </w:tr>
      <w:tr>
        <w:trPr>
          <w:trHeight w:val="203"/>
        </w:trPr>
        <w:tc>
          <w:tcPr>
            <w:tcW w:w="1160" w:type="dxa"/>
            <w:vAlign w:val="bottom"/>
          </w:tcPr>
          <w:p>
            <w:pPr>
              <w:spacing w:after="0"/>
              <w:rPr>
                <w:sz w:val="17"/>
                <w:szCs w:val="17"/>
                <w:color w:val="auto"/>
              </w:rPr>
            </w:pPr>
          </w:p>
        </w:tc>
        <w:tc>
          <w:tcPr>
            <w:tcW w:w="528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Management Inc.</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60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MORGAN STANLEY DEAN WITTER INVESTMENT MANAGEMENT INC.</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28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INDEX TO EXHIBITS</w:t>
            </w:r>
          </w:p>
        </w:tc>
        <w:tc>
          <w:tcPr>
            <w:tcW w:w="7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1</w:t>
            </w:r>
          </w:p>
        </w:tc>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Agreement to Make a Joint Filing</w:t>
            </w:r>
          </w:p>
        </w:tc>
        <w:tc>
          <w:tcPr>
            <w:tcW w:w="7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80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2</w:t>
            </w:r>
          </w:p>
        </w:tc>
        <w:tc>
          <w:tcPr>
            <w:tcW w:w="60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9"/>
              </w:rPr>
              <w:t>Secretary's Certificate Authorizing Dennine Bullard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0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7"/>
              </w:rPr>
              <w:t>to Sign on behalf of Morgan Stanley Dean Witter &amp; Co</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left="1580" w:right="1779" w:firstLine="8"/>
        <w:spacing w:after="0" w:line="235"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ectPr>
          <w:pgSz w:w="11900" w:h="16838" w:orient="portrait"/>
          <w:cols w:equalWidth="0" w:num="1">
            <w:col w:w="10219"/>
          </w:cols>
          <w:pgMar w:left="240" w:top="514" w:right="1440" w:bottom="1440" w:gutter="0" w:footer="0" w:header="0"/>
        </w:sectPr>
      </w:pPr>
    </w:p>
    <w:bookmarkStart w:id="6" w:name="page7"/>
    <w:bookmarkEnd w:id="6"/>
    <w:p>
      <w:pPr>
        <w:ind w:left="112"/>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 Pages</w:t>
      </w:r>
    </w:p>
    <w:p>
      <w:pPr>
        <w:spacing w:after="0" w:line="200" w:lineRule="exact"/>
        <w:rPr>
          <w:sz w:val="20"/>
          <w:szCs w:val="20"/>
          <w:color w:val="auto"/>
        </w:rPr>
      </w:pPr>
    </w:p>
    <w:p>
      <w:pPr>
        <w:sectPr>
          <w:pgSz w:w="11900" w:h="16838" w:orient="portrait"/>
          <w:cols w:equalWidth="0" w:num="5">
            <w:col w:w="3292" w:space="720"/>
            <w:col w:w="1700" w:space="720"/>
            <w:col w:w="620" w:space="220"/>
            <w:col w:w="200" w:space="220"/>
            <w:col w:w="2519"/>
          </w:cols>
          <w:pgMar w:left="248" w:top="547" w:right="1440" w:bottom="1440" w:gutter="0" w:footer="0" w:header="0"/>
        </w:sectPr>
      </w:pPr>
    </w:p>
    <w:p>
      <w:pPr>
        <w:spacing w:after="0" w:line="221" w:lineRule="exact"/>
        <w:rPr>
          <w:sz w:val="20"/>
          <w:szCs w:val="20"/>
          <w:color w:val="auto"/>
        </w:rPr>
      </w:pPr>
    </w:p>
    <w:p>
      <w:pPr>
        <w:jc w:val="center"/>
        <w:ind w:right="1687"/>
        <w:spacing w:after="0"/>
        <w:rPr>
          <w:sz w:val="20"/>
          <w:szCs w:val="20"/>
          <w:color w:val="auto"/>
        </w:rPr>
      </w:pPr>
      <w:r>
        <w:rPr>
          <w:rFonts w:ascii="Courier New" w:cs="Courier New" w:eastAsia="Courier New" w:hAnsi="Courier New"/>
          <w:sz w:val="18"/>
          <w:szCs w:val="18"/>
          <w:color w:val="auto"/>
        </w:rPr>
        <w:t>EXHIBIT 1 TO SCHEDULE 13G</w:t>
      </w:r>
    </w:p>
    <w:p>
      <w:pPr>
        <w:spacing w:after="0" w:line="4" w:lineRule="exact"/>
        <w:rPr>
          <w:sz w:val="20"/>
          <w:szCs w:val="20"/>
          <w:color w:val="auto"/>
        </w:rPr>
      </w:pPr>
    </w:p>
    <w:p>
      <w:pPr>
        <w:jc w:val="center"/>
        <w:ind w:right="1687"/>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72"/>
        <w:spacing w:after="0"/>
        <w:rPr>
          <w:sz w:val="20"/>
          <w:szCs w:val="20"/>
          <w:color w:val="auto"/>
        </w:rPr>
      </w:pPr>
      <w:r>
        <w:rPr>
          <w:rFonts w:ascii="Courier New" w:cs="Courier New" w:eastAsia="Courier New" w:hAnsi="Courier New"/>
          <w:sz w:val="18"/>
          <w:szCs w:val="18"/>
          <w:color w:val="auto"/>
        </w:rPr>
        <w:t>FEBRUARY , 2001</w:t>
      </w:r>
    </w:p>
    <w:p>
      <w:pPr>
        <w:spacing w:after="0" w:line="207"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54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STANLEY DEAN WITTER &amp; CO. and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STANLEY DEAN WITTER</w:t>
      </w:r>
    </w:p>
    <w:p>
      <w:pPr>
        <w:spacing w:after="0" w:line="200" w:lineRule="exact"/>
        <w:rPr>
          <w:sz w:val="20"/>
          <w:szCs w:val="20"/>
          <w:color w:val="auto"/>
        </w:rPr>
      </w:pPr>
    </w:p>
    <w:p>
      <w:pPr>
        <w:sectPr>
          <w:pgSz w:w="11900" w:h="16838" w:orient="portrait"/>
          <w:cols w:equalWidth="0" w:num="3">
            <w:col w:w="2212" w:space="220"/>
            <w:col w:w="3780" w:space="220"/>
            <w:col w:w="3779"/>
          </w:cols>
          <w:pgMar w:left="248" w:top="547" w:right="1440" w:bottom="1440" w:gutter="0" w:footer="0" w:header="0"/>
          <w:type w:val="continuous"/>
        </w:sectPr>
      </w:pPr>
    </w:p>
    <w:p>
      <w:pPr>
        <w:spacing w:after="0" w:line="24"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INVESTMENT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hereby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agree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that,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w:t>
      </w:r>
    </w:p>
    <w:p>
      <w:pPr>
        <w:spacing w:after="0" w:line="200" w:lineRule="exact"/>
        <w:rPr>
          <w:sz w:val="20"/>
          <w:szCs w:val="20"/>
          <w:color w:val="auto"/>
        </w:rPr>
      </w:pPr>
    </w:p>
    <w:p>
      <w:pPr>
        <w:sectPr>
          <w:pgSz w:w="11900" w:h="16838" w:orient="portrait"/>
          <w:cols w:equalWidth="0" w:num="7">
            <w:col w:w="2632" w:space="420"/>
            <w:col w:w="1060" w:space="320"/>
            <w:col w:w="420" w:space="300"/>
            <w:col w:w="640" w:space="320"/>
            <w:col w:w="520" w:space="320"/>
            <w:col w:w="520" w:space="320"/>
            <w:col w:w="2419"/>
          </w:cols>
          <w:pgMar w:left="248" w:top="547" w:right="1440" w:bottom="1440" w:gutter="0" w:footer="0" w:header="0"/>
          <w:type w:val="continuous"/>
        </w:sectPr>
      </w:pPr>
    </w:p>
    <w:p>
      <w:pPr>
        <w:spacing w:after="0" w:line="18" w:lineRule="exact"/>
        <w:rPr>
          <w:sz w:val="20"/>
          <w:szCs w:val="20"/>
          <w:color w:val="auto"/>
        </w:rPr>
      </w:pPr>
    </w:p>
    <w:p>
      <w:pPr>
        <w:ind w:left="1572"/>
        <w:spacing w:after="0"/>
        <w:tabs>
          <w:tab w:leader="none" w:pos="3352" w:val="left"/>
          <w:tab w:leader="none" w:pos="3992" w:val="left"/>
        </w:tabs>
        <w:rPr>
          <w:sz w:val="20"/>
          <w:szCs w:val="20"/>
          <w:color w:val="auto"/>
        </w:rPr>
      </w:pPr>
      <w:r>
        <w:rPr>
          <w:rFonts w:ascii="Courier New" w:cs="Courier New" w:eastAsia="Courier New" w:hAnsi="Courier New"/>
          <w:sz w:val="18"/>
          <w:szCs w:val="18"/>
          <w:color w:val="auto"/>
        </w:rPr>
        <w:t>differentiated,</w:t>
        <w:tab/>
        <w:t>this</w:t>
      </w:r>
      <w:r>
        <w:rPr>
          <w:sz w:val="20"/>
          <w:szCs w:val="20"/>
          <w:color w:val="auto"/>
        </w:rPr>
        <w:tab/>
      </w:r>
      <w:r>
        <w:rPr>
          <w:rFonts w:ascii="Courier New" w:cs="Courier New" w:eastAsia="Courier New" w:hAnsi="Courier New"/>
          <w:sz w:val="16"/>
          <w:szCs w:val="16"/>
          <w:color w:val="auto"/>
        </w:rPr>
        <w:t>Schedule 13G is filed on behalf of each of</w:t>
      </w:r>
    </w:p>
    <w:p>
      <w:pPr>
        <w:spacing w:after="0" w:line="201"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the parties.</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MORGAN STANLEY DEAN WITTER &amp; CO.</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Dennine Bullard / Morgan Stanley &amp; Co. Incorporated</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MORGAN STANLEY DEAN WITTER INVESTMENT MANAGEMENT INC.</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BY: /s/ Donald P. Ryan</w:t>
      </w:r>
    </w:p>
    <w:p>
      <w:pPr>
        <w:spacing w:after="0" w:line="4"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52" w:right="2199" w:hanging="1790"/>
        <w:spacing w:after="0" w:line="235" w:lineRule="auto"/>
        <w:rPr>
          <w:sz w:val="20"/>
          <w:szCs w:val="20"/>
          <w:color w:val="auto"/>
        </w:rPr>
      </w:pPr>
      <w:r>
        <w:rPr>
          <w:rFonts w:ascii="Courier New" w:cs="Courier New" w:eastAsia="Courier New" w:hAnsi="Courier New"/>
          <w:sz w:val="18"/>
          <w:szCs w:val="18"/>
          <w:color w:val="auto"/>
        </w:rPr>
        <w:t>Donald P. Ryan / Principal Morgan Stanley Dean Witter Investment Management Inc.</w:t>
      </w:r>
    </w:p>
    <w:p>
      <w:pPr>
        <w:spacing w:after="0" w:line="200" w:lineRule="exact"/>
        <w:rPr>
          <w:sz w:val="20"/>
          <w:szCs w:val="20"/>
          <w:color w:val="auto"/>
        </w:rPr>
      </w:pPr>
    </w:p>
    <w:p>
      <w:pPr>
        <w:spacing w:after="0" w:line="211" w:lineRule="exact"/>
        <w:rPr>
          <w:sz w:val="20"/>
          <w:szCs w:val="20"/>
          <w:color w:val="auto"/>
        </w:rPr>
      </w:pPr>
    </w:p>
    <w:p>
      <w:pPr>
        <w:ind w:left="212" w:right="1999" w:hanging="212"/>
        <w:spacing w:after="0" w:line="235" w:lineRule="auto"/>
        <w:tabs>
          <w:tab w:leader="none" w:pos="21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1"/>
          </w:cols>
          <w:pgMar w:left="248" w:top="547" w:right="1440" w:bottom="1440" w:gutter="0" w:footer="0" w:header="0"/>
          <w:type w:val="continuous"/>
        </w:sectPr>
      </w:pPr>
    </w:p>
    <w:bookmarkStart w:id="7" w:name="page8"/>
    <w:bookmarkEnd w:id="7"/>
    <w:p>
      <w:pPr>
        <w:ind w:left="5480"/>
        <w:spacing w:after="0"/>
        <w:rPr>
          <w:sz w:val="20"/>
          <w:szCs w:val="20"/>
          <w:color w:val="auto"/>
        </w:rPr>
      </w:pPr>
      <w:r>
        <w:rPr>
          <w:rFonts w:ascii="Courier New" w:cs="Courier New" w:eastAsia="Courier New" w:hAnsi="Courier New"/>
          <w:sz w:val="18"/>
          <w:szCs w:val="18"/>
          <w:color w:val="auto"/>
        </w:rPr>
        <w:t>Page 8 of 8 pages</w:t>
      </w:r>
    </w:p>
    <w:p>
      <w:pPr>
        <w:ind w:left="2620"/>
        <w:spacing w:after="0"/>
        <w:tabs>
          <w:tab w:leader="none" w:pos="55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I,  Charlene R.</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Herzer,</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a duly  elected</w:t>
            </w:r>
          </w:p>
        </w:tc>
        <w:tc>
          <w:tcPr>
            <w:tcW w:w="29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and Assistant  Secretary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Morgan</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Stanley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Dean</w:t>
            </w:r>
          </w:p>
        </w:tc>
        <w:tc>
          <w:tcPr>
            <w:tcW w:w="3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Witter &amp; Co., a corporation</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organized</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existing  under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laws</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the State of Delaware  (the</w:t>
            </w:r>
          </w:p>
        </w:tc>
        <w:tc>
          <w:tcPr>
            <w:tcW w:w="700" w:type="dxa"/>
            <w:vAlign w:val="bottom"/>
          </w:tcPr>
          <w:p>
            <w:pPr>
              <w:spacing w:after="0"/>
              <w:rPr>
                <w:sz w:val="17"/>
                <w:szCs w:val="17"/>
                <w:color w:val="auto"/>
              </w:rPr>
            </w:pP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"Corporation"),</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certify</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Stuart J.M.</w:t>
            </w:r>
          </w:p>
        </w:tc>
        <w:tc>
          <w:tcPr>
            <w:tcW w:w="2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Breslow, Robert G. Koppenol</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and Dennine</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Bullard are</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authorized to sign reports to be filed</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Sections 13</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3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of the Securities  Exchange Act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1934 (the</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"Act")</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pursuant to the</w:t>
            </w:r>
          </w:p>
        </w:tc>
        <w:tc>
          <w:tcPr>
            <w:tcW w:w="2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following:</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4" w:lineRule="exact"/>
        <w:rPr>
          <w:sz w:val="20"/>
          <w:szCs w:val="20"/>
          <w:color w:val="auto"/>
        </w:rPr>
      </w:pPr>
    </w:p>
    <w:p>
      <w:pPr>
        <w:ind w:left="1360" w:right="2619" w:hanging="943"/>
        <w:spacing w:after="0" w:line="235" w:lineRule="auto"/>
        <w:tabs>
          <w:tab w:leader="none" w:pos="13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31, 1997, the Board of Directors of the Corporation granted authority to Stuart J.M.</w:t>
      </w:r>
    </w:p>
    <w:p>
      <w:pPr>
        <w:spacing w:after="0" w:line="5" w:lineRule="exact"/>
        <w:rPr>
          <w:rFonts w:ascii="Courier New" w:cs="Courier New" w:eastAsia="Courier New" w:hAnsi="Courier New"/>
          <w:sz w:val="18"/>
          <w:szCs w:val="18"/>
          <w:color w:val="auto"/>
        </w:rPr>
      </w:pPr>
    </w:p>
    <w:p>
      <w:pPr>
        <w:jc w:val="both"/>
        <w:ind w:left="136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Breslow and Robert G. Koppenol to sign reports to be filed under Sections 13 and 16 of the Act on behalf of the Corporation.</w:t>
      </w:r>
    </w:p>
    <w:p>
      <w:pPr>
        <w:spacing w:after="0" w:line="208" w:lineRule="exact"/>
        <w:rPr>
          <w:rFonts w:ascii="Courier New" w:cs="Courier New" w:eastAsia="Courier New" w:hAnsi="Courier New"/>
          <w:sz w:val="18"/>
          <w:szCs w:val="18"/>
          <w:color w:val="auto"/>
        </w:rPr>
      </w:pPr>
    </w:p>
    <w:p>
      <w:pPr>
        <w:ind w:left="1360" w:right="1779" w:hanging="943"/>
        <w:spacing w:after="0" w:line="270" w:lineRule="auto"/>
        <w:tabs>
          <w:tab w:leader="none" w:pos="13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23, 2000, Donald G. Kempf, Jr., the Executive Vice President, Chief Legal Officer and Secretary of the Corporation, delegated authority to Dennine Bullard to sign reports to be filed under Sections 13 and 16 of the Act on behalf of the Corporation. Pursuant to Section 7.01 of the Bylaws of the Corporation and resolutions approved by the Board of Directors of the Corporation on September 25, 1998, the Chief Legal Officer is authorized to enter into agreements and other instruments on behalf of the Corporation and may delegate such powers to others under his jurisdiction.</w:t>
      </w:r>
    </w:p>
    <w:p>
      <w:pPr>
        <w:spacing w:after="0" w:line="392" w:lineRule="exact"/>
        <w:rPr>
          <w:sz w:val="20"/>
          <w:szCs w:val="20"/>
          <w:color w:val="auto"/>
        </w:rPr>
      </w:pPr>
    </w:p>
    <w:p>
      <w:pPr>
        <w:ind w:left="100" w:right="177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1st day of March, 2000.</w:t>
      </w: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______________________________</w:t>
      </w:r>
    </w:p>
    <w:p>
      <w:pPr>
        <w:ind w:left="4100"/>
        <w:spacing w:after="0" w:line="238" w:lineRule="auto"/>
        <w:rPr>
          <w:sz w:val="20"/>
          <w:szCs w:val="20"/>
          <w:color w:val="auto"/>
        </w:rPr>
      </w:pPr>
      <w:r>
        <w:rPr>
          <w:rFonts w:ascii="Courier New" w:cs="Courier New" w:eastAsia="Courier New" w:hAnsi="Courier New"/>
          <w:sz w:val="18"/>
          <w:szCs w:val="18"/>
          <w:color w:val="auto"/>
        </w:rPr>
        <w:t>Charlene R. Herzer</w:t>
      </w:r>
    </w:p>
    <w:p>
      <w:pPr>
        <w:ind w:left="4100"/>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9259"/>
      </w:cols>
      <w:pgMar w:left="120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decimal"/>
      <w:start w:val="1"/>
    </w:lvl>
  </w:abstractNum>
  <w:abstractNum w:abstractNumId="1">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7FDCC23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1BEFD79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41A7C4C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6B68079A"/>
    <w:multiLevelType w:val="hybridMultilevel"/>
    <w:lvl w:ilvl="0">
      <w:lvlJc w:val="left"/>
      <w:lvlText w:val="-"/>
      <w:numFmt w:val="bullet"/>
      <w:start w:val="1"/>
    </w:lvl>
    <w:lvl w:ilvl="1">
      <w:lvlJc w:val="left"/>
      <w:lvlText w:val="%2."/>
      <w:numFmt w:val="decimal"/>
      <w:start w:val="10"/>
    </w:lvl>
  </w:abstractNum>
  <w:abstractNum w:abstractNumId="7">
    <w:nsid w:val="4E6AFB66"/>
    <w:multiLevelType w:val="hybridMultilevel"/>
    <w:lvl w:ilvl="0">
      <w:lvlJc w:val="left"/>
      <w:lvlText w:val="-"/>
      <w:numFmt w:val="bullet"/>
      <w:start w:val="1"/>
    </w:lvl>
    <w:lvl w:ilvl="1">
      <w:lvlJc w:val="left"/>
      <w:lvlText w:val="%2."/>
      <w:numFmt w:val="decimal"/>
      <w:start w:val="1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2."/>
      <w:numFmt w:val="decimal"/>
      <w:start w:val="1"/>
    </w:lvl>
  </w:abstractNum>
  <w:abstractNum w:abstractNumId="11">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62BBD9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5">
    <w:nsid w:val="436C612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6">
    <w:nsid w:val="628C895D"/>
    <w:multiLevelType w:val="hybridMultilevel"/>
    <w:lvl w:ilvl="0">
      <w:lvlJc w:val="left"/>
      <w:lvlText w:val="-"/>
      <w:numFmt w:val="bullet"/>
      <w:start w:val="1"/>
    </w:lvl>
    <w:lvl w:ilvl="1">
      <w:lvlJc w:val="left"/>
      <w:lvlText w:val="%2."/>
      <w:numFmt w:val="decimal"/>
      <w:start w:val="10"/>
    </w:lvl>
  </w:abstractNum>
  <w:abstractNum w:abstractNumId="17">
    <w:nsid w:val="333AB105"/>
    <w:multiLevelType w:val="hybridMultilevel"/>
    <w:lvl w:ilvl="0">
      <w:lvlJc w:val="left"/>
      <w:lvlText w:val="-"/>
      <w:numFmt w:val="bullet"/>
      <w:start w:val="1"/>
    </w:lvl>
    <w:lvl w:ilvl="1">
      <w:lvlJc w:val="left"/>
      <w:lvlText w:val="%2."/>
      <w:numFmt w:val="decimal"/>
      <w:start w:val="1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lowerLetter"/>
      <w:start w:val="5"/>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2019-12-13T00:46:11Z</dcterms:created>
  <dcterms:modified xsi:type="dcterms:W3CDTF">2019-12-13T00:46:11Z</dcterms:modified>
</cp:coreProperties>
</file>