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April 6, 2011</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By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Attention: Kevin Woody</w:t>
      </w:r>
    </w:p>
    <w:p>
      <w:pPr>
        <w:spacing w:after="0" w:line="15" w:lineRule="exact"/>
        <w:rPr>
          <w:sz w:val="24"/>
          <w:szCs w:val="24"/>
          <w:color w:val="auto"/>
        </w:rPr>
      </w:pPr>
    </w:p>
    <w:p>
      <w:pPr>
        <w:ind w:left="820"/>
        <w:spacing w:after="0"/>
        <w:rPr>
          <w:sz w:val="20"/>
          <w:szCs w:val="20"/>
          <w:color w:val="auto"/>
        </w:rPr>
      </w:pPr>
      <w:r>
        <w:rPr>
          <w:rFonts w:ascii="Arial" w:cs="Arial" w:eastAsia="Arial" w:hAnsi="Arial"/>
          <w:sz w:val="18"/>
          <w:szCs w:val="18"/>
          <w:color w:val="auto"/>
        </w:rPr>
        <w:t>Mark Rakip</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Federal Realty Investment Trust (the “Company”)</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10-K for Fiscal Year Ended December 31, 2010</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February 15, 2011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1-7533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This letter responds to your letter dated March 25, 2011, providing comments relating to the Company’s Form 10-K for the fiscal year ended December 31, 2010. In order to facilitate the Staff’s review of this letter, we have restated each of your numbered comments which required a response below and have included the Company’s response underneath each comment.</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year ended December 31, 2010</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 page 20</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Lease, Lease Terms and Lease Expirations, page 20</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Comment 1:</w:t>
      </w:r>
    </w:p>
    <w:p>
      <w:pPr>
        <w:spacing w:after="0" w:line="90" w:lineRule="exact"/>
        <w:rPr>
          <w:sz w:val="24"/>
          <w:szCs w:val="24"/>
          <w:color w:val="auto"/>
        </w:rPr>
      </w:pPr>
    </w:p>
    <w:p>
      <w:pPr>
        <w:jc w:val="both"/>
        <w:ind w:right="20"/>
        <w:spacing w:after="0" w:line="310" w:lineRule="auto"/>
        <w:rPr>
          <w:sz w:val="20"/>
          <w:szCs w:val="20"/>
          <w:color w:val="auto"/>
        </w:rPr>
      </w:pPr>
      <w:r>
        <w:rPr>
          <w:rFonts w:ascii="Arial" w:cs="Arial" w:eastAsia="Arial" w:hAnsi="Arial"/>
          <w:sz w:val="16"/>
          <w:szCs w:val="16"/>
          <w:b w:val="1"/>
          <w:bCs w:val="1"/>
          <w:color w:val="auto"/>
        </w:rPr>
        <w:t>We note your disclosure of annualized base rent based on expiring commercial leases. In future periodic filings please expand your disclosure to discuss the relationship between market/current asking rents and leases expected to expire in the next period, as well as the relationship between rents on leases that expired in the current reporting period and rents on executed renewals or new leases.</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In future periodic filings, we will expand our disclosure related to these matters.</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Real Estate, page 35</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Comment 2:</w:t>
      </w:r>
    </w:p>
    <w:p>
      <w:pPr>
        <w:spacing w:after="0" w:line="90" w:lineRule="exact"/>
        <w:rPr>
          <w:sz w:val="24"/>
          <w:szCs w:val="24"/>
          <w:color w:val="auto"/>
        </w:rPr>
      </w:pPr>
    </w:p>
    <w:p>
      <w:pPr>
        <w:ind w:right="80"/>
        <w:spacing w:after="0" w:line="262" w:lineRule="auto"/>
        <w:rPr>
          <w:sz w:val="20"/>
          <w:szCs w:val="20"/>
          <w:color w:val="auto"/>
        </w:rPr>
      </w:pPr>
      <w:r>
        <w:rPr>
          <w:rFonts w:ascii="Arial" w:cs="Arial" w:eastAsia="Arial" w:hAnsi="Arial"/>
          <w:sz w:val="18"/>
          <w:szCs w:val="18"/>
          <w:b w:val="1"/>
          <w:bCs w:val="1"/>
          <w:color w:val="auto"/>
        </w:rPr>
        <w:t>Please tell us and disclose separately the amount of external and internal costs capitalized for each year presented. Within your response please further disaggregate the amounts between development, redevelopment and leasing of real estate. Lastly, please specifically quantified the amount of salaries capitalized in each of the categories.</w:t>
      </w:r>
    </w:p>
    <w:p>
      <w:pPr>
        <w:sectPr>
          <w:pgSz w:w="11900" w:h="16838" w:orient="portrait"/>
          <w:cols w:equalWidth="0" w:num="1">
            <w:col w:w="11360"/>
          </w:cols>
          <w:pgMar w:left="240" w:top="239"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Response:</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Below is the information you requested. We have provided development and redevelopment costs together which is consistent with our internal and external reporting.</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capitalized external and internal costs related to development and redevelopment activities of $54 million and $3 million, respectively, in 2010 and $62 million and $5 million, respectively, in 2009. We capitalized external and internal costs related to other property improvements of $39 million and $1 million, respectively, in 2010 and $25 million and $1 million, respectively, in 2009. We capitalized external and internal costs related to leasing activities of $7 million and $4 million, respectively, in 2010 and $5 million and $4 million, respectively, in 2009. The amount of capitalized internal costs for salaries and related benefits for development and redevelopment activities, other property improvements, and leasing activities were $3 million, $1 million, and $4 million, respectively, in 2010 and $4 million, $1 million, and $4 million, respectively, in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Commitments, page 52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 3:</w:t>
      </w:r>
    </w:p>
    <w:p>
      <w:pPr>
        <w:spacing w:after="0" w:line="90"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We note your disclosure within your financial statements regarding your share of unconsolidated debt. Please disclose the estimated maturity and payment obligations for such debt.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future filings, we will include our share of unconsolidated debt in the contractual commitments table. As of December 31, 2010, our share of unconsolidated debt, including interest payments, is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81"/>
              </w:rPr>
              <w:t>Less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9"/>
              </w:rPr>
              <w:t>Than</w:t>
            </w:r>
          </w:p>
        </w:tc>
        <w:tc>
          <w:tcPr>
            <w:tcW w:w="180" w:type="dxa"/>
            <w:vAlign w:val="bottom"/>
          </w:tcPr>
          <w:p>
            <w:pPr>
              <w:spacing w:after="0"/>
              <w:rPr>
                <w:sz w:val="12"/>
                <w:szCs w:val="12"/>
                <w:color w:val="auto"/>
              </w:rPr>
            </w:pPr>
          </w:p>
        </w:tc>
        <w:tc>
          <w:tcPr>
            <w:tcW w:w="72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auto"/>
                <w:w w:val="88"/>
              </w:rPr>
              <w:t>1-3</w:t>
            </w: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306"/>
              <w:spacing w:after="0" w:line="149" w:lineRule="exact"/>
              <w:rPr>
                <w:sz w:val="20"/>
                <w:szCs w:val="20"/>
                <w:color w:val="auto"/>
              </w:rPr>
            </w:pPr>
            <w:r>
              <w:rPr>
                <w:rFonts w:ascii="Arial" w:cs="Arial" w:eastAsia="Arial" w:hAnsi="Arial"/>
                <w:sz w:val="14"/>
                <w:szCs w:val="14"/>
                <w:b w:val="1"/>
                <w:bCs w:val="1"/>
                <w:color w:val="auto"/>
              </w:rPr>
              <w:t>3-5</w:t>
            </w: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After 5</w:t>
            </w:r>
          </w:p>
        </w:tc>
      </w:tr>
      <w:tr>
        <w:trPr>
          <w:trHeight w:val="161"/>
        </w:trPr>
        <w:tc>
          <w:tcPr>
            <w:tcW w:w="24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85"/>
              </w:rPr>
              <w:t>1 Year</w:t>
            </w:r>
          </w:p>
        </w:tc>
        <w:tc>
          <w:tcPr>
            <w:tcW w:w="180" w:type="dxa"/>
            <w:vAlign w:val="bottom"/>
          </w:tcPr>
          <w:p>
            <w:pPr>
              <w:spacing w:after="0"/>
              <w:rPr>
                <w:sz w:val="14"/>
                <w:szCs w:val="14"/>
                <w:color w:val="auto"/>
              </w:rPr>
            </w:pPr>
          </w:p>
        </w:tc>
        <w:tc>
          <w:tcPr>
            <w:tcW w:w="184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83"/>
              </w:rPr>
              <w:t>Years</w:t>
            </w:r>
          </w:p>
        </w:tc>
        <w:tc>
          <w:tcPr>
            <w:tcW w:w="200" w:type="dxa"/>
            <w:vAlign w:val="bottom"/>
          </w:tcPr>
          <w:p>
            <w:pPr>
              <w:spacing w:after="0"/>
              <w:rPr>
                <w:sz w:val="14"/>
                <w:szCs w:val="14"/>
                <w:color w:val="auto"/>
              </w:rPr>
            </w:pPr>
          </w:p>
        </w:tc>
        <w:tc>
          <w:tcPr>
            <w:tcW w:w="186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83"/>
              </w:rPr>
              <w:t>Years</w:t>
            </w:r>
          </w:p>
        </w:tc>
        <w:tc>
          <w:tcPr>
            <w:tcW w:w="20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Years</w:t>
            </w:r>
          </w:p>
        </w:tc>
      </w:tr>
      <w:tr>
        <w:trPr>
          <w:trHeight w:val="142"/>
        </w:trPr>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22,114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1,056</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2,112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8,272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10,674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Real Estate Partnerships, page F-17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 4:</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your investments in real estate partnerships, please tell us and disclose whether the accounting policies of such investments are similar to your own.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not, please provide discussion highlighting such differences.</w:t>
      </w:r>
    </w:p>
    <w:p>
      <w:pPr>
        <w:sectPr>
          <w:pgSz w:w="11900" w:h="16838" w:orient="portrait"/>
          <w:cols w:equalWidth="0" w:num="1">
            <w:col w:w="11420"/>
          </w:cols>
          <w:pgMar w:left="240" w:top="2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of our investments in real estate partnerships are similar to our own. We will include this statement in future filings.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Acquired In-Place Leases, page F-20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 5:</w:t>
      </w:r>
    </w:p>
    <w:p>
      <w:pPr>
        <w:spacing w:after="0" w:line="90" w:lineRule="exact"/>
        <w:rPr>
          <w:sz w:val="20"/>
          <w:szCs w:val="20"/>
          <w:color w:val="auto"/>
        </w:rPr>
      </w:pPr>
    </w:p>
    <w:p>
      <w:pPr>
        <w:ind w:right="100"/>
        <w:spacing w:after="0" w:line="378" w:lineRule="auto"/>
        <w:rPr>
          <w:sz w:val="20"/>
          <w:szCs w:val="20"/>
          <w:color w:val="auto"/>
        </w:rPr>
      </w:pPr>
      <w:r>
        <w:rPr>
          <w:rFonts w:ascii="Arial" w:cs="Arial" w:eastAsia="Arial" w:hAnsi="Arial"/>
          <w:sz w:val="15"/>
          <w:szCs w:val="15"/>
          <w:b w:val="1"/>
          <w:bCs w:val="1"/>
          <w:color w:val="auto"/>
        </w:rPr>
        <w:t>Please tell us and separately disclose the amortization from acquired above market leases and acquired below market leases included in rental income for all period presented. Additionally, please tell us how you have assessed the likelihood of tenant’s exercising below market lease renewal options.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currently disclose the net amortization of acquired above and below market leases for all periods presented. Amortization of acquired above market leases was $2.0 million, $2.5 million, and $2.7 million in 2010, 2009, and 2008, respectively. Amortization of acquired below market leases was $3.6 million, $4.2 million, and $4.8 million in 2010, 2009, and 2008, respectively. We will include this additional separate disclosure of amortization for acquired above and below market leases in future filings.</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assessing the likelihood of the tenant exercising renewal options for acquired below market leases, we consider many factors including the percentage and absolute dollar amount by which the renewal option is below market, the time frame until the option can be exercised, current market conditions, any economic penalty for not exercising the option, and certain lease provisions such as assignment rights. If the value of below market lease intangibles includes renewal option periods, we include such renewal periods in the amortization period utilized.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Company acknowledges that:</w:t>
      </w:r>
    </w:p>
    <w:p>
      <w:pPr>
        <w:spacing w:after="0" w:line="90"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further questions or require additional information, please do not hesitate to contact me at (301) 998-8166.</w:t>
      </w:r>
    </w:p>
    <w:p>
      <w:pPr>
        <w:sectPr>
          <w:pgSz w:w="11900" w:h="16838" w:orient="portrait"/>
          <w:cols w:equalWidth="0" w:num="1">
            <w:col w:w="11300"/>
          </w:cols>
          <w:pgMar w:left="240" w:top="280"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Thank you for your consideration in these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05" w:lineRule="exact"/>
        <w:rPr>
          <w:sz w:val="20"/>
          <w:szCs w:val="20"/>
          <w:color w:val="auto"/>
        </w:rPr>
      </w:pPr>
    </w:p>
    <w:p>
      <w:pPr>
        <w:ind w:left="460" w:right="5939" w:hanging="452"/>
        <w:spacing w:after="0" w:line="268" w:lineRule="auto"/>
        <w:tabs>
          <w:tab w:leader="none" w:pos="449" w:val="left"/>
        </w:tabs>
        <w:numPr>
          <w:ilvl w:val="0"/>
          <w:numId w:val="2"/>
        </w:numPr>
        <w:rPr>
          <w:rFonts w:ascii="Arial" w:cs="Arial" w:eastAsia="Arial" w:hAnsi="Arial"/>
          <w:sz w:val="18"/>
          <w:szCs w:val="18"/>
          <w:color w:val="auto"/>
        </w:rPr>
      </w:pPr>
      <w:r>
        <w:rPr>
          <w:rFonts w:ascii="Arial" w:cs="Arial" w:eastAsia="Arial" w:hAnsi="Arial"/>
          <w:sz w:val="18"/>
          <w:szCs w:val="18"/>
          <w:color w:val="auto"/>
        </w:rPr>
        <w:t>Eric M. Green, Pillsbury Winthrop Shaw Pittman LLP Kirk Rogers, Grant Thornton</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2019-12-10T00:34:04Z</dcterms:created>
  <dcterms:modified xsi:type="dcterms:W3CDTF">2019-12-10T00:34:04Z</dcterms:modified>
</cp:coreProperties>
</file>