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April 19, 2013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By EDGAR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Washington, DC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Attention:</w:t>
        <w:tab/>
        <w:t>Kevin Woody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Shannon Sobotka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Federal Realty Investment Trust (the “Company”)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Form 10-K for the year ended December 31, 2012</w:t>
      </w: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Filed on February 12, 2013</w:t>
      </w: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File No. 001-07533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Ladies and Gentlemen: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right="2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This letter responds to your letter dated April 15, 2013, providing comments relating to the Company's Form 10-K for the fiscal year ended December 31, 2012. In order to facilitate the Staff's review of this letter, we have restated each of your numbered comments which required a response below and have included the Company's response underneath each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Form 10-K for the year ended December 31, 2012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Item 2. Properties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Lease Rollovers, page 17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660" w:right="100" w:hanging="328"/>
        <w:spacing w:after="0" w:line="267" w:lineRule="auto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In future Exchange Act periodic reports, please supplement your disclosure to separately discuss leasing costs, on a per square foot basis, for both renewals and new leases.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Response: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 future filings, we will include disclosure regarding leasing costs, on a per square foot basis, for both renewals and new leases.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Item 7. Management's Discussion and Analysis of Financial Condition, page 28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2012 Significant Equity and Debt Transactions and Subsequent Event, page 32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660" w:hanging="328"/>
        <w:spacing w:after="0" w:line="267" w:lineRule="auto"/>
        <w:tabs>
          <w:tab w:leader="none" w:pos="6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We note that your ATM offering program generated $104.46 million in net proceeds. In addition to this information, please also disclose in future Exchange Act periodic reports any additional offering expenses.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Response: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In future filings, we will disclose additional offering expenses of our ATM program.</w:t>
      </w:r>
    </w:p>
    <w:p>
      <w:pPr>
        <w:sectPr>
          <w:pgSz w:w="11900" w:h="16838" w:orient="portrait"/>
          <w:cols w:equalWidth="0" w:num="1">
            <w:col w:w="11400"/>
          </w:cols>
          <w:pgMar w:left="240" w:top="852" w:right="2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Year Ended December 31, 2012 Compared to Year Ended December 31, 2011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Property Revenues, page 35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60" w:right="580" w:hanging="328"/>
        <w:spacing w:after="0" w:line="293" w:lineRule="auto"/>
        <w:tabs>
          <w:tab w:leader="none" w:pos="660" w:val="left"/>
        </w:tabs>
        <w:numPr>
          <w:ilvl w:val="0"/>
          <w:numId w:val="3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In future Exchange Act periodic reports, please expand your disclosure regarding period to period changes in property revenues to disaggregate the relative impact of occupancy changes and rental rent changes.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Response: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In future filings, we will expand our disclosure to disaggregate between relative occupancy and rental rate change impacts.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Financial Statements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Note 9. Commitments and Contingencies, page F-23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60" w:hanging="328"/>
        <w:spacing w:after="0" w:line="267" w:lineRule="auto"/>
        <w:tabs>
          <w:tab w:leader="none" w:pos="66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We note your disclosure relating to your obligation under certain put option agreements. Please tell us where these obligations have been recorded in your consolidated financial statements and the amounts recorded.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Response: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 w:right="16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At December 31, 2012, the obligations under our put option agreements are recorded in Capital Lease Obligations for $55.8 million and Redeemable Noncontrolling Interests for $94.4 million.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Company acknowledges that: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—  the Company is responsible for the adequacy and accuracy of the disclosure in the filing;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1360" w:right="680" w:hanging="419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— staff comments or changes to disclosure in response to staff comments do not foreclose the Commission from taking any action with respect to the filing; and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1360" w:right="500" w:hanging="419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— the Company may not assert staff comments as a defense in any proceeding initiated by the Commission or any person under the federal securities laws of the United States.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If you have any further questions or require additional information, please do not hesitate to contact me at (301) 998-8232.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Thank you for your consideration in these matters.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Sincerely,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/s/ James M. Taylor,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27305</wp:posOffset>
            </wp:positionV>
            <wp:extent cx="413385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James M. Taylor, Jr.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Executive Vice President, Chief Financial Officer and Treasurer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Federal Realty Investment Trust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right="6000" w:hanging="925"/>
        <w:spacing w:after="0" w:line="317" w:lineRule="auto"/>
        <w:tabs>
          <w:tab w:leader="none" w:pos="960" w:val="left"/>
        </w:tabs>
        <w:numPr>
          <w:ilvl w:val="0"/>
          <w:numId w:val="6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Eric M. Green, Pillsbury Winthrop Shaw Pittman LLP Richard P. LaFleur, Grant Thornton LLP</w:t>
      </w:r>
    </w:p>
    <w:sectPr>
      <w:pgSz w:w="11900" w:h="16838" w:orient="portrait"/>
      <w:cols w:equalWidth="0" w:num="1">
        <w:col w:w="11260"/>
      </w:cols>
      <w:pgMar w:left="240" w:top="576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3D1B58BA"/>
    <w:multiLevelType w:val="hybridMultilevel"/>
    <w:lvl w:ilvl="0">
      <w:lvlJc w:val="left"/>
      <w:lvlText w:val="\emdash 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2019-12-05T09:45:09Z</dcterms:created>
  <dcterms:modified xsi:type="dcterms:W3CDTF">2019-12-05T09:45:09Z</dcterms:modified>
</cp:coreProperties>
</file>