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Registration No. 333-224701</w:t>
      </w:r>
    </w:p>
    <w:p>
      <w:pPr>
        <w:spacing w:after="0" w:line="139" w:lineRule="exact"/>
        <w:rPr>
          <w:sz w:val="24"/>
          <w:szCs w:val="24"/>
          <w:color w:val="auto"/>
        </w:rPr>
      </w:pPr>
    </w:p>
    <w:p>
      <w:pPr>
        <w:ind w:left="200" w:right="20"/>
        <w:spacing w:after="0" w:line="261" w:lineRule="auto"/>
        <w:rPr>
          <w:sz w:val="20"/>
          <w:szCs w:val="20"/>
          <w:color w:val="auto"/>
        </w:rPr>
      </w:pPr>
      <w:r>
        <w:rPr>
          <w:rFonts w:ascii="Arial" w:cs="Arial" w:eastAsia="Arial" w:hAnsi="Arial"/>
          <w:sz w:val="18"/>
          <w:szCs w:val="18"/>
          <w:b w:val="1"/>
          <w:bCs w:val="1"/>
          <w:color w:val="FF4338"/>
        </w:rPr>
        <w:t>The information in this prospectus supplement and the accompanying prospectus is not complete and may be changed. A registration statement relating to these securities has been filed with the Securities and Exchange Commission and is effective. This prospectus supplement and the accompanying prospectus are not an offer to sell these securities and we are not soliciting offers to buy these securities in any jurisdiction where the offer or sale is not permitted.</w:t>
      </w:r>
    </w:p>
    <w:p>
      <w:pPr>
        <w:spacing w:after="0" w:line="11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FF4338"/>
        </w:rPr>
        <w:t>SUBJECT TO COMPLETION, DATED AUGUST 19, 2019</w:t>
      </w:r>
    </w:p>
    <w:p>
      <w:pPr>
        <w:spacing w:after="0" w:line="117"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(TO PROSPECTUS DATED MAY 7, 2018)</w:t>
      </w:r>
    </w:p>
    <w:p>
      <w:pPr>
        <w:spacing w:after="0" w:line="184" w:lineRule="exact"/>
        <w:rPr>
          <w:sz w:val="24"/>
          <w:szCs w:val="24"/>
          <w:color w:val="auto"/>
        </w:rPr>
      </w:pPr>
    </w:p>
    <w:p>
      <w:pPr>
        <w:ind w:left="5140"/>
        <w:spacing w:after="0"/>
        <w:rPr>
          <w:sz w:val="20"/>
          <w:szCs w:val="20"/>
          <w:color w:val="auto"/>
        </w:rPr>
      </w:pPr>
      <w:r>
        <w:rPr>
          <w:rFonts w:ascii="Arial" w:cs="Arial" w:eastAsia="Arial" w:hAnsi="Arial"/>
          <w:sz w:val="32"/>
          <w:szCs w:val="3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178435</wp:posOffset>
            </wp:positionV>
            <wp:extent cx="2178050" cy="875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78050" cy="875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3.20% Notes due 2029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252095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ind w:left="200" w:right="320"/>
        <w:spacing w:after="0" w:line="259" w:lineRule="auto"/>
        <w:rPr>
          <w:sz w:val="20"/>
          <w:szCs w:val="20"/>
          <w:color w:val="auto"/>
        </w:rPr>
      </w:pPr>
      <w:r>
        <w:rPr>
          <w:rFonts w:ascii="Arial" w:cs="Arial" w:eastAsia="Arial" w:hAnsi="Arial"/>
          <w:sz w:val="18"/>
          <w:szCs w:val="18"/>
          <w:color w:val="auto"/>
        </w:rPr>
        <w:t>We are offering $ aggregate principal amount of our 3.20% Notes due 2029. The notes offered hereby consist of an additional issuance of our 3.20% Notes due 2029, $300 million aggregate principal amount of which were previously issued and are outstanding. The notes offered hereby will become part of the same series as the outstanding 3.20% Notes due 2029 for all purposes and are referred to herein, together with such outstanding notes, as the notes.</w:t>
      </w:r>
    </w:p>
    <w:p>
      <w:pPr>
        <w:spacing w:after="0" w:line="187" w:lineRule="exact"/>
        <w:rPr>
          <w:sz w:val="24"/>
          <w:szCs w:val="24"/>
          <w:color w:val="auto"/>
        </w:rPr>
      </w:pPr>
    </w:p>
    <w:p>
      <w:pPr>
        <w:jc w:val="both"/>
        <w:ind w:left="200" w:right="180"/>
        <w:spacing w:after="0" w:line="286" w:lineRule="auto"/>
        <w:rPr>
          <w:sz w:val="20"/>
          <w:szCs w:val="20"/>
          <w:color w:val="auto"/>
        </w:rPr>
      </w:pPr>
      <w:r>
        <w:rPr>
          <w:rFonts w:ascii="Arial" w:cs="Arial" w:eastAsia="Arial" w:hAnsi="Arial"/>
          <w:sz w:val="17"/>
          <w:szCs w:val="17"/>
          <w:color w:val="auto"/>
        </w:rPr>
        <w:t>The notes bear interest at the rate of 3.20% per year. Interest on the notes is payable semi-annually in arears on June 15 and December 15 of each year, beginning on December 15, 2019. The notes will mature on June 15, 2029. We may redeem some or all of the notes at any time before maturity at the applicable redemption price discussed under the caption “Description of Notes — Optional Redemption.”</w:t>
      </w:r>
    </w:p>
    <w:p>
      <w:pPr>
        <w:spacing w:after="0" w:line="166" w:lineRule="exact"/>
        <w:rPr>
          <w:sz w:val="24"/>
          <w:szCs w:val="24"/>
          <w:color w:val="auto"/>
        </w:rPr>
      </w:pPr>
    </w:p>
    <w:p>
      <w:pPr>
        <w:ind w:left="200" w:right="20"/>
        <w:spacing w:after="0" w:line="264" w:lineRule="auto"/>
        <w:rPr>
          <w:sz w:val="20"/>
          <w:szCs w:val="20"/>
          <w:color w:val="auto"/>
        </w:rPr>
      </w:pPr>
      <w:r>
        <w:rPr>
          <w:rFonts w:ascii="Arial" w:cs="Arial" w:eastAsia="Arial" w:hAnsi="Arial"/>
          <w:sz w:val="18"/>
          <w:szCs w:val="18"/>
          <w:color w:val="auto"/>
        </w:rPr>
        <w:t>The notes are our senior unsecured obligations and rank equally with all of our other unsecured and unsubordinated indebtedness. The notes are effectively subordinated to the prior claims of each secured mortgage lender to any specific property that secures such lender’s mortgage and to all of the unsecured indebtedness of our subsidiaries.</w:t>
      </w:r>
    </w:p>
    <w:p>
      <w:pPr>
        <w:spacing w:after="0" w:line="181" w:lineRule="exact"/>
        <w:rPr>
          <w:sz w:val="24"/>
          <w:szCs w:val="24"/>
          <w:color w:val="auto"/>
        </w:rPr>
      </w:pPr>
    </w:p>
    <w:p>
      <w:pPr>
        <w:ind w:left="200"/>
        <w:spacing w:after="0"/>
        <w:rPr>
          <w:sz w:val="20"/>
          <w:szCs w:val="20"/>
          <w:color w:val="auto"/>
        </w:rPr>
      </w:pPr>
      <w:r>
        <w:rPr>
          <w:rFonts w:ascii="Arial" w:cs="Arial" w:eastAsia="Arial" w:hAnsi="Arial"/>
          <w:sz w:val="18"/>
          <w:szCs w:val="18"/>
          <w:color w:val="auto"/>
        </w:rPr>
        <w:t>We do not intend to apply to list the notes on any securities exchange. An active trading market for the notes may not be maintained.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238125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left="200" w:right="40"/>
        <w:spacing w:after="0" w:line="301"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the notes involves risks. See “</w:t>
      </w:r>
      <w:hyperlink w:anchor="page9">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beginning on page S-5 of this prospectus supplement, on page 3 of the accompanying prospectus and in our Annual Report on Form 10-K for the year ended December 31, 2018, filed with the Securities and Exchange Commission, or the SEC, on February 13,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181610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20" w:type="dxa"/>
            <w:vAlign w:val="bottom"/>
            <w:gridSpan w:val="2"/>
          </w:tcPr>
          <w:p>
            <w:pPr>
              <w:ind w:left="6580"/>
              <w:spacing w:after="0"/>
              <w:rPr>
                <w:sz w:val="20"/>
                <w:szCs w:val="20"/>
                <w:color w:val="auto"/>
              </w:rPr>
            </w:pPr>
            <w:r>
              <w:rPr>
                <w:rFonts w:ascii="Arial" w:cs="Arial" w:eastAsia="Arial" w:hAnsi="Arial"/>
                <w:sz w:val="14"/>
                <w:szCs w:val="14"/>
                <w:b w:val="1"/>
                <w:bCs w:val="1"/>
                <w:color w:val="auto"/>
                <w:w w:val="90"/>
              </w:rPr>
              <w:t>Per Note</w:t>
            </w:r>
          </w:p>
        </w:tc>
        <w:tc>
          <w:tcPr>
            <w:tcW w:w="500" w:type="dxa"/>
            <w:vAlign w:val="bottom"/>
          </w:tcPr>
          <w:p>
            <w:pPr>
              <w:spacing w:after="0"/>
              <w:rPr>
                <w:sz w:val="14"/>
                <w:szCs w:val="14"/>
                <w:color w:val="auto"/>
              </w:rPr>
            </w:pPr>
          </w:p>
        </w:tc>
        <w:tc>
          <w:tcPr>
            <w:tcW w:w="740" w:type="dxa"/>
            <w:vAlign w:val="bottom"/>
            <w:gridSpan w:val="3"/>
          </w:tcPr>
          <w:p>
            <w:pPr>
              <w:ind w:left="36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 (1)</w:t>
            </w:r>
          </w:p>
        </w:tc>
        <w:tc>
          <w:tcPr>
            <w:tcW w:w="5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4"/>
              </w:rPr>
              <w:t>%</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Underwriting discount</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w w:val="74"/>
              </w:rPr>
              <w:t>%</w:t>
            </w: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before expenses, to us (1)</w:t>
            </w: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4"/>
              </w:rPr>
              <w:t>%</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ind w:left="640" w:hanging="436"/>
        <w:spacing w:after="0" w:line="217" w:lineRule="auto"/>
        <w:tabs>
          <w:tab w:leader="none" w:pos="6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Plus accrued interest from and including June 7, 2019 (the date of issuance of the $300 million aggregate principal amount of notes currently</w:t>
      </w:r>
    </w:p>
    <w:p>
      <w:pPr>
        <w:spacing w:after="0" w:line="201" w:lineRule="exact"/>
        <w:rPr>
          <w:sz w:val="24"/>
          <w:szCs w:val="24"/>
          <w:color w:val="auto"/>
        </w:rPr>
      </w:pPr>
    </w:p>
    <w:p>
      <w:pPr>
        <w:ind w:left="640" w:right="140"/>
        <w:spacing w:after="0" w:line="277" w:lineRule="auto"/>
        <w:rPr>
          <w:sz w:val="20"/>
          <w:szCs w:val="20"/>
          <w:color w:val="auto"/>
        </w:rPr>
      </w:pPr>
      <w:r>
        <w:rPr>
          <w:rFonts w:ascii="Arial" w:cs="Arial" w:eastAsia="Arial" w:hAnsi="Arial"/>
          <w:sz w:val="18"/>
          <w:szCs w:val="18"/>
          <w:color w:val="auto"/>
        </w:rPr>
        <w:t>outstanding) to, but not including, the issuance date of the notes offered hereby, in the amount of $ . This accrued interest must be paid by the purchasers of the notes offered hereby.</w:t>
      </w:r>
    </w:p>
    <w:p>
      <w:pPr>
        <w:spacing w:after="0" w:line="170" w:lineRule="exact"/>
        <w:rPr>
          <w:sz w:val="24"/>
          <w:szCs w:val="24"/>
          <w:color w:val="auto"/>
        </w:rPr>
      </w:pPr>
    </w:p>
    <w:p>
      <w:pPr>
        <w:ind w:left="200" w:right="680"/>
        <w:spacing w:after="0" w:line="277" w:lineRule="auto"/>
        <w:rPr>
          <w:sz w:val="20"/>
          <w:szCs w:val="20"/>
          <w:color w:val="auto"/>
        </w:rPr>
      </w:pPr>
      <w:r>
        <w:rPr>
          <w:rFonts w:ascii="Arial" w:cs="Arial" w:eastAsia="Arial" w:hAnsi="Arial"/>
          <w:sz w:val="18"/>
          <w:szCs w:val="18"/>
          <w:color w:val="auto"/>
        </w:rPr>
        <w:t>The underwriters expect to deliver the notes offered hereby to purchasers in book-entry only form through the facilities of The Depository Trust Company on or about August , 2019.</w:t>
      </w:r>
    </w:p>
    <w:p>
      <w:pPr>
        <w:spacing w:after="0" w:line="166" w:lineRule="exact"/>
        <w:rPr>
          <w:sz w:val="24"/>
          <w:szCs w:val="24"/>
          <w:color w:val="auto"/>
        </w:rPr>
      </w:pPr>
    </w:p>
    <w:p>
      <w:pPr>
        <w:ind w:left="200" w:right="860"/>
        <w:spacing w:after="0" w:line="386" w:lineRule="auto"/>
        <w:rPr>
          <w:sz w:val="20"/>
          <w:szCs w:val="20"/>
          <w:color w:val="auto"/>
        </w:rPr>
      </w:pPr>
      <w:r>
        <w:rPr>
          <w:rFonts w:ascii="Arial" w:cs="Arial" w:eastAsia="Arial" w:hAnsi="Arial"/>
          <w:sz w:val="15"/>
          <w:szCs w:val="15"/>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165100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580" w:type="dxa"/>
            <w:vAlign w:val="bottom"/>
          </w:tcPr>
          <w:p>
            <w:pPr>
              <w:ind w:left="1840"/>
              <w:spacing w:after="0"/>
              <w:rPr>
                <w:sz w:val="20"/>
                <w:szCs w:val="20"/>
                <w:color w:val="auto"/>
              </w:rPr>
            </w:pPr>
            <w:r>
              <w:rPr>
                <w:rFonts w:ascii="Arial" w:cs="Arial" w:eastAsia="Arial" w:hAnsi="Arial"/>
                <w:sz w:val="18"/>
                <w:szCs w:val="18"/>
                <w:i w:val="1"/>
                <w:iCs w:val="1"/>
                <w:color w:val="auto"/>
              </w:rPr>
              <w:t>Joint Book-Running Managers</w:t>
            </w:r>
          </w:p>
        </w:tc>
        <w:tc>
          <w:tcPr>
            <w:tcW w:w="3900" w:type="dxa"/>
            <w:vAlign w:val="bottom"/>
          </w:tcPr>
          <w:p>
            <w:pPr>
              <w:spacing w:after="0"/>
              <w:rPr>
                <w:sz w:val="20"/>
                <w:szCs w:val="20"/>
                <w:color w:val="auto"/>
              </w:rPr>
            </w:pPr>
          </w:p>
        </w:tc>
      </w:tr>
      <w:tr>
        <w:trPr>
          <w:trHeight w:val="496"/>
        </w:trPr>
        <w:tc>
          <w:tcPr>
            <w:tcW w:w="2560" w:type="dxa"/>
            <w:vAlign w:val="bottom"/>
            <w:gridSpan w:val="2"/>
          </w:tcPr>
          <w:p>
            <w:pPr>
              <w:spacing w:after="0"/>
              <w:rPr>
                <w:sz w:val="20"/>
                <w:szCs w:val="20"/>
                <w:color w:val="auto"/>
              </w:rPr>
            </w:pPr>
            <w:r>
              <w:rPr>
                <w:rFonts w:ascii="Arial" w:cs="Arial" w:eastAsia="Arial" w:hAnsi="Arial"/>
                <w:sz w:val="22"/>
                <w:szCs w:val="22"/>
                <w:b w:val="1"/>
                <w:bCs w:val="1"/>
                <w:color w:val="auto"/>
              </w:rPr>
              <w:t>BofA Merrill Lynch</w:t>
            </w:r>
          </w:p>
        </w:tc>
        <w:tc>
          <w:tcPr>
            <w:tcW w:w="4580" w:type="dxa"/>
            <w:vAlign w:val="bottom"/>
          </w:tcPr>
          <w:p>
            <w:pPr>
              <w:ind w:left="2620"/>
              <w:spacing w:after="0"/>
              <w:rPr>
                <w:sz w:val="20"/>
                <w:szCs w:val="20"/>
                <w:color w:val="auto"/>
              </w:rPr>
            </w:pPr>
            <w:r>
              <w:rPr>
                <w:rFonts w:ascii="Arial" w:cs="Arial" w:eastAsia="Arial" w:hAnsi="Arial"/>
                <w:sz w:val="22"/>
                <w:szCs w:val="22"/>
                <w:b w:val="1"/>
                <w:bCs w:val="1"/>
                <w:color w:val="auto"/>
              </w:rPr>
              <w:t>Jefferies</w:t>
            </w:r>
          </w:p>
        </w:tc>
        <w:tc>
          <w:tcPr>
            <w:tcW w:w="3900" w:type="dxa"/>
            <w:vAlign w:val="bottom"/>
          </w:tcPr>
          <w:p>
            <w:pPr>
              <w:jc w:val="right"/>
              <w:spacing w:after="0"/>
              <w:rPr>
                <w:sz w:val="20"/>
                <w:szCs w:val="20"/>
                <w:color w:val="auto"/>
              </w:rPr>
            </w:pPr>
            <w:r>
              <w:rPr>
                <w:rFonts w:ascii="Arial" w:cs="Arial" w:eastAsia="Arial" w:hAnsi="Arial"/>
                <w:sz w:val="22"/>
                <w:szCs w:val="22"/>
                <w:b w:val="1"/>
                <w:bCs w:val="1"/>
                <w:color w:val="auto"/>
              </w:rPr>
              <w:t>Wells Fargo Securities</w:t>
            </w:r>
          </w:p>
        </w:tc>
      </w:tr>
      <w:tr>
        <w:trPr>
          <w:trHeight w:val="638"/>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580" w:type="dxa"/>
            <w:vAlign w:val="bottom"/>
          </w:tcPr>
          <w:p>
            <w:pPr>
              <w:ind w:left="740"/>
              <w:spacing w:after="0"/>
              <w:rPr>
                <w:sz w:val="20"/>
                <w:szCs w:val="20"/>
                <w:color w:val="auto"/>
              </w:rPr>
            </w:pPr>
            <w:r>
              <w:rPr>
                <w:rFonts w:ascii="Arial" w:cs="Arial" w:eastAsia="Arial" w:hAnsi="Arial"/>
                <w:sz w:val="18"/>
                <w:szCs w:val="18"/>
                <w:b w:val="1"/>
                <w:bCs w:val="1"/>
                <w:color w:val="auto"/>
                <w:w w:val="89"/>
              </w:rPr>
              <w:t>The date of this prospectus supplement is August</w:t>
            </w:r>
          </w:p>
        </w:tc>
        <w:tc>
          <w:tcPr>
            <w:tcW w:w="3900" w:type="dxa"/>
            <w:vAlign w:val="bottom"/>
          </w:tcPr>
          <w:p>
            <w:pPr>
              <w:jc w:val="right"/>
              <w:ind w:right="3201"/>
              <w:spacing w:after="0"/>
              <w:rPr>
                <w:sz w:val="20"/>
                <w:szCs w:val="20"/>
                <w:color w:val="auto"/>
              </w:rPr>
            </w:pPr>
            <w:r>
              <w:rPr>
                <w:rFonts w:ascii="Arial" w:cs="Arial" w:eastAsia="Arial" w:hAnsi="Arial"/>
                <w:sz w:val="18"/>
                <w:szCs w:val="18"/>
                <w:b w:val="1"/>
                <w:bCs w:val="1"/>
                <w:color w:val="auto"/>
              </w:rPr>
              <w:t>, 2019.</w:t>
            </w:r>
          </w:p>
        </w:tc>
      </w:tr>
      <w:tr>
        <w:trPr>
          <w:trHeight w:val="230"/>
        </w:trPr>
        <w:tc>
          <w:tcPr>
            <w:tcW w:w="20" w:type="dxa"/>
            <w:vAlign w:val="bottom"/>
          </w:tcPr>
          <w:p>
            <w:pPr>
              <w:spacing w:after="0"/>
              <w:rPr>
                <w:sz w:val="19"/>
                <w:szCs w:val="19"/>
                <w:color w:val="auto"/>
              </w:rPr>
            </w:pPr>
          </w:p>
        </w:tc>
        <w:tc>
          <w:tcPr>
            <w:tcW w:w="2540" w:type="dxa"/>
            <w:vAlign w:val="bottom"/>
            <w:tcBorders>
              <w:bottom w:val="single" w:sz="8" w:color="auto"/>
            </w:tcBorders>
          </w:tcPr>
          <w:p>
            <w:pPr>
              <w:spacing w:after="0"/>
              <w:rPr>
                <w:sz w:val="19"/>
                <w:szCs w:val="19"/>
                <w:color w:val="auto"/>
              </w:rPr>
            </w:pPr>
          </w:p>
        </w:tc>
        <w:tc>
          <w:tcPr>
            <w:tcW w:w="4580" w:type="dxa"/>
            <w:vAlign w:val="bottom"/>
            <w:tcBorders>
              <w:bottom w:val="single" w:sz="8" w:color="auto"/>
            </w:tcBorders>
          </w:tcPr>
          <w:p>
            <w:pPr>
              <w:spacing w:after="0"/>
              <w:rPr>
                <w:sz w:val="19"/>
                <w:szCs w:val="19"/>
                <w:color w:val="auto"/>
              </w:rPr>
            </w:pPr>
          </w:p>
        </w:tc>
        <w:tc>
          <w:tcPr>
            <w:tcW w:w="3900" w:type="dxa"/>
            <w:vAlign w:val="bottom"/>
            <w:tcBorders>
              <w:bottom w:val="single" w:sz="8" w:color="auto"/>
            </w:tcBorders>
          </w:tcPr>
          <w:p>
            <w:pPr>
              <w:spacing w:after="0"/>
              <w:rPr>
                <w:sz w:val="19"/>
                <w:szCs w:val="19"/>
                <w:color w:val="auto"/>
              </w:rPr>
            </w:pPr>
          </w:p>
        </w:tc>
      </w:tr>
      <w:tr>
        <w:trPr>
          <w:trHeight w:val="48"/>
        </w:trPr>
        <w:tc>
          <w:tcPr>
            <w:tcW w:w="20" w:type="dxa"/>
            <w:vAlign w:val="bottom"/>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9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240" w:top="230" w:right="419" w:bottom="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Supplement</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860" w:type="dxa"/>
            <w:vAlign w:val="bottom"/>
            <w:gridSpan w:val="16"/>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5720" w:type="dxa"/>
            <w:vAlign w:val="bottom"/>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6"/>
        </w:trPr>
        <w:tc>
          <w:tcPr>
            <w:tcW w:w="4860" w:type="dxa"/>
            <w:vAlign w:val="bottom"/>
            <w:gridSpan w:val="16"/>
            <w:vMerge w:val="continue"/>
          </w:tcPr>
          <w:p>
            <w:pPr>
              <w:spacing w:after="0"/>
              <w:rPr>
                <w:sz w:val="13"/>
                <w:szCs w:val="13"/>
                <w:color w:val="auto"/>
              </w:rPr>
            </w:pPr>
          </w:p>
        </w:tc>
        <w:tc>
          <w:tcPr>
            <w:tcW w:w="5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6"/>
                <w:szCs w:val="16"/>
                <w:color w:val="auto"/>
              </w:rPr>
              <w:t>ii</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Cautionary Statement Concerning Forward-Looking Statements</w:t>
              </w:r>
            </w:hyperlink>
          </w:p>
        </w:tc>
        <w:tc>
          <w:tcPr>
            <w:tcW w:w="2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Prospectus Supplement Summary</w:t>
              </w:r>
            </w:hyperlink>
          </w:p>
        </w:tc>
        <w:tc>
          <w:tcPr>
            <w:tcW w:w="2380" w:type="dxa"/>
            <w:vAlign w:val="bottom"/>
            <w:gridSpan w:val="7"/>
          </w:tcPr>
          <w:p>
            <w:pPr>
              <w:spacing w:after="0"/>
              <w:rPr>
                <w:sz w:val="17"/>
                <w:szCs w:val="17"/>
                <w:color w:val="auto"/>
              </w:rPr>
            </w:pPr>
          </w:p>
        </w:tc>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9"/>
              </w:rPr>
              <w:t>S-1</w:t>
            </w:r>
          </w:p>
        </w:tc>
        <w:tc>
          <w:tcPr>
            <w:tcW w:w="0" w:type="dxa"/>
            <w:vAlign w:val="bottom"/>
          </w:tcPr>
          <w:p>
            <w:pPr>
              <w:spacing w:after="0"/>
              <w:rPr>
                <w:sz w:val="1"/>
                <w:szCs w:val="1"/>
                <w:color w:val="auto"/>
              </w:rPr>
            </w:pPr>
          </w:p>
        </w:tc>
      </w:tr>
      <w:tr>
        <w:trPr>
          <w:trHeight w:val="196"/>
        </w:trPr>
        <w:tc>
          <w:tcPr>
            <w:tcW w:w="4860" w:type="dxa"/>
            <w:vAlign w:val="bottom"/>
            <w:gridSpan w:val="16"/>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9"/>
              </w:rPr>
              <w:t>S-5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Use of Proceeds</w:t>
              </w:r>
            </w:hyperlink>
          </w:p>
        </w:tc>
        <w:tc>
          <w:tcPr>
            <w:tcW w:w="3680" w:type="dxa"/>
            <w:vAlign w:val="bottom"/>
            <w:gridSpan w:val="12"/>
          </w:tcPr>
          <w:p>
            <w:pPr>
              <w:spacing w:after="0"/>
              <w:rPr>
                <w:sz w:val="17"/>
                <w:szCs w:val="17"/>
                <w:color w:val="auto"/>
              </w:rPr>
            </w:pPr>
          </w:p>
        </w:tc>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9"/>
              </w:rPr>
              <w:t>S-7</w:t>
            </w:r>
          </w:p>
        </w:tc>
        <w:tc>
          <w:tcPr>
            <w:tcW w:w="0" w:type="dxa"/>
            <w:vAlign w:val="bottom"/>
          </w:tcPr>
          <w:p>
            <w:pPr>
              <w:spacing w:after="0"/>
              <w:rPr>
                <w:sz w:val="1"/>
                <w:szCs w:val="1"/>
                <w:color w:val="auto"/>
              </w:rPr>
            </w:pPr>
          </w:p>
        </w:tc>
      </w:tr>
      <w:tr>
        <w:trPr>
          <w:trHeight w:val="196"/>
        </w:trPr>
        <w:tc>
          <w:tcPr>
            <w:tcW w:w="4860" w:type="dxa"/>
            <w:vAlign w:val="bottom"/>
            <w:gridSpan w:val="16"/>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Description of Notes</w:t>
              </w:r>
            </w:hyperlink>
          </w:p>
        </w:tc>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9"/>
              </w:rPr>
              <w:t>S-8</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Additional Material Federal Income Tax Considerations</w:t>
              </w:r>
            </w:hyperlink>
          </w:p>
        </w:tc>
        <w:tc>
          <w:tcPr>
            <w:tcW w:w="820" w:type="dxa"/>
            <w:vAlign w:val="bottom"/>
            <w:gridSpan w:val="2"/>
          </w:tcPr>
          <w:p>
            <w:pPr>
              <w:spacing w:after="0"/>
              <w:rPr>
                <w:sz w:val="17"/>
                <w:szCs w:val="17"/>
                <w:color w:val="auto"/>
              </w:rPr>
            </w:pPr>
          </w:p>
        </w:tc>
        <w:tc>
          <w:tcPr>
            <w:tcW w:w="5720" w:type="dxa"/>
            <w:vAlign w:val="bottom"/>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S-16</w:t>
            </w:r>
          </w:p>
        </w:tc>
        <w:tc>
          <w:tcPr>
            <w:tcW w:w="0" w:type="dxa"/>
            <w:vAlign w:val="bottom"/>
          </w:tcPr>
          <w:p>
            <w:pPr>
              <w:spacing w:after="0"/>
              <w:rPr>
                <w:sz w:val="1"/>
                <w:szCs w:val="1"/>
                <w:color w:val="auto"/>
              </w:rPr>
            </w:pPr>
          </w:p>
        </w:tc>
      </w:tr>
      <w:tr>
        <w:trPr>
          <w:trHeight w:val="196"/>
        </w:trPr>
        <w:tc>
          <w:tcPr>
            <w:tcW w:w="258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25">
              <w:r>
                <w:rPr>
                  <w:rFonts w:ascii="Arial" w:cs="Arial" w:eastAsia="Arial" w:hAnsi="Arial"/>
                  <w:sz w:val="18"/>
                  <w:szCs w:val="18"/>
                  <w:color w:val="0000EE"/>
                  <w:w w:val="94"/>
                </w:rPr>
                <w:t>Underwriting (Conflicts of Interest)</w:t>
              </w:r>
            </w:hyperlink>
          </w:p>
        </w:tc>
        <w:tc>
          <w:tcPr>
            <w:tcW w:w="2280" w:type="dxa"/>
            <w:vAlign w:val="bottom"/>
            <w:gridSpan w:val="6"/>
          </w:tcPr>
          <w:p>
            <w:pPr>
              <w:spacing w:after="0"/>
              <w:rPr>
                <w:sz w:val="17"/>
                <w:szCs w:val="17"/>
                <w:color w:val="auto"/>
              </w:rPr>
            </w:pPr>
          </w:p>
        </w:tc>
        <w:tc>
          <w:tcPr>
            <w:tcW w:w="5720" w:type="dxa"/>
            <w:vAlign w:val="bottom"/>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S-21</w:t>
            </w: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Experts</w:t>
              </w:r>
            </w:hyperlink>
          </w:p>
        </w:tc>
        <w:tc>
          <w:tcPr>
            <w:tcW w:w="4300" w:type="dxa"/>
            <w:vAlign w:val="bottom"/>
            <w:gridSpan w:val="15"/>
          </w:tcPr>
          <w:p>
            <w:pPr>
              <w:spacing w:after="0"/>
              <w:rPr>
                <w:sz w:val="17"/>
                <w:szCs w:val="17"/>
                <w:color w:val="auto"/>
              </w:rPr>
            </w:pPr>
          </w:p>
        </w:tc>
        <w:tc>
          <w:tcPr>
            <w:tcW w:w="5720" w:type="dxa"/>
            <w:vAlign w:val="bottom"/>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S-24</w:t>
            </w:r>
          </w:p>
        </w:tc>
        <w:tc>
          <w:tcPr>
            <w:tcW w:w="0" w:type="dxa"/>
            <w:vAlign w:val="bottom"/>
          </w:tcPr>
          <w:p>
            <w:pPr>
              <w:spacing w:after="0"/>
              <w:rPr>
                <w:sz w:val="1"/>
                <w:szCs w:val="1"/>
                <w:color w:val="auto"/>
              </w:rPr>
            </w:pPr>
          </w:p>
        </w:tc>
      </w:tr>
      <w:tr>
        <w:trPr>
          <w:trHeight w:val="196"/>
        </w:trPr>
        <w:tc>
          <w:tcPr>
            <w:tcW w:w="4860" w:type="dxa"/>
            <w:vAlign w:val="bottom"/>
            <w:gridSpan w:val="16"/>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Legal Matters</w:t>
              </w:r>
            </w:hyperlink>
          </w:p>
        </w:tc>
        <w:tc>
          <w:tcPr>
            <w:tcW w:w="5720" w:type="dxa"/>
            <w:vAlign w:val="bottom"/>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S-24</w:t>
            </w:r>
          </w:p>
        </w:tc>
        <w:tc>
          <w:tcPr>
            <w:tcW w:w="0" w:type="dxa"/>
            <w:vAlign w:val="bottom"/>
          </w:tcPr>
          <w:p>
            <w:pPr>
              <w:spacing w:after="0"/>
              <w:rPr>
                <w:sz w:val="1"/>
                <w:szCs w:val="1"/>
                <w:color w:val="auto"/>
              </w:rPr>
            </w:pPr>
          </w:p>
        </w:tc>
      </w:tr>
      <w:tr>
        <w:trPr>
          <w:trHeight w:val="669"/>
        </w:trPr>
        <w:tc>
          <w:tcPr>
            <w:tcW w:w="5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20" w:type="dxa"/>
            <w:vAlign w:val="bottom"/>
            <w:gridSpan w:val="3"/>
          </w:tcPr>
          <w:p>
            <w:pPr>
              <w:jc w:val="right"/>
              <w:ind w:right="4953"/>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392"/>
        </w:trPr>
        <w:tc>
          <w:tcPr>
            <w:tcW w:w="4860" w:type="dxa"/>
            <w:vAlign w:val="bottom"/>
            <w:gridSpan w:val="16"/>
            <w:vMerge w:val="restart"/>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About this Prospectus</w:t>
              </w:r>
            </w:hyperlink>
          </w:p>
        </w:tc>
        <w:tc>
          <w:tcPr>
            <w:tcW w:w="572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4860" w:type="dxa"/>
            <w:vAlign w:val="bottom"/>
            <w:gridSpan w:val="16"/>
            <w:vMerge w:val="continue"/>
          </w:tcPr>
          <w:p>
            <w:pPr>
              <w:spacing w:after="0"/>
              <w:rPr>
                <w:sz w:val="13"/>
                <w:szCs w:val="13"/>
                <w:color w:val="auto"/>
              </w:rPr>
            </w:pPr>
          </w:p>
        </w:tc>
        <w:tc>
          <w:tcPr>
            <w:tcW w:w="5820" w:type="dxa"/>
            <w:vAlign w:val="bottom"/>
            <w:gridSpan w:val="2"/>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1500" w:type="dxa"/>
            <w:vAlign w:val="bottom"/>
            <w:tcBorders>
              <w:right w:val="single" w:sz="8" w:color="0000EE"/>
            </w:tcBorders>
            <w:gridSpan w:val="5"/>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2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Forward-Looking Statements</w:t>
              </w:r>
            </w:hyperlink>
          </w:p>
        </w:tc>
        <w:tc>
          <w:tcPr>
            <w:tcW w:w="2740" w:type="dxa"/>
            <w:vAlign w:val="bottom"/>
            <w:gridSpan w:val="9"/>
          </w:tcPr>
          <w:p>
            <w:pPr>
              <w:spacing w:after="0"/>
              <w:rPr>
                <w:sz w:val="18"/>
                <w:szCs w:val="18"/>
                <w:color w:val="auto"/>
              </w:rPr>
            </w:pPr>
          </w:p>
        </w:tc>
        <w:tc>
          <w:tcPr>
            <w:tcW w:w="61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860" w:type="dxa"/>
            <w:vAlign w:val="bottom"/>
            <w:gridSpan w:val="16"/>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Prospectus Summary</w:t>
              </w:r>
            </w:hyperlink>
          </w:p>
        </w:tc>
        <w:tc>
          <w:tcPr>
            <w:tcW w:w="61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3280" w:type="dxa"/>
            <w:vAlign w:val="bottom"/>
            <w:gridSpan w:val="10"/>
          </w:tcPr>
          <w:p>
            <w:pPr>
              <w:spacing w:after="0"/>
              <w:rPr>
                <w:sz w:val="17"/>
                <w:szCs w:val="17"/>
                <w:color w:val="auto"/>
              </w:rPr>
            </w:pPr>
          </w:p>
        </w:tc>
        <w:tc>
          <w:tcPr>
            <w:tcW w:w="61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900" w:type="dxa"/>
            <w:vAlign w:val="bottom"/>
            <w:gridSpan w:val="2"/>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Use of Proceeds</w:t>
              </w:r>
            </w:hyperlink>
          </w:p>
        </w:tc>
        <w:tc>
          <w:tcPr>
            <w:tcW w:w="3680" w:type="dxa"/>
            <w:vAlign w:val="bottom"/>
            <w:gridSpan w:val="12"/>
          </w:tcPr>
          <w:p>
            <w:pPr>
              <w:spacing w:after="0"/>
              <w:rPr>
                <w:sz w:val="17"/>
                <w:szCs w:val="17"/>
                <w:color w:val="auto"/>
              </w:rPr>
            </w:pPr>
          </w:p>
        </w:tc>
        <w:tc>
          <w:tcPr>
            <w:tcW w:w="61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860" w:type="dxa"/>
            <w:vAlign w:val="bottom"/>
            <w:gridSpan w:val="16"/>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Description of Debt Securities</w:t>
              </w:r>
            </w:hyperlink>
          </w:p>
        </w:tc>
        <w:tc>
          <w:tcPr>
            <w:tcW w:w="61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500" w:type="dxa"/>
            <w:vAlign w:val="bottom"/>
            <w:tcBorders>
              <w:right w:val="single" w:sz="8" w:color="0000EE"/>
            </w:tcBorders>
            <w:gridSpan w:val="5"/>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gridSpan w:val="16"/>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Shares of Beneficial Interest</w:t>
              </w:r>
            </w:hyperlink>
          </w:p>
        </w:tc>
        <w:tc>
          <w:tcPr>
            <w:tcW w:w="61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500" w:type="dxa"/>
            <w:vAlign w:val="bottom"/>
            <w:tcBorders>
              <w:right w:val="single" w:sz="8" w:color="0000EE"/>
            </w:tcBorders>
            <w:gridSpan w:val="5"/>
            <w:shd w:val="clear" w:color="auto" w:fill="0000EE"/>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gridSpan w:val="16"/>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Material Federal Income Tax Considerations</w:t>
              </w:r>
            </w:hyperlink>
          </w:p>
        </w:tc>
        <w:tc>
          <w:tcPr>
            <w:tcW w:w="61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5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6"/>
              </w:rPr>
            </w:pPr>
            <w:hyperlink w:anchor="page79">
              <w:r>
                <w:rPr>
                  <w:rFonts w:ascii="Arial" w:cs="Arial" w:eastAsia="Arial" w:hAnsi="Arial"/>
                  <w:sz w:val="18"/>
                  <w:szCs w:val="18"/>
                  <w:color w:val="0000EE"/>
                  <w:w w:val="96"/>
                </w:rPr>
                <w:t>Plan of Distribution</w:t>
              </w:r>
            </w:hyperlink>
          </w:p>
        </w:tc>
        <w:tc>
          <w:tcPr>
            <w:tcW w:w="1720" w:type="dxa"/>
            <w:vAlign w:val="bottom"/>
            <w:tcBorders>
              <w:top w:val="single" w:sz="8" w:color="0000EE"/>
            </w:tcBorders>
            <w:gridSpan w:val="8"/>
          </w:tcPr>
          <w:p>
            <w:pPr>
              <w:spacing w:after="0"/>
              <w:rPr>
                <w:sz w:val="17"/>
                <w:szCs w:val="17"/>
                <w:color w:val="auto"/>
              </w:rPr>
            </w:pPr>
          </w:p>
        </w:tc>
        <w:tc>
          <w:tcPr>
            <w:tcW w:w="1640" w:type="dxa"/>
            <w:vAlign w:val="bottom"/>
            <w:gridSpan w:val="3"/>
          </w:tcPr>
          <w:p>
            <w:pPr>
              <w:spacing w:after="0"/>
              <w:rPr>
                <w:sz w:val="17"/>
                <w:szCs w:val="17"/>
                <w:color w:val="auto"/>
              </w:rPr>
            </w:pPr>
          </w:p>
        </w:tc>
        <w:tc>
          <w:tcPr>
            <w:tcW w:w="61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4860" w:type="dxa"/>
            <w:vAlign w:val="bottom"/>
            <w:gridSpan w:val="16"/>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Legal Matters</w:t>
              </w:r>
            </w:hyperlink>
          </w:p>
        </w:tc>
        <w:tc>
          <w:tcPr>
            <w:tcW w:w="61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81">
              <w:r>
                <w:rPr>
                  <w:rFonts w:ascii="Arial" w:cs="Arial" w:eastAsia="Arial" w:hAnsi="Arial"/>
                  <w:sz w:val="18"/>
                  <w:szCs w:val="18"/>
                  <w:color w:val="0000EE"/>
                  <w:w w:val="88"/>
                </w:rPr>
                <w:t>Experts</w:t>
              </w:r>
            </w:hyperlink>
          </w:p>
        </w:tc>
        <w:tc>
          <w:tcPr>
            <w:tcW w:w="440" w:type="dxa"/>
            <w:vAlign w:val="bottom"/>
            <w:tcBorders>
              <w:top w:val="single" w:sz="8" w:color="0000EE"/>
            </w:tcBorders>
            <w:gridSpan w:val="2"/>
          </w:tcPr>
          <w:p>
            <w:pPr>
              <w:spacing w:after="0"/>
              <w:rPr>
                <w:sz w:val="17"/>
                <w:szCs w:val="17"/>
                <w:color w:val="auto"/>
              </w:rPr>
            </w:pPr>
          </w:p>
        </w:tc>
        <w:tc>
          <w:tcPr>
            <w:tcW w:w="3860" w:type="dxa"/>
            <w:vAlign w:val="bottom"/>
            <w:gridSpan w:val="13"/>
          </w:tcPr>
          <w:p>
            <w:pPr>
              <w:spacing w:after="0"/>
              <w:rPr>
                <w:sz w:val="17"/>
                <w:szCs w:val="17"/>
                <w:color w:val="auto"/>
              </w:rPr>
            </w:pPr>
          </w:p>
        </w:tc>
        <w:tc>
          <w:tcPr>
            <w:tcW w:w="61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81">
              <w:r>
                <w:rPr>
                  <w:rFonts w:ascii="Arial" w:cs="Arial" w:eastAsia="Arial" w:hAnsi="Arial"/>
                  <w:sz w:val="18"/>
                  <w:szCs w:val="18"/>
                  <w:color w:val="0000EE"/>
                  <w:w w:val="92"/>
                </w:rPr>
                <w:t>Where You Can Find More Information</w:t>
              </w:r>
            </w:hyperlink>
          </w:p>
        </w:tc>
        <w:tc>
          <w:tcPr>
            <w:tcW w:w="1980" w:type="dxa"/>
            <w:vAlign w:val="bottom"/>
            <w:gridSpan w:val="5"/>
          </w:tcPr>
          <w:p>
            <w:pPr>
              <w:spacing w:after="0"/>
              <w:rPr>
                <w:sz w:val="17"/>
                <w:szCs w:val="17"/>
                <w:color w:val="auto"/>
              </w:rPr>
            </w:pPr>
          </w:p>
        </w:tc>
        <w:tc>
          <w:tcPr>
            <w:tcW w:w="61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200" w:right="60"/>
        <w:spacing w:after="0" w:line="254" w:lineRule="auto"/>
        <w:rPr>
          <w:sz w:val="20"/>
          <w:szCs w:val="20"/>
          <w:color w:val="auto"/>
        </w:rPr>
      </w:pPr>
      <w:r>
        <w:rPr>
          <w:rFonts w:ascii="Arial" w:cs="Arial" w:eastAsia="Arial" w:hAnsi="Arial"/>
          <w:sz w:val="18"/>
          <w:szCs w:val="18"/>
          <w:color w:val="auto"/>
        </w:rPr>
        <w:t>You should carefully read this prospectus supplement along with the accompanying prospectus, as well as the information incorporated by reference herein and therein, before you invest in the notes. These documents contain important information you should consider before making your investment decision. This prospectus supplement and the accompanying prospectus contain the terms of this offering of notes. The accompanying prospectus contains information about our securities generally, some of which does not apply to the notes covered by this prospectus supplement. This prospectus supplement may add, update or change information contained in or incorporated by reference in the accompanying prospectus. If the information in this prospectus supplement is inconsistent with any information contained in or incorporated by reference in the accompanying prospectus, the information in this prospectus supplement will apply and will supersede the inconsistent information contained in or incorporated by reference in the accompanying prospectus.</w:t>
      </w:r>
    </w:p>
    <w:p>
      <w:pPr>
        <w:spacing w:after="0" w:line="192" w:lineRule="exact"/>
        <w:rPr>
          <w:sz w:val="20"/>
          <w:szCs w:val="20"/>
          <w:color w:val="auto"/>
        </w:rPr>
      </w:pPr>
    </w:p>
    <w:p>
      <w:pPr>
        <w:ind w:left="200" w:right="240"/>
        <w:spacing w:after="0" w:line="286" w:lineRule="auto"/>
        <w:rPr>
          <w:sz w:val="20"/>
          <w:szCs w:val="20"/>
          <w:color w:val="auto"/>
        </w:rPr>
      </w:pPr>
      <w:r>
        <w:rPr>
          <w:rFonts w:ascii="Arial" w:cs="Arial" w:eastAsia="Arial" w:hAnsi="Arial"/>
          <w:sz w:val="17"/>
          <w:szCs w:val="17"/>
          <w:color w:val="auto"/>
        </w:rPr>
        <w:t>It is important for you to read and consider all information contained in this prospectus supplement and the accompanying prospectus in making your investment decision. You should also read and consider the additional information incorporated by reference in this prospectus supplement and the accompanying prospectus. See “Where You Can Find More Information” in the accompanying prospectus.</w:t>
      </w:r>
    </w:p>
    <w:p>
      <w:pPr>
        <w:spacing w:after="0" w:line="166"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References to “we,” “us,” “our,” “our company” or “ours” refer to Federal Realty Investment Trust and its directly and indirectly owned subsidiaries, unless the context otherwise requires. The term “you” refers to a prospective investor.</w:t>
      </w:r>
    </w:p>
    <w:p>
      <w:pPr>
        <w:spacing w:after="0" w:line="166" w:lineRule="exact"/>
        <w:rPr>
          <w:sz w:val="20"/>
          <w:szCs w:val="20"/>
          <w:color w:val="auto"/>
        </w:rPr>
      </w:pPr>
    </w:p>
    <w:p>
      <w:pPr>
        <w:ind w:left="200"/>
        <w:spacing w:after="0" w:line="292"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the accompanying prospectus and any related free writing prospectus required to be filed with the SEC. Neither we nor the underwriters have authorized any other person to provide you with additional or different information. If anyone provides you with additional or different information, you should not rely on it. Neither we nor the underwriters are making an offer to sell the notes in any jurisdiction where the offer or sale is not permitted. You should assume that the information appearing in this prospectus supplement, the accompanying prospectus, any such free writing prospectus and the documents incorporated by reference herein and therein is accurate only as of the respective dates of such documents or such other dates as may be specified therein. Our business, financial condition, liquidity, results of operations and prospects may have changed since those dates.</w:t>
      </w:r>
    </w:p>
    <w:p>
      <w:pPr>
        <w:spacing w:after="0" w:line="37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This prospectus supplement, the accompanying prospectus and the documents incorporated by reference in this prospectus supplement and the accompanying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Securities Act, Section 21E of the Securities Exchange Act of 1934, as amended, or the Exchange Act, and the Private Securities Litigation Reform Act of 1995. In particular, the risk factors included and incorporated by reference in this prospectus supplement and the accompanying prospectus describe forward-looking information. The risk factors, including those contained on page S-5 of this prospectus supplement, on page 3 of the accompanying prospectus and in our Annual Report on Form 10-K for the year ended December 31, 2018, filed with the SEC on February 13, 2019,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83" w:lineRule="exact"/>
        <w:rPr>
          <w:sz w:val="20"/>
          <w:szCs w:val="20"/>
          <w:color w:val="auto"/>
        </w:rPr>
      </w:pPr>
    </w:p>
    <w:p>
      <w:pPr>
        <w:ind w:left="1180" w:right="360" w:hanging="436"/>
        <w:spacing w:after="0" w:line="277"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our tenants may not pay rent, may vacate early or may file for bankruptcy, or that we may be unable to renew leases or re-let space at favorable rents as leases expire;</w:t>
      </w:r>
    </w:p>
    <w:p>
      <w:pPr>
        <w:spacing w:after="0" w:line="75" w:lineRule="exact"/>
        <w:rPr>
          <w:rFonts w:ascii="Arial" w:cs="Arial" w:eastAsia="Arial" w:hAnsi="Arial"/>
          <w:sz w:val="18"/>
          <w:szCs w:val="18"/>
          <w:color w:val="auto"/>
        </w:rPr>
      </w:pPr>
    </w:p>
    <w:p>
      <w:pPr>
        <w:ind w:left="1180" w:right="180" w:hanging="436"/>
        <w:spacing w:after="0" w:line="264"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00"/>
          </w:cols>
          <w:pgMar w:left="24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40" w:hanging="436"/>
        <w:spacing w:after="0" w:line="264"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not perform as planned, may be dependent on third parties to deliver critical aspects of certain projects, requires spending a substantial amount upfront in infrastructure, and assumes receipt of public funding which has been committed but not entirely funded;</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3"/>
        </w:numPr>
        <w:rPr>
          <w:rFonts w:ascii="Arial" w:cs="Arial" w:eastAsia="Arial" w:hAnsi="Arial"/>
          <w:sz w:val="17"/>
          <w:szCs w:val="17"/>
          <w:color w:val="auto"/>
        </w:rPr>
      </w:pPr>
      <w:r>
        <w:rPr>
          <w:rFonts w:ascii="Arial" w:cs="Arial" w:eastAsia="Arial" w:hAnsi="Arial"/>
          <w:sz w:val="17"/>
          <w:szCs w:val="17"/>
          <w:color w:val="auto"/>
        </w:rPr>
        <w:t>occupancy levels at our properties and the amount of rent that we receive from our properties may be lower than expected,</w:t>
      </w:r>
    </w:p>
    <w:p>
      <w:pPr>
        <w:spacing w:after="0" w:line="142" w:lineRule="exact"/>
        <w:rPr>
          <w:rFonts w:ascii="Arial" w:cs="Arial" w:eastAsia="Arial" w:hAnsi="Arial"/>
          <w:sz w:val="17"/>
          <w:szCs w:val="17"/>
          <w:color w:val="auto"/>
        </w:rPr>
      </w:pPr>
    </w:p>
    <w:p>
      <w:pPr>
        <w:ind w:left="1620" w:hanging="322"/>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3"/>
        </w:numPr>
        <w:rPr>
          <w:rFonts w:ascii="Arial" w:cs="Arial" w:eastAsia="Arial" w:hAnsi="Arial"/>
          <w:sz w:val="16"/>
          <w:szCs w:val="16"/>
          <w:color w:val="auto"/>
        </w:rPr>
      </w:pPr>
      <w:r>
        <w:rPr>
          <w:rFonts w:ascii="Arial" w:cs="Arial" w:eastAsia="Arial" w:hAnsi="Arial"/>
          <w:sz w:val="16"/>
          <w:szCs w:val="16"/>
          <w:color w:val="auto"/>
        </w:rPr>
        <w:t>that costs associated with the periodic maintenance and repair or renovation of space, insurance and other operations may increase,</w:t>
      </w:r>
    </w:p>
    <w:p>
      <w:pPr>
        <w:spacing w:after="0" w:line="153" w:lineRule="exact"/>
        <w:rPr>
          <w:rFonts w:ascii="Arial" w:cs="Arial" w:eastAsia="Arial" w:hAnsi="Arial"/>
          <w:sz w:val="16"/>
          <w:szCs w:val="16"/>
          <w:color w:val="auto"/>
        </w:rPr>
      </w:pPr>
    </w:p>
    <w:p>
      <w:pPr>
        <w:ind w:left="1620" w:hanging="322"/>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130" w:lineRule="exact"/>
        <w:rPr>
          <w:rFonts w:ascii="Arial" w:cs="Arial" w:eastAsia="Arial" w:hAnsi="Arial"/>
          <w:sz w:val="18"/>
          <w:szCs w:val="18"/>
          <w:color w:val="auto"/>
        </w:rPr>
      </w:pPr>
    </w:p>
    <w:p>
      <w:pPr>
        <w:jc w:val="both"/>
        <w:ind w:left="1180" w:right="60" w:hanging="436"/>
        <w:spacing w:after="0" w:line="264"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86" w:lineRule="exact"/>
        <w:rPr>
          <w:rFonts w:ascii="Arial" w:cs="Arial" w:eastAsia="Arial" w:hAnsi="Arial"/>
          <w:sz w:val="18"/>
          <w:szCs w:val="18"/>
          <w:color w:val="auto"/>
        </w:rPr>
      </w:pPr>
    </w:p>
    <w:p>
      <w:pPr>
        <w:ind w:left="1180" w:right="160" w:hanging="436"/>
        <w:spacing w:after="0" w:line="264"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8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contained in or incorporated by reference in this prospectus supplement and the accompanying prospectus. We also make no promise to update any of the forward-looking statements, or to publicly release the results if we revise any of them.</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9418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2145" cy="69418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80" w:right="220"/>
        <w:spacing w:after="0" w:line="264" w:lineRule="auto"/>
        <w:rPr>
          <w:sz w:val="20"/>
          <w:szCs w:val="20"/>
          <w:color w:val="auto"/>
        </w:rPr>
      </w:pPr>
      <w:r>
        <w:rPr>
          <w:rFonts w:ascii="Arial" w:cs="Arial" w:eastAsia="Arial" w:hAnsi="Arial"/>
          <w:sz w:val="18"/>
          <w:szCs w:val="18"/>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 this prospectus supplement and the accompanying prospectus.</w:t>
      </w:r>
    </w:p>
    <w:p>
      <w:pPr>
        <w:spacing w:after="0" w:line="39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left="380" w:right="20"/>
        <w:spacing w:after="0" w:line="255" w:lineRule="auto"/>
        <w:rPr>
          <w:sz w:val="20"/>
          <w:szCs w:val="20"/>
          <w:color w:val="auto"/>
        </w:rPr>
      </w:pPr>
      <w:r>
        <w:rPr>
          <w:rFonts w:ascii="Arial" w:cs="Arial" w:eastAsia="Arial" w:hAnsi="Arial"/>
          <w:sz w:val="18"/>
          <w:szCs w:val="18"/>
          <w:color w:val="auto"/>
        </w:rPr>
        <w:t>Federal Realty Investment Trust is an equity REIT specializing in the ownership, management and redevelopment of retail and mixed-use properties. Our properties are located primarily in densely populated and affluent communities in strategically selected metropolitan markets in the Northeast and Mid-Atlantic regions of the United States, California, and South Florida. As of June 30, 2019, we owned or had a majority interest in community and neighborhood shopping centers and mixed-use properties which are operated as 104 predominantly retail real estate projects comprising approximately 23.9 million square feet. In total, the real estate projects were 94.1% leased and 93.3% occupied at June 30, 2019. We have paid quarterly dividends to our shareholders continuously since our founding in 1962 and have increased our dividends per common share for 52 consecutive years.</w:t>
      </w:r>
    </w:p>
    <w:p>
      <w:pPr>
        <w:spacing w:after="0" w:line="189" w:lineRule="exact"/>
        <w:rPr>
          <w:sz w:val="20"/>
          <w:szCs w:val="20"/>
          <w:color w:val="auto"/>
        </w:rPr>
      </w:pPr>
    </w:p>
    <w:p>
      <w:pPr>
        <w:ind w:left="380"/>
        <w:spacing w:after="0" w:line="288" w:lineRule="auto"/>
        <w:rPr>
          <w:sz w:val="20"/>
          <w:szCs w:val="20"/>
          <w:color w:val="auto"/>
        </w:rPr>
      </w:pPr>
      <w:r>
        <w:rPr>
          <w:rFonts w:ascii="Arial" w:cs="Arial" w:eastAsia="Arial" w:hAnsi="Arial"/>
          <w:sz w:val="16"/>
          <w:szCs w:val="16"/>
          <w:color w:val="auto"/>
        </w:rPr>
        <w:t>We were founded in 1962 as a REIT under the laws of the District of Columbia and re-formed as a REIT in the state of Maryland in 1999. We operate in a manner intended to qualify as a REIT for tax purposes pursuant to provisions of the Internal Revenue Code of 1986, as amended, or the Code. Our principal executive offices are located at 1626 East Jefferson Street, Rockville, Maryland 20852. Our telephone number is</w:t>
      </w:r>
    </w:p>
    <w:p>
      <w:pPr>
        <w:ind w:left="380" w:right="800" w:firstLine="6"/>
        <w:spacing w:after="0" w:line="261" w:lineRule="auto"/>
        <w:tabs>
          <w:tab w:leader="none" w:pos="815"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supplement or the accompanying prospectus and is not incorporated herein or therein by reference.</w:t>
      </w:r>
    </w:p>
    <w:p>
      <w:pPr>
        <w:spacing w:after="0" w:line="39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380" w:right="120"/>
        <w:spacing w:after="0" w:line="264" w:lineRule="auto"/>
        <w:rPr>
          <w:sz w:val="20"/>
          <w:szCs w:val="20"/>
          <w:color w:val="auto"/>
        </w:rPr>
      </w:pPr>
      <w:r>
        <w:rPr>
          <w:rFonts w:ascii="Arial" w:cs="Arial" w:eastAsia="Arial" w:hAnsi="Arial"/>
          <w:sz w:val="18"/>
          <w:szCs w:val="18"/>
          <w:color w:val="auto"/>
        </w:rPr>
        <w:t>All capitalized terms not defined herein have the meanings specified in “Description of Notes” in this prospectus supplement or in “Description of Debt Securities” in the accompanying prospectus. For a more complete description of the terms of the notes specified in the following summary, see “Description of Notes.”</w:t>
      </w:r>
    </w:p>
    <w:p>
      <w:pPr>
        <w:spacing w:after="0" w:line="208"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Issuer</w:t>
            </w:r>
          </w:p>
        </w:tc>
        <w:tc>
          <w:tcPr>
            <w:tcW w:w="7740" w:type="dxa"/>
            <w:vAlign w:val="bottom"/>
            <w:gridSpan w:val="2"/>
          </w:tcPr>
          <w:p>
            <w:pPr>
              <w:ind w:left="1200"/>
              <w:spacing w:after="0"/>
              <w:rPr>
                <w:sz w:val="20"/>
                <w:szCs w:val="20"/>
                <w:color w:val="auto"/>
              </w:rPr>
            </w:pPr>
            <w:r>
              <w:rPr>
                <w:rFonts w:ascii="Arial" w:cs="Arial" w:eastAsia="Arial" w:hAnsi="Arial"/>
                <w:sz w:val="18"/>
                <w:szCs w:val="18"/>
                <w:color w:val="auto"/>
              </w:rPr>
              <w:t>Federal Realty Investment Trust.</w:t>
            </w:r>
          </w:p>
        </w:tc>
      </w:tr>
      <w:tr>
        <w:trPr>
          <w:trHeight w:val="351"/>
        </w:trPr>
        <w:tc>
          <w:tcPr>
            <w:tcW w:w="2840" w:type="dxa"/>
            <w:vAlign w:val="bottom"/>
          </w:tcPr>
          <w:p>
            <w:pPr>
              <w:spacing w:after="0"/>
              <w:rPr>
                <w:sz w:val="20"/>
                <w:szCs w:val="20"/>
                <w:color w:val="auto"/>
              </w:rPr>
            </w:pPr>
            <w:r>
              <w:rPr>
                <w:rFonts w:ascii="Arial" w:cs="Arial" w:eastAsia="Arial" w:hAnsi="Arial"/>
                <w:sz w:val="18"/>
                <w:szCs w:val="18"/>
                <w:color w:val="auto"/>
              </w:rPr>
              <w:t>Securities offered</w:t>
            </w:r>
          </w:p>
        </w:tc>
        <w:tc>
          <w:tcPr>
            <w:tcW w:w="1720" w:type="dxa"/>
            <w:vAlign w:val="bottom"/>
          </w:tcPr>
          <w:p>
            <w:pPr>
              <w:ind w:left="1200"/>
              <w:spacing w:after="0"/>
              <w:rPr>
                <w:sz w:val="20"/>
                <w:szCs w:val="20"/>
                <w:color w:val="auto"/>
              </w:rPr>
            </w:pPr>
            <w:r>
              <w:rPr>
                <w:rFonts w:ascii="Arial" w:cs="Arial" w:eastAsia="Arial" w:hAnsi="Arial"/>
                <w:sz w:val="18"/>
                <w:szCs w:val="18"/>
                <w:color w:val="auto"/>
              </w:rPr>
              <w:t>$</w:t>
            </w:r>
          </w:p>
        </w:tc>
        <w:tc>
          <w:tcPr>
            <w:tcW w:w="6020" w:type="dxa"/>
            <w:vAlign w:val="bottom"/>
          </w:tcPr>
          <w:p>
            <w:pPr>
              <w:ind w:left="120"/>
              <w:spacing w:after="0"/>
              <w:rPr>
                <w:sz w:val="20"/>
                <w:szCs w:val="20"/>
                <w:color w:val="auto"/>
              </w:rPr>
            </w:pPr>
            <w:r>
              <w:rPr>
                <w:rFonts w:ascii="Arial" w:cs="Arial" w:eastAsia="Arial" w:hAnsi="Arial"/>
                <w:sz w:val="18"/>
                <w:szCs w:val="18"/>
                <w:color w:val="auto"/>
              </w:rPr>
              <w:t>million aggregate principal amount of 3.20% Notes due 2029.</w:t>
            </w:r>
          </w:p>
        </w:tc>
      </w:tr>
      <w:tr>
        <w:trPr>
          <w:trHeight w:val="337"/>
        </w:trPr>
        <w:tc>
          <w:tcPr>
            <w:tcW w:w="2840" w:type="dxa"/>
            <w:vAlign w:val="bottom"/>
          </w:tcPr>
          <w:p>
            <w:pPr>
              <w:spacing w:after="0"/>
              <w:rPr>
                <w:sz w:val="20"/>
                <w:szCs w:val="20"/>
                <w:color w:val="auto"/>
              </w:rPr>
            </w:pPr>
            <w:r>
              <w:rPr>
                <w:rFonts w:ascii="Arial" w:cs="Arial" w:eastAsia="Arial" w:hAnsi="Arial"/>
                <w:sz w:val="18"/>
                <w:szCs w:val="18"/>
                <w:color w:val="auto"/>
              </w:rPr>
              <w:t>Maturity</w:t>
            </w:r>
          </w:p>
        </w:tc>
        <w:tc>
          <w:tcPr>
            <w:tcW w:w="7740" w:type="dxa"/>
            <w:vAlign w:val="bottom"/>
            <w:gridSpan w:val="2"/>
          </w:tcPr>
          <w:p>
            <w:pPr>
              <w:ind w:left="1200"/>
              <w:spacing w:after="0"/>
              <w:rPr>
                <w:sz w:val="20"/>
                <w:szCs w:val="20"/>
                <w:color w:val="auto"/>
              </w:rPr>
            </w:pPr>
            <w:r>
              <w:rPr>
                <w:rFonts w:ascii="Arial" w:cs="Arial" w:eastAsia="Arial" w:hAnsi="Arial"/>
                <w:sz w:val="18"/>
                <w:szCs w:val="18"/>
                <w:color w:val="auto"/>
                <w:w w:val="92"/>
              </w:rPr>
              <w:t>Unless redeemed prior to maturity as described below, the notes will mature on June 15,</w:t>
            </w:r>
          </w:p>
        </w:tc>
      </w:tr>
      <w:tr>
        <w:trPr>
          <w:trHeight w:val="230"/>
        </w:trPr>
        <w:tc>
          <w:tcPr>
            <w:tcW w:w="2840" w:type="dxa"/>
            <w:vAlign w:val="bottom"/>
          </w:tcPr>
          <w:p>
            <w:pPr>
              <w:spacing w:after="0"/>
              <w:rPr>
                <w:sz w:val="20"/>
                <w:szCs w:val="20"/>
                <w:color w:val="auto"/>
              </w:rPr>
            </w:pPr>
          </w:p>
        </w:tc>
        <w:tc>
          <w:tcPr>
            <w:tcW w:w="1720" w:type="dxa"/>
            <w:vAlign w:val="bottom"/>
          </w:tcPr>
          <w:p>
            <w:pPr>
              <w:ind w:left="1200"/>
              <w:spacing w:after="0"/>
              <w:rPr>
                <w:sz w:val="20"/>
                <w:szCs w:val="20"/>
                <w:color w:val="auto"/>
              </w:rPr>
            </w:pPr>
            <w:r>
              <w:rPr>
                <w:rFonts w:ascii="Arial" w:cs="Arial" w:eastAsia="Arial" w:hAnsi="Arial"/>
                <w:sz w:val="18"/>
                <w:szCs w:val="18"/>
                <w:color w:val="auto"/>
              </w:rPr>
              <w:t>2029.</w:t>
            </w:r>
          </w:p>
        </w:tc>
        <w:tc>
          <w:tcPr>
            <w:tcW w:w="6020" w:type="dxa"/>
            <w:vAlign w:val="bottom"/>
          </w:tcPr>
          <w:p>
            <w:pPr>
              <w:spacing w:after="0"/>
              <w:rPr>
                <w:sz w:val="20"/>
                <w:szCs w:val="20"/>
                <w:color w:val="auto"/>
              </w:rPr>
            </w:pPr>
          </w:p>
        </w:tc>
      </w:tr>
      <w:tr>
        <w:trPr>
          <w:trHeight w:val="323"/>
        </w:trPr>
        <w:tc>
          <w:tcPr>
            <w:tcW w:w="2840" w:type="dxa"/>
            <w:vAlign w:val="bottom"/>
          </w:tcPr>
          <w:p>
            <w:pPr>
              <w:spacing w:after="0"/>
              <w:rPr>
                <w:sz w:val="20"/>
                <w:szCs w:val="20"/>
                <w:color w:val="auto"/>
              </w:rPr>
            </w:pPr>
            <w:r>
              <w:rPr>
                <w:rFonts w:ascii="Arial" w:cs="Arial" w:eastAsia="Arial" w:hAnsi="Arial"/>
                <w:sz w:val="18"/>
                <w:szCs w:val="18"/>
                <w:color w:val="auto"/>
              </w:rPr>
              <w:t>Interest payment dates</w:t>
            </w:r>
          </w:p>
        </w:tc>
        <w:tc>
          <w:tcPr>
            <w:tcW w:w="7740" w:type="dxa"/>
            <w:vAlign w:val="bottom"/>
            <w:gridSpan w:val="2"/>
          </w:tcPr>
          <w:p>
            <w:pPr>
              <w:ind w:left="1200"/>
              <w:spacing w:after="0"/>
              <w:rPr>
                <w:sz w:val="20"/>
                <w:szCs w:val="20"/>
                <w:color w:val="auto"/>
              </w:rPr>
            </w:pPr>
            <w:r>
              <w:rPr>
                <w:rFonts w:ascii="Arial" w:cs="Arial" w:eastAsia="Arial" w:hAnsi="Arial"/>
                <w:sz w:val="18"/>
                <w:szCs w:val="18"/>
                <w:color w:val="auto"/>
                <w:w w:val="91"/>
              </w:rPr>
              <w:t>Interest on the notes is payable semi-annually in arrears on June 15 and December 15 of</w:t>
            </w:r>
          </w:p>
        </w:tc>
      </w:tr>
      <w:tr>
        <w:trPr>
          <w:trHeight w:val="216"/>
        </w:trPr>
        <w:tc>
          <w:tcPr>
            <w:tcW w:w="2840" w:type="dxa"/>
            <w:vAlign w:val="bottom"/>
          </w:tcPr>
          <w:p>
            <w:pPr>
              <w:spacing w:after="0"/>
              <w:rPr>
                <w:sz w:val="18"/>
                <w:szCs w:val="18"/>
                <w:color w:val="auto"/>
              </w:rPr>
            </w:pPr>
          </w:p>
        </w:tc>
        <w:tc>
          <w:tcPr>
            <w:tcW w:w="7740" w:type="dxa"/>
            <w:vAlign w:val="bottom"/>
            <w:gridSpan w:val="2"/>
          </w:tcPr>
          <w:p>
            <w:pPr>
              <w:ind w:left="1200"/>
              <w:spacing w:after="0"/>
              <w:rPr>
                <w:sz w:val="20"/>
                <w:szCs w:val="20"/>
                <w:color w:val="auto"/>
              </w:rPr>
            </w:pPr>
            <w:r>
              <w:rPr>
                <w:rFonts w:ascii="Arial" w:cs="Arial" w:eastAsia="Arial" w:hAnsi="Arial"/>
                <w:sz w:val="18"/>
                <w:szCs w:val="18"/>
                <w:color w:val="auto"/>
                <w:w w:val="93"/>
              </w:rPr>
              <w:t>each year, beginning on December 15, 2019, and at maturity (or any earlier redemption</w:t>
            </w:r>
          </w:p>
        </w:tc>
      </w:tr>
      <w:tr>
        <w:trPr>
          <w:trHeight w:val="230"/>
        </w:trPr>
        <w:tc>
          <w:tcPr>
            <w:tcW w:w="2840" w:type="dxa"/>
            <w:vAlign w:val="bottom"/>
          </w:tcPr>
          <w:p>
            <w:pPr>
              <w:spacing w:after="0"/>
              <w:rPr>
                <w:sz w:val="20"/>
                <w:szCs w:val="20"/>
                <w:color w:val="auto"/>
              </w:rPr>
            </w:pPr>
          </w:p>
        </w:tc>
        <w:tc>
          <w:tcPr>
            <w:tcW w:w="1720" w:type="dxa"/>
            <w:vAlign w:val="bottom"/>
          </w:tcPr>
          <w:p>
            <w:pPr>
              <w:ind w:left="1200"/>
              <w:spacing w:after="0"/>
              <w:rPr>
                <w:sz w:val="20"/>
                <w:szCs w:val="20"/>
                <w:color w:val="auto"/>
              </w:rPr>
            </w:pPr>
            <w:r>
              <w:rPr>
                <w:rFonts w:ascii="Arial" w:cs="Arial" w:eastAsia="Arial" w:hAnsi="Arial"/>
                <w:sz w:val="18"/>
                <w:szCs w:val="18"/>
                <w:color w:val="auto"/>
              </w:rPr>
              <w:t>date).</w:t>
            </w:r>
          </w:p>
        </w:tc>
        <w:tc>
          <w:tcPr>
            <w:tcW w:w="6020" w:type="dxa"/>
            <w:vAlign w:val="bottom"/>
          </w:tcPr>
          <w:p>
            <w:pPr>
              <w:spacing w:after="0"/>
              <w:rPr>
                <w:sz w:val="20"/>
                <w:szCs w:val="20"/>
                <w:color w:val="auto"/>
              </w:rPr>
            </w:pPr>
          </w:p>
        </w:tc>
      </w:tr>
      <w:tr>
        <w:trPr>
          <w:trHeight w:val="323"/>
        </w:trPr>
        <w:tc>
          <w:tcPr>
            <w:tcW w:w="2840" w:type="dxa"/>
            <w:vAlign w:val="bottom"/>
          </w:tcPr>
          <w:p>
            <w:pPr>
              <w:spacing w:after="0"/>
              <w:rPr>
                <w:sz w:val="20"/>
                <w:szCs w:val="20"/>
                <w:color w:val="auto"/>
              </w:rPr>
            </w:pPr>
            <w:r>
              <w:rPr>
                <w:rFonts w:ascii="Arial" w:cs="Arial" w:eastAsia="Arial" w:hAnsi="Arial"/>
                <w:sz w:val="18"/>
                <w:szCs w:val="18"/>
                <w:color w:val="auto"/>
              </w:rPr>
              <w:t>Ranking</w:t>
            </w:r>
          </w:p>
        </w:tc>
        <w:tc>
          <w:tcPr>
            <w:tcW w:w="7740" w:type="dxa"/>
            <w:vAlign w:val="bottom"/>
            <w:gridSpan w:val="2"/>
          </w:tcPr>
          <w:p>
            <w:pPr>
              <w:ind w:left="1200"/>
              <w:spacing w:after="0"/>
              <w:rPr>
                <w:sz w:val="20"/>
                <w:szCs w:val="20"/>
                <w:color w:val="auto"/>
              </w:rPr>
            </w:pPr>
            <w:r>
              <w:rPr>
                <w:rFonts w:ascii="Arial" w:cs="Arial" w:eastAsia="Arial" w:hAnsi="Arial"/>
                <w:sz w:val="18"/>
                <w:szCs w:val="18"/>
                <w:color w:val="auto"/>
                <w:w w:val="91"/>
              </w:rPr>
              <w:t xml:space="preserve">The notes are our senior unsecured obligations and rank </w:t>
            </w:r>
            <w:r>
              <w:rPr>
                <w:rFonts w:ascii="Arial" w:cs="Arial" w:eastAsia="Arial" w:hAnsi="Arial"/>
                <w:sz w:val="18"/>
                <w:szCs w:val="18"/>
                <w:i w:val="1"/>
                <w:iCs w:val="1"/>
                <w:color w:val="auto"/>
                <w:w w:val="91"/>
              </w:rPr>
              <w:t>pari passu</w:t>
            </w:r>
            <w:r>
              <w:rPr>
                <w:rFonts w:ascii="Arial" w:cs="Arial" w:eastAsia="Arial" w:hAnsi="Arial"/>
                <w:sz w:val="18"/>
                <w:szCs w:val="18"/>
                <w:color w:val="auto"/>
                <w:w w:val="91"/>
              </w:rPr>
              <w:t>, or equally, with all of</w:t>
            </w:r>
          </w:p>
        </w:tc>
      </w:tr>
      <w:tr>
        <w:trPr>
          <w:trHeight w:val="216"/>
        </w:trPr>
        <w:tc>
          <w:tcPr>
            <w:tcW w:w="2840" w:type="dxa"/>
            <w:vAlign w:val="bottom"/>
          </w:tcPr>
          <w:p>
            <w:pPr>
              <w:spacing w:after="0"/>
              <w:rPr>
                <w:sz w:val="18"/>
                <w:szCs w:val="18"/>
                <w:color w:val="auto"/>
              </w:rPr>
            </w:pPr>
          </w:p>
        </w:tc>
        <w:tc>
          <w:tcPr>
            <w:tcW w:w="7740" w:type="dxa"/>
            <w:vAlign w:val="bottom"/>
            <w:gridSpan w:val="2"/>
          </w:tcPr>
          <w:p>
            <w:pPr>
              <w:ind w:left="1200"/>
              <w:spacing w:after="0"/>
              <w:rPr>
                <w:sz w:val="20"/>
                <w:szCs w:val="20"/>
                <w:color w:val="auto"/>
              </w:rPr>
            </w:pPr>
            <w:r>
              <w:rPr>
                <w:rFonts w:ascii="Arial" w:cs="Arial" w:eastAsia="Arial" w:hAnsi="Arial"/>
                <w:sz w:val="18"/>
                <w:szCs w:val="18"/>
                <w:color w:val="auto"/>
              </w:rPr>
              <w:t>our other unsecured and unsubordinated indebtedness. The notes are effectively</w:t>
            </w:r>
          </w:p>
        </w:tc>
      </w:tr>
      <w:tr>
        <w:trPr>
          <w:trHeight w:val="216"/>
        </w:trPr>
        <w:tc>
          <w:tcPr>
            <w:tcW w:w="2840" w:type="dxa"/>
            <w:vAlign w:val="bottom"/>
          </w:tcPr>
          <w:p>
            <w:pPr>
              <w:spacing w:after="0"/>
              <w:rPr>
                <w:sz w:val="18"/>
                <w:szCs w:val="18"/>
                <w:color w:val="auto"/>
              </w:rPr>
            </w:pPr>
          </w:p>
        </w:tc>
        <w:tc>
          <w:tcPr>
            <w:tcW w:w="7740" w:type="dxa"/>
            <w:vAlign w:val="bottom"/>
            <w:gridSpan w:val="2"/>
          </w:tcPr>
          <w:p>
            <w:pPr>
              <w:ind w:left="1200"/>
              <w:spacing w:after="0"/>
              <w:rPr>
                <w:sz w:val="20"/>
                <w:szCs w:val="20"/>
                <w:color w:val="auto"/>
              </w:rPr>
            </w:pPr>
            <w:r>
              <w:rPr>
                <w:rFonts w:ascii="Arial" w:cs="Arial" w:eastAsia="Arial" w:hAnsi="Arial"/>
                <w:sz w:val="18"/>
                <w:szCs w:val="18"/>
                <w:color w:val="auto"/>
                <w:w w:val="91"/>
              </w:rPr>
              <w:t>subordinated to the prior claims of each secured mortgage lender to any specific property</w:t>
            </w:r>
          </w:p>
        </w:tc>
      </w:tr>
      <w:tr>
        <w:trPr>
          <w:trHeight w:val="216"/>
        </w:trPr>
        <w:tc>
          <w:tcPr>
            <w:tcW w:w="2840" w:type="dxa"/>
            <w:vAlign w:val="bottom"/>
          </w:tcPr>
          <w:p>
            <w:pPr>
              <w:spacing w:after="0"/>
              <w:rPr>
                <w:sz w:val="18"/>
                <w:szCs w:val="18"/>
                <w:color w:val="auto"/>
              </w:rPr>
            </w:pPr>
          </w:p>
        </w:tc>
        <w:tc>
          <w:tcPr>
            <w:tcW w:w="7740" w:type="dxa"/>
            <w:vAlign w:val="bottom"/>
            <w:gridSpan w:val="2"/>
          </w:tcPr>
          <w:p>
            <w:pPr>
              <w:ind w:left="1200"/>
              <w:spacing w:after="0"/>
              <w:rPr>
                <w:sz w:val="20"/>
                <w:szCs w:val="20"/>
                <w:color w:val="auto"/>
              </w:rPr>
            </w:pPr>
            <w:r>
              <w:rPr>
                <w:rFonts w:ascii="Arial" w:cs="Arial" w:eastAsia="Arial" w:hAnsi="Arial"/>
                <w:sz w:val="18"/>
                <w:szCs w:val="18"/>
                <w:color w:val="auto"/>
                <w:w w:val="97"/>
              </w:rPr>
              <w:t>that secures such lender’s mortgage and to all of the unsecured indebtedness of our</w:t>
            </w:r>
          </w:p>
        </w:tc>
      </w:tr>
      <w:tr>
        <w:trPr>
          <w:trHeight w:val="216"/>
        </w:trPr>
        <w:tc>
          <w:tcPr>
            <w:tcW w:w="2840" w:type="dxa"/>
            <w:vAlign w:val="bottom"/>
          </w:tcPr>
          <w:p>
            <w:pPr>
              <w:spacing w:after="0"/>
              <w:rPr>
                <w:sz w:val="18"/>
                <w:szCs w:val="18"/>
                <w:color w:val="auto"/>
              </w:rPr>
            </w:pPr>
          </w:p>
        </w:tc>
        <w:tc>
          <w:tcPr>
            <w:tcW w:w="7740" w:type="dxa"/>
            <w:vAlign w:val="bottom"/>
            <w:gridSpan w:val="2"/>
          </w:tcPr>
          <w:p>
            <w:pPr>
              <w:ind w:left="1200"/>
              <w:spacing w:after="0"/>
              <w:rPr>
                <w:sz w:val="20"/>
                <w:szCs w:val="20"/>
                <w:color w:val="auto"/>
              </w:rPr>
            </w:pPr>
            <w:r>
              <w:rPr>
                <w:rFonts w:ascii="Arial" w:cs="Arial" w:eastAsia="Arial" w:hAnsi="Arial"/>
                <w:sz w:val="18"/>
                <w:szCs w:val="18"/>
                <w:color w:val="auto"/>
                <w:w w:val="91"/>
              </w:rPr>
              <w:t>subsidiaries. At June 30, 2019, we had outstanding approximately $452 million (excluding</w:t>
            </w:r>
          </w:p>
        </w:tc>
      </w:tr>
      <w:tr>
        <w:trPr>
          <w:trHeight w:val="230"/>
        </w:trPr>
        <w:tc>
          <w:tcPr>
            <w:tcW w:w="2840" w:type="dxa"/>
            <w:vAlign w:val="bottom"/>
          </w:tcPr>
          <w:p>
            <w:pPr>
              <w:spacing w:after="0"/>
              <w:rPr>
                <w:sz w:val="20"/>
                <w:szCs w:val="20"/>
                <w:color w:val="auto"/>
              </w:rPr>
            </w:pPr>
          </w:p>
        </w:tc>
        <w:tc>
          <w:tcPr>
            <w:tcW w:w="7740" w:type="dxa"/>
            <w:vAlign w:val="bottom"/>
            <w:gridSpan w:val="2"/>
          </w:tcPr>
          <w:p>
            <w:pPr>
              <w:ind w:left="1200"/>
              <w:spacing w:after="0"/>
              <w:rPr>
                <w:sz w:val="20"/>
                <w:szCs w:val="20"/>
                <w:color w:val="auto"/>
              </w:rPr>
            </w:pPr>
            <w:r>
              <w:rPr>
                <w:rFonts w:ascii="Arial" w:cs="Arial" w:eastAsia="Arial" w:hAnsi="Arial"/>
                <w:sz w:val="18"/>
                <w:szCs w:val="18"/>
                <w:color w:val="auto"/>
                <w:w w:val="90"/>
              </w:rPr>
              <w:t>net unamortized premium and debt issuance costs) of consolidated secured indebtedness,</w:t>
            </w:r>
          </w:p>
        </w:tc>
      </w:tr>
    </w:tbl>
    <w:p>
      <w:pPr>
        <w:ind w:left="4420" w:right="200"/>
        <w:spacing w:after="0" w:line="255" w:lineRule="auto"/>
        <w:rPr>
          <w:sz w:val="20"/>
          <w:szCs w:val="20"/>
          <w:color w:val="auto"/>
        </w:rPr>
      </w:pPr>
      <w:r>
        <w:rPr>
          <w:rFonts w:ascii="Arial" w:cs="Arial" w:eastAsia="Arial" w:hAnsi="Arial"/>
          <w:sz w:val="18"/>
          <w:szCs w:val="18"/>
          <w:color w:val="auto"/>
        </w:rPr>
        <w:t>which was issued by our subsidiaries and is collateralized by all or parts of 12 properties, and which ranks senior to the notes to the extent of the securing collateral and is also structurally senior to the notes,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040"/>
          </w:cols>
          <w:pgMar w:left="240" w:top="459" w:right="6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3420" w:type="dxa"/>
            <w:vAlign w:val="bottom"/>
            <w:tcBorders>
              <w:top w:val="single" w:sz="8" w:color="auto"/>
              <w:left w:val="single" w:sz="8" w:color="auto"/>
            </w:tcBorders>
          </w:tcPr>
          <w:p>
            <w:pPr>
              <w:spacing w:after="0"/>
              <w:rPr>
                <w:sz w:val="24"/>
                <w:szCs w:val="24"/>
                <w:color w:val="auto"/>
              </w:rPr>
            </w:pPr>
          </w:p>
        </w:tc>
        <w:tc>
          <w:tcPr>
            <w:tcW w:w="7620" w:type="dxa"/>
            <w:vAlign w:val="bottom"/>
            <w:tcBorders>
              <w:top w:val="single" w:sz="8" w:color="auto"/>
              <w:right w:val="single" w:sz="8" w:color="auto"/>
            </w:tcBorders>
          </w:tcPr>
          <w:p>
            <w:pPr>
              <w:ind w:left="800"/>
              <w:spacing w:after="0"/>
              <w:rPr>
                <w:sz w:val="20"/>
                <w:szCs w:val="20"/>
                <w:color w:val="auto"/>
              </w:rPr>
            </w:pPr>
            <w:r>
              <w:rPr>
                <w:rFonts w:ascii="Arial" w:cs="Arial" w:eastAsia="Arial" w:hAnsi="Arial"/>
                <w:sz w:val="18"/>
                <w:szCs w:val="18"/>
                <w:color w:val="auto"/>
                <w:w w:val="97"/>
              </w:rPr>
              <w:t>approximately $4 million (excluding net unamortized debt issuance costs) of unsecured</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9"/>
              </w:rPr>
              <w:t>indebtedness issued by our subsidiaries, which is structurally senior to the notes, and</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approximately $2,719 million of unsecured indebtedness (excluding net unamortized</w:t>
            </w:r>
          </w:p>
        </w:tc>
      </w:tr>
      <w:tr>
        <w:trPr>
          <w:trHeight w:val="230"/>
        </w:trPr>
        <w:tc>
          <w:tcPr>
            <w:tcW w:w="342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discount or premium and debt issuance costs), which ranks equally with the notes.</w:t>
            </w:r>
          </w:p>
        </w:tc>
      </w:tr>
      <w:tr>
        <w:trPr>
          <w:trHeight w:val="337"/>
        </w:trPr>
        <w:tc>
          <w:tcPr>
            <w:tcW w:w="34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4"/>
              </w:rPr>
              <w:t>We intend to use the net proceeds from this offering to reduce amounts outstanding under</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5"/>
              </w:rPr>
              <w:t>our revolving credit facility and for general corporate purposes. See “Use of Proceeds” on</w:t>
            </w:r>
          </w:p>
        </w:tc>
      </w:tr>
      <w:tr>
        <w:trPr>
          <w:trHeight w:val="230"/>
        </w:trPr>
        <w:tc>
          <w:tcPr>
            <w:tcW w:w="342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page S-7 for more information.</w:t>
            </w:r>
          </w:p>
        </w:tc>
      </w:tr>
      <w:tr>
        <w:trPr>
          <w:trHeight w:val="338"/>
        </w:trPr>
        <w:tc>
          <w:tcPr>
            <w:tcW w:w="34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Limitations on incurrence of debt</w:t>
            </w: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The notes contain various covenants, including the following:</w:t>
            </w:r>
          </w:p>
        </w:tc>
      </w:tr>
      <w:tr>
        <w:trPr>
          <w:trHeight w:val="337"/>
        </w:trPr>
        <w:tc>
          <w:tcPr>
            <w:tcW w:w="342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7"/>
              </w:rPr>
              <w:t>(1) we will not, and will not permit any subsidiary to, incur any Debt if, immediately after</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3"/>
              </w:rPr>
              <w:t>giving effect to the incurrence of such Debt and the application of the proceeds thereof, the</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aggregate principal amount of all of our and our subsidiaries’ outstanding Debt on a</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3"/>
              </w:rPr>
              <w:t>consolidated basis determined in accordance with generally accepted accounting principles</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4"/>
              </w:rPr>
              <w:t>is greater than 60% of the sum of (without duplication) (a) Total Assets as of the end of the</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calendar quarter covered in our Annual Report on Form 10-K or Quarterly Report on</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7"/>
              </w:rPr>
              <w:t>Form 10-Q, as the case may be, most recently filed with the SEC (or, if such filing is not</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5"/>
              </w:rPr>
              <w:t>permitted under the Exchange Act, with U.S. Bank National Association, the trustee) prior</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1"/>
              </w:rPr>
              <w:t>to the incurrence of such additional Debt and (b) the purchase price of any real estate assets</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9"/>
              </w:rPr>
              <w:t>or mortgages receivable acquired, and the amount of any securities offering proceeds</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received (to the extent such proceeds were not used to acquire real estate assets or</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2"/>
              </w:rPr>
              <w:t>mortgages receivable or used to reduce Debt), by us or any subsidiary since the end of such</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6"/>
              </w:rPr>
              <w:t>calendar quarter, including those proceeds obtained in connection with the incurrence of</w:t>
            </w:r>
          </w:p>
        </w:tc>
      </w:tr>
      <w:tr>
        <w:trPr>
          <w:trHeight w:val="230"/>
        </w:trPr>
        <w:tc>
          <w:tcPr>
            <w:tcW w:w="342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such additional Debt;</w:t>
            </w:r>
          </w:p>
        </w:tc>
      </w:tr>
      <w:tr>
        <w:trPr>
          <w:trHeight w:val="323"/>
        </w:trPr>
        <w:tc>
          <w:tcPr>
            <w:tcW w:w="342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(2) we will not, and will not permit any subsidiary to, incur any Debt secured by any</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6"/>
              </w:rPr>
              <w:t>mortgage, lien, charge, pledge, encumbrance or security interest of any kind upon any of</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5"/>
              </w:rPr>
              <w:t>our or any of our subsidiaries’ property if, immediately after giving effect to the incurrence</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3"/>
              </w:rPr>
              <w:t>of such Debt and the application of the proceeds thereof, the aggregate principal amount of</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5"/>
              </w:rPr>
              <w:t>all of our and our subsidiaries’ outstanding Debt on a consolidated basis which is secured</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9"/>
              </w:rPr>
              <w:t>by any mortgage, lien, charge, pledge, encumbrance or security interest on our or our</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subsidiaries’ property is greater than 40% of the sum of (without duplication) (a) Total</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3"/>
              </w:rPr>
              <w:t>Assets as of the end of the calendar quarter covered in our Annual Report on Form 10-K or</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5"/>
              </w:rPr>
              <w:t>Quarterly Report on Form 10-Q, as the case may be, most recently filed with the SEC (or,</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if such filing is not permitted under the Exchange Act, with the trustee) prior to the</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5"/>
              </w:rPr>
              <w:t>incurrence of such additional Debt and (b) the purchase price of any real estate assets or</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2"/>
              </w:rPr>
              <w:t>mortgages receivable acquired, and the amount of any securities offering proceeds received</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8"/>
              </w:rPr>
              <w:t>(to the extent such proceeds were not used to acquire real estate assets or mortgages</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4"/>
              </w:rPr>
              <w:t>receivable or used to reduce Debt), by us or any subsidiary since the end of such calendar</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quarter, including those proceeds obtained in connection with the incurrence of such</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9"/>
              </w:rPr>
              <w:t xml:space="preserve">additional Debt; </w:t>
            </w:r>
            <w:r>
              <w:rPr>
                <w:rFonts w:ascii="Arial" w:cs="Arial" w:eastAsia="Arial" w:hAnsi="Arial"/>
                <w:sz w:val="18"/>
                <w:szCs w:val="18"/>
                <w:i w:val="1"/>
                <w:iCs w:val="1"/>
                <w:color w:val="auto"/>
                <w:w w:val="99"/>
              </w:rPr>
              <w:t>provided that</w:t>
            </w:r>
            <w:r>
              <w:rPr>
                <w:rFonts w:ascii="Arial" w:cs="Arial" w:eastAsia="Arial" w:hAnsi="Arial"/>
                <w:sz w:val="18"/>
                <w:szCs w:val="18"/>
                <w:color w:val="auto"/>
                <w:w w:val="99"/>
              </w:rPr>
              <w:t xml:space="preserve"> for purposes of this limitation, the amount of obligations</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under capital leases shown as a liability on our consolidated balance sheet shall be</w:t>
            </w:r>
          </w:p>
        </w:tc>
      </w:tr>
      <w:tr>
        <w:trPr>
          <w:trHeight w:val="230"/>
        </w:trPr>
        <w:tc>
          <w:tcPr>
            <w:tcW w:w="342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deducted from Debt and from Total Assets;</w:t>
            </w:r>
          </w:p>
        </w:tc>
      </w:tr>
      <w:tr>
        <w:trPr>
          <w:trHeight w:val="240"/>
        </w:trPr>
        <w:tc>
          <w:tcPr>
            <w:tcW w:w="3420" w:type="dxa"/>
            <w:vAlign w:val="bottom"/>
            <w:tcBorders>
              <w:left w:val="single" w:sz="8" w:color="auto"/>
              <w:bottom w:val="single" w:sz="8" w:color="auto"/>
            </w:tcBorders>
          </w:tcPr>
          <w:p>
            <w:pPr>
              <w:spacing w:after="0"/>
              <w:rPr>
                <w:sz w:val="20"/>
                <w:szCs w:val="20"/>
                <w:color w:val="auto"/>
              </w:rPr>
            </w:pPr>
          </w:p>
        </w:tc>
        <w:tc>
          <w:tcPr>
            <w:tcW w:w="7620" w:type="dxa"/>
            <w:vAlign w:val="bottom"/>
            <w:tcBorders>
              <w:bottom w:val="single" w:sz="8" w:color="auto"/>
              <w:right w:val="single" w:sz="8" w:color="auto"/>
            </w:tcBorders>
          </w:tcPr>
          <w:p>
            <w:pPr>
              <w:spacing w:after="0"/>
              <w:rPr>
                <w:sz w:val="20"/>
                <w:szCs w:val="20"/>
                <w:color w:val="auto"/>
              </w:rPr>
            </w:pPr>
          </w:p>
        </w:tc>
      </w:tr>
      <w:tr>
        <w:trPr>
          <w:trHeight w:val="604"/>
        </w:trPr>
        <w:tc>
          <w:tcPr>
            <w:tcW w:w="3420" w:type="dxa"/>
            <w:vAlign w:val="bottom"/>
          </w:tcPr>
          <w:p>
            <w:pPr>
              <w:spacing w:after="0"/>
              <w:rPr>
                <w:sz w:val="24"/>
                <w:szCs w:val="24"/>
                <w:color w:val="auto"/>
              </w:rPr>
            </w:pPr>
          </w:p>
        </w:tc>
        <w:tc>
          <w:tcPr>
            <w:tcW w:w="7620" w:type="dxa"/>
            <w:vAlign w:val="bottom"/>
          </w:tcPr>
          <w:p>
            <w:pPr>
              <w:ind w:left="196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3740" w:type="dxa"/>
            <w:vAlign w:val="bottom"/>
            <w:tcBorders>
              <w:top w:val="single" w:sz="8" w:color="auto"/>
              <w:left w:val="single" w:sz="8" w:color="auto"/>
            </w:tcBorders>
          </w:tcPr>
          <w:p>
            <w:pPr>
              <w:spacing w:after="0"/>
              <w:rPr>
                <w:sz w:val="24"/>
                <w:szCs w:val="24"/>
                <w:color w:val="auto"/>
              </w:rPr>
            </w:pPr>
          </w:p>
        </w:tc>
        <w:tc>
          <w:tcPr>
            <w:tcW w:w="730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(3) we will not, and will not permit any subsidiary to, incur any Debt if the ratio of</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4"/>
              </w:rPr>
              <w:t>Consolidated Income Available for Debt Service to the Annual Debt Service Charge for the</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four consecutive fiscal quarters most recently ended prior to the date on which such</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7"/>
              </w:rPr>
              <w:t>additional Debt is to be incurred shall have been less than 1.5 to 1, on an unaudited pro</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4"/>
              </w:rPr>
              <w:t>forma basis after giving effect thereto and to the application of the proceeds therefrom and</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3"/>
              </w:rPr>
              <w:t>calculated on the assumption that: (a) such Debt and any other Debt incurred by us and our</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subsidiaries since the first day of such four-quarter period and the application of the</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7"/>
              </w:rPr>
              <w:t>proceeds therefrom, including to refinance other Debt, had occurred at the beginning of</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5"/>
              </w:rPr>
              <w:t>such period; (b) the repayment or retirement of any other Debt by us and our subsidiaries</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3"/>
              </w:rPr>
              <w:t>since the first day of such four-quarter period had been repaid or retired at the beginning of</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such period (except that, in making such computation, the amount of Debt under any</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6"/>
              </w:rPr>
              <w:t>revolving credit facility shall be computed based upon the average daily balance of such</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6"/>
              </w:rPr>
              <w:t>Debt during such period); (c) in the case of Acquired Debt or Debt incurred in connection</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6"/>
              </w:rPr>
              <w:t>with any acquisition since the first day of such four-quarter period, the related acquisition</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had occurred as of the first day of such period, with the appropriate adjustments with</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8"/>
              </w:rPr>
              <w:t>respect to such acquisition being included in such unaudited pro forma calculation; and</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7"/>
              </w:rPr>
              <w:t>(d) in the case of any acquisition or disposition by us or our subsidiaries of any asset or</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7"/>
              </w:rPr>
              <w:t>group of assets since the first day of such four-quarter period, whether by merger, stock</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5"/>
              </w:rPr>
              <w:t>purchase or sale, or asset purchase or sale, such acquisition or disposition or any related</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8"/>
              </w:rPr>
              <w:t>repayment of Debt had occurred as of the first day of such period, with the appropriate</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adjustments with respect to such acquisition or disposition being included in such</w:t>
            </w:r>
          </w:p>
        </w:tc>
      </w:tr>
      <w:tr>
        <w:trPr>
          <w:trHeight w:val="230"/>
        </w:trPr>
        <w:tc>
          <w:tcPr>
            <w:tcW w:w="374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unaudited pro forma calculation; and</w:t>
            </w:r>
          </w:p>
        </w:tc>
      </w:tr>
      <w:tr>
        <w:trPr>
          <w:trHeight w:val="323"/>
        </w:trPr>
        <w:tc>
          <w:tcPr>
            <w:tcW w:w="3740" w:type="dxa"/>
            <w:vAlign w:val="bottom"/>
            <w:tcBorders>
              <w:left w:val="single" w:sz="8" w:color="auto"/>
            </w:tcBorders>
          </w:tcPr>
          <w:p>
            <w:pPr>
              <w:spacing w:after="0"/>
              <w:rPr>
                <w:sz w:val="24"/>
                <w:szCs w:val="24"/>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4"/>
              </w:rPr>
              <w:t>(4) we, together with our subsidiaries, will maintain an Unencumbered Total Asset Value in</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5"/>
              </w:rPr>
              <w:t>an amount not less than 150% of the aggregate outstanding principal amount of all of our</w:t>
            </w:r>
          </w:p>
        </w:tc>
      </w:tr>
      <w:tr>
        <w:trPr>
          <w:trHeight w:val="230"/>
        </w:trPr>
        <w:tc>
          <w:tcPr>
            <w:tcW w:w="374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and our subsidiaries’ unsecured Debt, taken as a whole.</w:t>
            </w:r>
          </w:p>
        </w:tc>
      </w:tr>
      <w:tr>
        <w:trPr>
          <w:trHeight w:val="323"/>
        </w:trPr>
        <w:tc>
          <w:tcPr>
            <w:tcW w:w="37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8"/>
              </w:rPr>
              <w:t>The notes are redeemable at any time at our option, in whole or in part. If the notes are</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4"/>
              </w:rPr>
              <w:t>redeemed before March 15, 2029 (three months prior to the maturity date), the redemption</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8"/>
              </w:rPr>
              <w:t>price will be equal to the greater of (1) 100% of the principal amount of the notes being</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6"/>
              </w:rPr>
              <w:t>redeemed, or (2) the sum of the present values of the remaining scheduled payments of</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3"/>
              </w:rPr>
              <w:t>principal and interest thereon, discounted to the redemption date on a semi-annual basis at</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5"/>
              </w:rPr>
              <w:t>the Adjusted Treasury Rate plus 20 basis points (0.20%), plus, in each case, accrued and</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2"/>
              </w:rPr>
              <w:t>unpaid interest thereon to, but excluding, the redemption date. If the notes are redeemed on</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5"/>
              </w:rPr>
              <w:t>or after March 15, 2029 (three months prior to the maturity date), the redemption price will</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6"/>
              </w:rPr>
              <w:t>be equal to 100% of the principal amount of the notes being redeemed plus accrued and</w:t>
            </w:r>
          </w:p>
        </w:tc>
      </w:tr>
      <w:tr>
        <w:trPr>
          <w:trHeight w:val="230"/>
        </w:trPr>
        <w:tc>
          <w:tcPr>
            <w:tcW w:w="374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unpaid interest thereon to, but excluding, the redemption date.</w:t>
            </w:r>
          </w:p>
        </w:tc>
      </w:tr>
      <w:tr>
        <w:trPr>
          <w:trHeight w:val="338"/>
        </w:trPr>
        <w:tc>
          <w:tcPr>
            <w:tcW w:w="3740" w:type="dxa"/>
            <w:vAlign w:val="bottom"/>
            <w:tcBorders>
              <w:left w:val="single" w:sz="8" w:color="auto"/>
            </w:tcBorders>
          </w:tcPr>
          <w:p>
            <w:pPr>
              <w:spacing w:after="0"/>
              <w:rPr>
                <w:sz w:val="24"/>
                <w:szCs w:val="24"/>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See “Description of Notes — Optional Redemption” for more information.</w:t>
            </w:r>
          </w:p>
        </w:tc>
      </w:tr>
      <w:tr>
        <w:trPr>
          <w:trHeight w:val="323"/>
        </w:trPr>
        <w:tc>
          <w:tcPr>
            <w:tcW w:w="37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Material federal income tax considerations</w:t>
            </w: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3"/>
              </w:rPr>
              <w:t>For a description of the material U.S. federal income tax considerations of an investment in</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7"/>
              </w:rPr>
              <w:t>the notes, please review the disclosure in this prospectus supplement under “Additional</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5"/>
              </w:rPr>
              <w:t>Material Federal Income Tax Considerations” and in the accompanying prospectus under</w:t>
            </w:r>
          </w:p>
        </w:tc>
      </w:tr>
      <w:tr>
        <w:trPr>
          <w:trHeight w:val="230"/>
        </w:trPr>
        <w:tc>
          <w:tcPr>
            <w:tcW w:w="374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“Material Federal Income Tax Considerations.”</w:t>
            </w:r>
          </w:p>
        </w:tc>
      </w:tr>
      <w:tr>
        <w:trPr>
          <w:trHeight w:val="240"/>
        </w:trPr>
        <w:tc>
          <w:tcPr>
            <w:tcW w:w="3740" w:type="dxa"/>
            <w:vAlign w:val="bottom"/>
            <w:tcBorders>
              <w:left w:val="single" w:sz="8" w:color="auto"/>
              <w:bottom w:val="single" w:sz="8" w:color="auto"/>
            </w:tcBorders>
          </w:tcPr>
          <w:p>
            <w:pPr>
              <w:spacing w:after="0"/>
              <w:rPr>
                <w:sz w:val="20"/>
                <w:szCs w:val="20"/>
                <w:color w:val="auto"/>
              </w:rPr>
            </w:pPr>
          </w:p>
        </w:tc>
        <w:tc>
          <w:tcPr>
            <w:tcW w:w="7300" w:type="dxa"/>
            <w:vAlign w:val="bottom"/>
            <w:tcBorders>
              <w:bottom w:val="single" w:sz="8" w:color="auto"/>
              <w:right w:val="single" w:sz="8" w:color="auto"/>
            </w:tcBorders>
          </w:tcPr>
          <w:p>
            <w:pPr>
              <w:spacing w:after="0"/>
              <w:rPr>
                <w:sz w:val="20"/>
                <w:szCs w:val="20"/>
                <w:color w:val="auto"/>
              </w:rPr>
            </w:pPr>
          </w:p>
        </w:tc>
      </w:tr>
      <w:tr>
        <w:trPr>
          <w:trHeight w:val="604"/>
        </w:trPr>
        <w:tc>
          <w:tcPr>
            <w:tcW w:w="3740" w:type="dxa"/>
            <w:vAlign w:val="bottom"/>
          </w:tcPr>
          <w:p>
            <w:pPr>
              <w:spacing w:after="0"/>
              <w:rPr>
                <w:sz w:val="24"/>
                <w:szCs w:val="24"/>
                <w:color w:val="auto"/>
              </w:rPr>
            </w:pPr>
          </w:p>
        </w:tc>
        <w:tc>
          <w:tcPr>
            <w:tcW w:w="7300" w:type="dxa"/>
            <w:vAlign w:val="bottom"/>
          </w:tcPr>
          <w:p>
            <w:pPr>
              <w:ind w:left="164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264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8400" w:type="dxa"/>
            <w:vAlign w:val="bottom"/>
            <w:tcBorders>
              <w:top w:val="single" w:sz="8" w:color="auto"/>
              <w:right w:val="single" w:sz="8" w:color="auto"/>
            </w:tcBorders>
          </w:tcPr>
          <w:p>
            <w:pPr>
              <w:ind w:left="1580"/>
              <w:spacing w:after="0"/>
              <w:rPr>
                <w:sz w:val="20"/>
                <w:szCs w:val="20"/>
                <w:color w:val="auto"/>
              </w:rPr>
            </w:pPr>
            <w:r>
              <w:rPr>
                <w:rFonts w:ascii="Arial" w:cs="Arial" w:eastAsia="Arial" w:hAnsi="Arial"/>
                <w:sz w:val="18"/>
                <w:szCs w:val="18"/>
                <w:color w:val="auto"/>
                <w:w w:val="94"/>
              </w:rPr>
              <w:t>Investing in the notes involves risks. Please review the risk factors discussed beginning on</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3"/>
              </w:rPr>
              <w:t>page S-5 of this prospectus supplement, on page 3 of the accompanying prospectus and in</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8"/>
              </w:rPr>
              <w:t>our Annual Report on Form 10-K for the year ended December 31, 2018, filed with the</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SEC on February 13, 2019, and the other information contained or incorporated by</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3"/>
              </w:rPr>
              <w:t>reference in this prospectus supplement and the accompanying prospectus for a discussion</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8"/>
              </w:rPr>
              <w:t>of factors you should consider before deciding to invest in the notes. You may obtain a</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copy of our Annual Report on Form 10-K and the other documents incorporated by</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3"/>
              </w:rPr>
              <w:t>reference in this prospectus supplement and the accompanying prospectus by following the</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7"/>
              </w:rPr>
              <w:t>procedures described under “Where You Can Find More Information” on page 51 of the</w:t>
            </w:r>
          </w:p>
        </w:tc>
      </w:tr>
      <w:tr>
        <w:trPr>
          <w:trHeight w:val="230"/>
        </w:trPr>
        <w:tc>
          <w:tcPr>
            <w:tcW w:w="2640" w:type="dxa"/>
            <w:vAlign w:val="bottom"/>
            <w:tcBorders>
              <w:left w:val="single" w:sz="8" w:color="auto"/>
            </w:tcBorders>
          </w:tcPr>
          <w:p>
            <w:pPr>
              <w:spacing w:after="0"/>
              <w:rPr>
                <w:sz w:val="20"/>
                <w:szCs w:val="20"/>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accompanying prospectus.</w:t>
            </w:r>
          </w:p>
        </w:tc>
      </w:tr>
      <w:tr>
        <w:trPr>
          <w:trHeight w:val="240"/>
        </w:trPr>
        <w:tc>
          <w:tcPr>
            <w:tcW w:w="2640" w:type="dxa"/>
            <w:vAlign w:val="bottom"/>
            <w:tcBorders>
              <w:left w:val="single" w:sz="8" w:color="auto"/>
              <w:bottom w:val="single" w:sz="8" w:color="auto"/>
            </w:tcBorders>
          </w:tcPr>
          <w:p>
            <w:pPr>
              <w:spacing w:after="0"/>
              <w:rPr>
                <w:sz w:val="20"/>
                <w:szCs w:val="20"/>
                <w:color w:val="auto"/>
              </w:rPr>
            </w:pPr>
          </w:p>
        </w:tc>
        <w:tc>
          <w:tcPr>
            <w:tcW w:w="8400" w:type="dxa"/>
            <w:vAlign w:val="bottom"/>
            <w:tcBorders>
              <w:bottom w:val="single" w:sz="8" w:color="auto"/>
              <w:right w:val="single" w:sz="8" w:color="auto"/>
            </w:tcBorders>
          </w:tcPr>
          <w:p>
            <w:pPr>
              <w:spacing w:after="0"/>
              <w:rPr>
                <w:sz w:val="20"/>
                <w:szCs w:val="20"/>
                <w:color w:val="auto"/>
              </w:rPr>
            </w:pPr>
          </w:p>
        </w:tc>
      </w:tr>
      <w:tr>
        <w:trPr>
          <w:trHeight w:val="604"/>
        </w:trPr>
        <w:tc>
          <w:tcPr>
            <w:tcW w:w="2640" w:type="dxa"/>
            <w:vAlign w:val="bottom"/>
          </w:tcPr>
          <w:p>
            <w:pPr>
              <w:spacing w:after="0"/>
              <w:rPr>
                <w:sz w:val="24"/>
                <w:szCs w:val="24"/>
                <w:color w:val="auto"/>
              </w:rPr>
            </w:pPr>
          </w:p>
        </w:tc>
        <w:tc>
          <w:tcPr>
            <w:tcW w:w="8400" w:type="dxa"/>
            <w:vAlign w:val="bottom"/>
          </w:tcPr>
          <w:p>
            <w:pPr>
              <w:ind w:left="274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80"/>
        <w:spacing w:after="0" w:line="272" w:lineRule="auto"/>
        <w:rPr>
          <w:sz w:val="20"/>
          <w:szCs w:val="20"/>
          <w:color w:val="auto"/>
        </w:rPr>
      </w:pPr>
      <w:r>
        <w:rPr>
          <w:rFonts w:ascii="Arial" w:cs="Arial" w:eastAsia="Arial" w:hAnsi="Arial"/>
          <w:sz w:val="17"/>
          <w:szCs w:val="17"/>
          <w:i w:val="1"/>
          <w:iCs w:val="1"/>
          <w:color w:val="auto"/>
        </w:rPr>
        <w:t>An investment in the notes involves a significant degree of risk. You should carefully consider the following risk factors, together with all of the other information contained in or incorporated by reference in this prospectus supplement, including the additional risk factors on page 3 of the accompanying prospectus and the risk factors included in our Annual Report on Form 10-K for the year ended December 31, 2018 filed with the SEC on February 13, 2019 before you decide to purchase the notes. The risks and uncertainties described below and in the incorporated Form 10-K for the year ended December 31, 2018 are not the only ones we may confront. Additional risks and uncertainties not currently known to us or that we currently deem immaterial also may impair our business operations. If any of those risks actually occur, our financial condition, operating results, liquidity and prospects could be materially adversely affected. This section contains forward-looking statements.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We are dependent on intercompany cash flows to satisfy our obligations under the notes.</w:t>
      </w:r>
    </w:p>
    <w:p>
      <w:pPr>
        <w:spacing w:after="0" w:line="121" w:lineRule="exact"/>
        <w:rPr>
          <w:sz w:val="20"/>
          <w:szCs w:val="20"/>
          <w:color w:val="auto"/>
        </w:rPr>
      </w:pPr>
    </w:p>
    <w:p>
      <w:pPr>
        <w:ind w:left="200" w:right="120"/>
        <w:spacing w:after="0" w:line="291" w:lineRule="auto"/>
        <w:rPr>
          <w:sz w:val="20"/>
          <w:szCs w:val="20"/>
          <w:color w:val="auto"/>
        </w:rPr>
      </w:pPr>
      <w:r>
        <w:rPr>
          <w:rFonts w:ascii="Arial" w:cs="Arial" w:eastAsia="Arial" w:hAnsi="Arial"/>
          <w:sz w:val="16"/>
          <w:szCs w:val="16"/>
          <w:color w:val="auto"/>
        </w:rPr>
        <w:t>We derive a significant portion of our operating income from our subsidiaries. As a holder of notes, you will have no direct claim against our subsidiaries for payment under the notes. We generate net cash flow from the operations of the assets that we own directly but also rely on distributions and other payments from our subsidiaries to produce the funds necessary to meet our obligations, including the payment of principal of and interest on the notes. If the cash flow from our directly owned assets, together with the distributions and other payments we receive from subsidiaries, are insufficient to meet all of our obligations, we will be required to seek other sources of funds. These sources of funds could include proceeds derived from borrowings under our existing debt facilities, select property sales and net proceeds of public or private equity or debt offerings. There can be no assurance that we would be able to obtain the funds necessary to meet our obligations from these sources on acceptable terms or at all.</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The notes are structurally subordinated to the claims of our subsidiaries’ creditors and our subsidiaries’ preferred equity holders.</w:t>
      </w:r>
    </w:p>
    <w:p>
      <w:pPr>
        <w:spacing w:after="0" w:line="133"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Because the notes are not guaranteed by our subsidiaries, the notes are effectively subordinated in right of payment to all of our subsidiaries’ existing and future liabilities. As a result, in the event of a bankruptcy, liquidation, dissolution, reorganization or similar proceeding with respect to any of our subsidiaries, the holders of any indebtedness of that subsidiary will be entitled to obtain payment of that indebtedness from the assets of that subsidiary before the holders of any of our general unsecured obligations, including the notes. At June 30, 2019, our consolidated subsidiaries had approximately $456 million of total secured and unsecured debt outstanding (excluding net unamortized premium and debt issuance costs), all of which was effectively senior to the notes. If any of our subsidiaries issues preferred equity in the future, the preferred equity will be effectively senior to the notes. At this time, none of our subsidiaries has any outstanding preferred equity or plans to issue any preferred equity.</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notes are unsecured and are effectively subordinated to our secured indebtedness.</w:t>
      </w:r>
    </w:p>
    <w:p>
      <w:pPr>
        <w:spacing w:after="0" w:line="121"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 xml:space="preserve">Because the notes are unsecured, they are effectively subordinated to any of our secured indebtedness to the extent of the value of the assets securing the indebtedness. The indenture permits us and our subsidiaries to incur additional secured indebtedness,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certain conditions are satisfied. Consequently, in the event of a bankruptcy, liquidation, dissolution, reorganization or similar proceeding with respect to our company, the holders of any secured indebtedness will be entitled to proceed against the collateral that secures the secured indebtedness prior to that collateral being available for satisfaction of any amounts owed under the notes. At June 30, 2019, we had approximately $452 million (excluding net unamortized premium and debt issuance costs) of consolidated secured debt outstanding, all of which was effectively senior to the notes to the extent of the value of the securing collateral.</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 public trading market for the notes may not be maintained.</w:t>
      </w:r>
    </w:p>
    <w:p>
      <w:pPr>
        <w:spacing w:after="0" w:line="121" w:lineRule="exact"/>
        <w:rPr>
          <w:sz w:val="20"/>
          <w:szCs w:val="20"/>
          <w:color w:val="auto"/>
        </w:rPr>
      </w:pPr>
    </w:p>
    <w:p>
      <w:pPr>
        <w:ind w:left="200" w:right="100"/>
        <w:spacing w:after="0" w:line="276" w:lineRule="auto"/>
        <w:rPr>
          <w:sz w:val="20"/>
          <w:szCs w:val="20"/>
          <w:color w:val="auto"/>
        </w:rPr>
      </w:pPr>
      <w:r>
        <w:rPr>
          <w:rFonts w:ascii="Arial" w:cs="Arial" w:eastAsia="Arial" w:hAnsi="Arial"/>
          <w:sz w:val="17"/>
          <w:szCs w:val="17"/>
          <w:color w:val="auto"/>
        </w:rPr>
        <w:t>Although we do not intend to apply for listing of the notes on any securities exchange or on any automated dealer quotation system, a trading market currently exists for the $300 million aggregate principal amount of the notes we previously issued. The underwriters have advised us that they currently intend to continue to make a market in the notes, but they are not obligated to do so and may cease market-making activities at any time without notice. No assurance can be given as to the liquidity of the trading markets for the notes or that a public market for the notes will be maintained. If a public trading market for the notes is not maintained, the market price and liquidity of the notes may be adversely affected.</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liquidity of any market for the notes offered hereby will depend upon various factors, including:</w:t>
      </w:r>
    </w:p>
    <w:p>
      <w:pPr>
        <w:spacing w:after="0" w:line="131" w:lineRule="exact"/>
        <w:rPr>
          <w:sz w:val="20"/>
          <w:szCs w:val="20"/>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holders of the notes;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for the notes;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overall market for debt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financial performance and prospects;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prospects for companies in our industry generally.</w:t>
      </w:r>
    </w:p>
    <w:p>
      <w:pPr>
        <w:spacing w:after="0" w:line="22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If the notes offered hereby are traded after their initial issuance, they may trade at a discount from their initial offering price, depending upon prevailing interest rates and other factors, including those listed above.</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40"/>
          </w:cols>
          <w:pgMar w:left="240" w:top="459" w:right="5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032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8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8960" w:type="dxa"/>
            <w:vAlign w:val="bottom"/>
          </w:tcPr>
          <w:p>
            <w:pPr>
              <w:ind w:left="3520"/>
              <w:spacing w:after="0"/>
              <w:rPr>
                <w:sz w:val="20"/>
                <w:szCs w:val="20"/>
                <w:color w:val="auto"/>
              </w:rPr>
            </w:pPr>
            <w:r>
              <w:rPr>
                <w:rFonts w:ascii="Arial" w:cs="Arial" w:eastAsia="Arial" w:hAnsi="Arial"/>
                <w:sz w:val="18"/>
                <w:szCs w:val="18"/>
                <w:b w:val="1"/>
                <w:bCs w:val="1"/>
                <w:color w:val="auto"/>
              </w:rPr>
              <w:t>USE OF PROCEEDS</w:t>
            </w:r>
          </w:p>
        </w:tc>
        <w:tc>
          <w:tcPr>
            <w:tcW w:w="800" w:type="dxa"/>
            <w:vAlign w:val="bottom"/>
          </w:tcPr>
          <w:p>
            <w:pPr>
              <w:spacing w:after="0"/>
              <w:rPr>
                <w:sz w:val="24"/>
                <w:szCs w:val="24"/>
                <w:color w:val="auto"/>
              </w:rPr>
            </w:pPr>
          </w:p>
        </w:tc>
      </w:tr>
      <w:tr>
        <w:trPr>
          <w:trHeight w:val="432"/>
        </w:trPr>
        <w:tc>
          <w:tcPr>
            <w:tcW w:w="10320" w:type="dxa"/>
            <w:vAlign w:val="bottom"/>
            <w:gridSpan w:val="2"/>
          </w:tcPr>
          <w:p>
            <w:pPr>
              <w:ind w:left="200"/>
              <w:spacing w:after="0"/>
              <w:rPr>
                <w:sz w:val="20"/>
                <w:szCs w:val="20"/>
                <w:color w:val="auto"/>
              </w:rPr>
            </w:pPr>
            <w:r>
              <w:rPr>
                <w:rFonts w:ascii="Arial" w:cs="Arial" w:eastAsia="Arial" w:hAnsi="Arial"/>
                <w:sz w:val="18"/>
                <w:szCs w:val="18"/>
                <w:color w:val="auto"/>
                <w:w w:val="91"/>
              </w:rPr>
              <w:t>The net proceeds to us from the issuance and sale of the notes offered by this prospectus supplement are estimated to be approximately $</w:t>
            </w:r>
          </w:p>
        </w:tc>
        <w:tc>
          <w:tcPr>
            <w:tcW w:w="800" w:type="dxa"/>
            <w:vAlign w:val="bottom"/>
          </w:tcPr>
          <w:p>
            <w:pPr>
              <w:ind w:left="280"/>
              <w:spacing w:after="0"/>
              <w:rPr>
                <w:sz w:val="20"/>
                <w:szCs w:val="20"/>
                <w:color w:val="auto"/>
              </w:rPr>
            </w:pPr>
            <w:r>
              <w:rPr>
                <w:rFonts w:ascii="Arial" w:cs="Arial" w:eastAsia="Arial" w:hAnsi="Arial"/>
                <w:sz w:val="18"/>
                <w:szCs w:val="18"/>
                <w:color w:val="auto"/>
                <w:w w:val="97"/>
              </w:rPr>
              <w:t>million</w:t>
            </w:r>
          </w:p>
        </w:tc>
      </w:tr>
    </w:tbl>
    <w:p>
      <w:pPr>
        <w:ind w:left="2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after deducting the underwriting discount and other estimated expenses of this offering payable by us (but excluding accrued interest paid by purchasers</w:t>
      </w:r>
    </w:p>
    <w:p>
      <w:pPr>
        <w:spacing w:after="0" w:line="386"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of the notes of approximately $ million). We intend to use these net proceeds to reduce amounts outstanding under our revolving credit facility and for general corporate purposes.</w:t>
      </w:r>
    </w:p>
    <w:p>
      <w:pPr>
        <w:spacing w:after="0" w:line="170"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Our $1.0 billion revolving credit facility matures on January 19, 2024, subject to two six-month extensions at our option. LIBOR loans outstanding under our revolving credit facility bear interest at seven day, one month, three month or six month LIBOR, at our election, plus a spread of 77.5 basis points, subject to adjustment based on our credit rating. In addition, we have an option (subject to the approval of the lenders under our revolving credit facility) to increase our revolving credit facility through an accordion feature to $1.5 billion. As of June 30, 2019, we had no balance outstanding under our revolving credit facility ($46.5 million as of August 16, 2019).</w:t>
      </w:r>
    </w:p>
    <w:p>
      <w:pPr>
        <w:spacing w:after="0" w:line="188"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Affiliates of certain of the underwriters are lenders under our revolving credit facility and will receive a pro rata portion of the net proceeds used to repay amounts outstanding thereunder. See “Underwriting (Conflicts of Interest) — Conflicts of Interest.”</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60"/>
          </w:cols>
          <w:pgMar w:left="240" w:top="446"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NOTES</w:t>
      </w:r>
    </w:p>
    <w:p>
      <w:pPr>
        <w:spacing w:after="0" w:line="229"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i w:val="1"/>
          <w:iCs w:val="1"/>
          <w:color w:val="auto"/>
        </w:rPr>
        <w:t>The following description of the particular terms of the notes supplements the description of the general terms and provisions of debt securities set forth in the accompanying prospectus under the caption “Description of Debt Securities.” Certain terms used in this prospectus supplement are defined in that section of the accompanying prospectus.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spacing w:after="0" w:line="284" w:lineRule="auto"/>
        <w:rPr>
          <w:sz w:val="20"/>
          <w:szCs w:val="20"/>
          <w:color w:val="auto"/>
        </w:rPr>
      </w:pPr>
      <w:r>
        <w:rPr>
          <w:rFonts w:ascii="Arial" w:cs="Arial" w:eastAsia="Arial" w:hAnsi="Arial"/>
          <w:sz w:val="16"/>
          <w:szCs w:val="16"/>
          <w:color w:val="auto"/>
        </w:rPr>
        <w:t>We are offering $ aggregate principal amount of notes. The notes will mature on June 15, 2029 (unless redeemed prior to such date in accordance with their terms). The notes offered hereby will be an additional issuance of our outstanding 3.20% Notes due 2029, $300 million aggregate principal amount of which were originally issued on June 7, 2019. The terms of the notes offered hereby, other than their issue date, initial interest accrual date and issue price, will be identical to the terms of and will be part of the same series as the $300 million aggregate principal amount of these outstanding 3.20% Notes due 2029. However, for U.S. federal income tax purposes the notes offered hereby will be deemed to have the same issue date and issue price as the existing notes. The notes offered hereby will have the same CUSIP number as the currently outstanding notes and will trade interchangeably with such notes immediately upon settlement. Upon consummation of this offering, the aggregate principal amount outstanding of our notes of this</w:t>
      </w:r>
    </w:p>
    <w:p>
      <w:pPr>
        <w:spacing w:after="0" w:line="3" w:lineRule="exact"/>
        <w:rPr>
          <w:sz w:val="20"/>
          <w:szCs w:val="20"/>
          <w:color w:val="auto"/>
        </w:rPr>
      </w:pPr>
    </w:p>
    <w:p>
      <w:pPr>
        <w:ind w:left="200"/>
        <w:spacing w:after="0"/>
        <w:tabs>
          <w:tab w:leader="none" w:pos="4400" w:val="left"/>
        </w:tabs>
        <w:rPr>
          <w:sz w:val="20"/>
          <w:szCs w:val="20"/>
          <w:color w:val="auto"/>
        </w:rPr>
      </w:pPr>
      <w:r>
        <w:rPr>
          <w:rFonts w:ascii="Arial" w:cs="Arial" w:eastAsia="Arial" w:hAnsi="Arial"/>
          <w:sz w:val="18"/>
          <w:szCs w:val="18"/>
          <w:color w:val="auto"/>
        </w:rPr>
        <w:t>series, including the notes offered hereby, will be $</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We will pay interest on the notes semi-annually in arrears at an annual rate of 3.20% on June 15 and December 15 of each year, beginning December 15, 2019, to the registered holders of the notes on the preceding June 1 and December 1. Interest will be computed and paid on the basis of a 360-day year consisting of twelve 30-day months. If any interest payment date, redemption date or maturity date falls on a day that is not a business day, the payment will be made on the next succeeding business day, and no interest shall accrue on the amount of interest due on such date for the period from and after such interest payment date, redemption date or maturity date to the next succeeding business day.</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notes offered hereby will be issued only in registered form in denominations of $2,000 and integral multiples of $1,000 in excess thereof.</w:t>
      </w:r>
    </w:p>
    <w:p>
      <w:pPr>
        <w:spacing w:after="0" w:line="23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defeasance and covenant defeasance provisions of the indenture apply to the notes. The notes are not entitled to the benefit of any sinking fund.</w:t>
      </w:r>
    </w:p>
    <w:p>
      <w:pPr>
        <w:spacing w:after="0" w:line="248"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The indenture does not limit the aggregate principal amount of the securities that may be issued thereunder, and securities may be issued thereunder from time to time in one or more separate series up to the aggregate principal amount from time to time authorized by us for each series. At any time and without the consent of the then existing holders, we may issue additional debt securities having the same terms as the notes other than the date of original issuance, the public offer price, the date on which interest begins to accrue and, in some circumstances, the first interest payment date, such that these additional debt securities would form a single series with the notes. If any such additional debt securities are not fungible with the notes offered hereby for the U.S. federal income tax purposes, the additional debt securities will have a separate CUSIP number. We also may issue from time to time other series of debt securities under the indenture consisting of notes or other unsecured evidences of indebtedness.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left="200" w:right="40"/>
        <w:spacing w:after="0" w:line="254" w:lineRule="auto"/>
        <w:rPr>
          <w:sz w:val="20"/>
          <w:szCs w:val="20"/>
          <w:color w:val="auto"/>
        </w:rPr>
      </w:pPr>
      <w:r>
        <w:rPr>
          <w:rFonts w:ascii="Arial" w:cs="Arial" w:eastAsia="Arial" w:hAnsi="Arial"/>
          <w:sz w:val="18"/>
          <w:szCs w:val="18"/>
          <w:color w:val="auto"/>
        </w:rPr>
        <w:t xml:space="preserve">The notes are our senior unsecured obligations and rank </w:t>
      </w:r>
      <w:r>
        <w:rPr>
          <w:rFonts w:ascii="Arial" w:cs="Arial" w:eastAsia="Arial" w:hAnsi="Arial"/>
          <w:sz w:val="18"/>
          <w:szCs w:val="18"/>
          <w:i w:val="1"/>
          <w:iCs w:val="1"/>
          <w:color w:val="auto"/>
        </w:rPr>
        <w:t>pari passu</w:t>
      </w:r>
      <w:r>
        <w:rPr>
          <w:rFonts w:ascii="Arial" w:cs="Arial" w:eastAsia="Arial" w:hAnsi="Arial"/>
          <w:sz w:val="18"/>
          <w:szCs w:val="18"/>
          <w:color w:val="auto"/>
        </w:rPr>
        <w:t>, or equally, with all of our other unsecured and unsubordinated indebtedness. The notes are effectively subordinated to the prior claims of each secured mortgage lender to any specific property that secures such lender’s mortgage and to all of the unsecured indebtedness of our subsidiaries. At June 30, 2019, we had outstanding approximately $452 million (excluding net unamortized premium and debt issuance costs) of consolidated secured indebtedness, which was issued by our subsidiaries and is collateralized by all or parts of 12 properties, and which ranks senior to the notes to the extent of securing collateral and is also structurally senior to the notes, approximately $4 million (excluding net unamortized debt issuance costs) of unsecured indebtedness issued by our subsidiaries, which is structurally senior to the notes, and approximately $2,719 million of unsecured indebtedness (excluding net unamortized premium or discount and debt issuance costs), which ranks equally with the notes.</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200" w:right="260"/>
        <w:spacing w:after="0" w:line="284" w:lineRule="auto"/>
        <w:rPr>
          <w:sz w:val="20"/>
          <w:szCs w:val="20"/>
          <w:color w:val="auto"/>
        </w:rPr>
      </w:pPr>
      <w:r>
        <w:rPr>
          <w:rFonts w:ascii="Arial" w:cs="Arial" w:eastAsia="Arial" w:hAnsi="Arial"/>
          <w:sz w:val="16"/>
          <w:szCs w:val="16"/>
          <w:color w:val="auto"/>
        </w:rPr>
        <w:t>The notes are redeemable at any time at our option, in whole or in part. If the notes are redeemed before March 15, 2029 (three months prior to the stated maturity date) (the “Par Call Date”), the redemption price will be equal to the greater of (1) 100% of the principal amount of the notes being redeemed, or (2) as determined by the Quotation Agent (as defined below), the sum of the present values of the remaining scheduled payments of principal and interest (not including any portion of such payments of interest accrued to the applicable redemption date) on the notes to be redeemed, assuming that such notes matured, and that interest on such notes was payable on, the Par Call Date, discounted to such redemption date on a semi-annual basis (assuming a 360-day year consisting of twelve 30-day months) at the Adjusted Treasury Rate (as defined below) plus 20 basis points</w:t>
      </w:r>
    </w:p>
    <w:p>
      <w:pPr>
        <w:spacing w:after="0" w:line="5"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(0.20%), plus, in each case, accrued and unpaid interest thereon to, but excluding, the redemption date. If the notes are redeemed on or after the Par Call Date, the redemption price will be equal to 100% of the principal amount of the notes being redeemed plus accrued and unpaid interest thereon to, but excluding, the redemption date.</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left="200" w:right="4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1"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(assuming for this purpose that such notes matured on the Par Call Date) that would be utilized, at the time of selection and in accordance with customary financial practice, in pricing new issues of corporate debt securities of comparable maturity to the remaining term of such notes.</w:t>
      </w:r>
    </w:p>
    <w:p>
      <w:pPr>
        <w:spacing w:after="0" w:line="187"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 redemption date, after excluding the highest and lowest of such Reference Treasury Dealer Quotations, or (2) if the trustee obtains fewer than five such Reference Treasury Dealer Quotations, the average of all such Quotations.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us.</w:t>
      </w:r>
    </w:p>
    <w:p>
      <w:pPr>
        <w:spacing w:after="0" w:line="225" w:lineRule="exact"/>
        <w:rPr>
          <w:sz w:val="20"/>
          <w:szCs w:val="20"/>
          <w:color w:val="auto"/>
        </w:rPr>
      </w:pPr>
    </w:p>
    <w:p>
      <w:pPr>
        <w:ind w:left="200" w:right="3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xml:space="preserve">” means a Primary Treasury Dealer selected by each of (1) BofA Securities, Inc., Jefferies LLC and U.S. Bancorp Investments, Inc.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any Reference Treasury Dealer ceases to be a primary U.S. Government securities dealer, or a Primary Treasury Dealer, we will substitute therefor another Primary Treasury Dealer; and (2) any two other Primary Treasury Dealers selected by us.</w:t>
      </w:r>
    </w:p>
    <w:p>
      <w:pPr>
        <w:spacing w:after="0" w:line="187"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47"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Notice of any redemption of the notes will be mailed at least 15 days but not more than 60 days before the redemption date to each holder of the notes to be redeemed. Unless we default in payment of the redemption price, on and after the redemption date, interest will cease to accrue on the notes or portions thereof called for redemption.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Covenants</w:t>
      </w:r>
    </w:p>
    <w:p>
      <w:pPr>
        <w:spacing w:after="0" w:line="117"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b w:val="1"/>
          <w:bCs w:val="1"/>
          <w:i w:val="1"/>
          <w:iCs w:val="1"/>
          <w:color w:val="auto"/>
        </w:rPr>
        <w:t>Limitations on Incurrence of Debt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notes provide that we will not, and will not permit any subsidiary to, incur any Debt if, immediately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giving 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164"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 xml:space="preserve">In addition to the foregoing limitation on the incurrence of Debt, the notes provide that 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for purposes of this limitation, the amount of obligations under capital leases shown as a liability on our consolidated balance sheet shall be deducted from Debt and from Total Assets.</w:t>
      </w:r>
    </w:p>
    <w:p>
      <w:pPr>
        <w:spacing w:after="0" w:line="173" w:lineRule="exact"/>
        <w:rPr>
          <w:sz w:val="20"/>
          <w:szCs w:val="20"/>
          <w:color w:val="auto"/>
        </w:rPr>
      </w:pPr>
    </w:p>
    <w:p>
      <w:pPr>
        <w:ind w:left="200" w:right="40"/>
        <w:spacing w:after="0" w:line="286" w:lineRule="auto"/>
        <w:rPr>
          <w:sz w:val="20"/>
          <w:szCs w:val="20"/>
          <w:color w:val="auto"/>
        </w:rPr>
      </w:pPr>
      <w:r>
        <w:rPr>
          <w:rFonts w:ascii="Arial" w:cs="Arial" w:eastAsia="Arial" w:hAnsi="Arial"/>
          <w:sz w:val="16"/>
          <w:szCs w:val="16"/>
          <w:color w:val="auto"/>
        </w:rPr>
        <w:t>Furthermore, the notes also provide that 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(1) such Debt and any other Debt incurred by us and our subsidiaries since the first day of such four-quarter period and the application of the proceeds therefrom, including to refinance other Debt, had occurred at the beginning of such period; (2)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(3)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71" w:lineRule="exact"/>
        <w:rPr>
          <w:sz w:val="20"/>
          <w:szCs w:val="20"/>
          <w:color w:val="auto"/>
        </w:rPr>
      </w:pPr>
    </w:p>
    <w:p>
      <w:pPr>
        <w:ind w:left="200" w:right="600"/>
        <w:spacing w:after="0" w:line="266" w:lineRule="auto"/>
        <w:rPr>
          <w:sz w:val="20"/>
          <w:szCs w:val="20"/>
          <w:color w:val="auto"/>
        </w:rPr>
      </w:pPr>
      <w:r>
        <w:rPr>
          <w:rFonts w:ascii="Arial" w:cs="Arial" w:eastAsia="Arial" w:hAnsi="Arial"/>
          <w:sz w:val="18"/>
          <w:szCs w:val="18"/>
          <w:b w:val="1"/>
          <w:bCs w:val="1"/>
          <w:i w:val="1"/>
          <w:iCs w:val="1"/>
          <w:color w:val="auto"/>
        </w:rPr>
        <w:t>Maintenance of Unencumbered Total Asset Value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notes provide that we, together with our subsidiaries, will at all times maintain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Unencumbered Total Asset Value in an amount not less than 150% of the aggregate outstanding principal amount of all our and our subsidiaries’ unsecured Debt, taken as a whole.</w:t>
      </w:r>
    </w:p>
    <w:p>
      <w:pPr>
        <w:spacing w:after="0" w:line="176" w:lineRule="exact"/>
        <w:rPr>
          <w:sz w:val="20"/>
          <w:szCs w:val="20"/>
          <w:color w:val="auto"/>
        </w:rPr>
      </w:pPr>
    </w:p>
    <w:p>
      <w:pPr>
        <w:ind w:left="200" w:right="60"/>
        <w:spacing w:after="0" w:line="298" w:lineRule="auto"/>
        <w:rPr>
          <w:sz w:val="20"/>
          <w:szCs w:val="20"/>
          <w:color w:val="auto"/>
        </w:rPr>
      </w:pPr>
      <w:r>
        <w:rPr>
          <w:rFonts w:ascii="Arial" w:cs="Arial" w:eastAsia="Arial" w:hAnsi="Arial"/>
          <w:sz w:val="16"/>
          <w:szCs w:val="16"/>
          <w:b w:val="1"/>
          <w:bCs w:val="1"/>
          <w:i w:val="1"/>
          <w:iCs w:val="1"/>
          <w:color w:val="auto"/>
        </w:rPr>
        <w:t>Insurance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notes provide that we will, and will cause each of our subsidiaries to, maintain insurance with financially sound and reputable insurance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against such risks and in such amounts as is customarily maintained by persons engaged in similar businesses or as may be required by applicable law, and that we will from time to time deliver to the Administrative Agent (as defined in our credit agreement dated as of July 7, 2011, as amended)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(1) existing at the time such person becomes a subsidiary or (2)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87"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our and our subsidiaries’ Debt and the amount of dividends which are payable in respect of any Disqualified Stock.</w:t>
      </w:r>
    </w:p>
    <w:p>
      <w:pPr>
        <w:spacing w:after="0" w:line="170"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8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our and our subsidiaries’ Funds from Operations plus amounts which have been deducted for interest on our and our subsidiaries’ Debt.</w:t>
      </w:r>
    </w:p>
    <w:p>
      <w:pPr>
        <w:spacing w:after="0" w:line="170" w:lineRule="exact"/>
        <w:rPr>
          <w:sz w:val="20"/>
          <w:szCs w:val="20"/>
          <w:color w:val="auto"/>
        </w:rPr>
      </w:pPr>
    </w:p>
    <w:p>
      <w:pPr>
        <w:ind w:left="200" w:right="10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Debt</w:t>
      </w:r>
      <w:r>
        <w:rPr>
          <w:rFonts w:ascii="Arial" w:cs="Arial" w:eastAsia="Arial" w:hAnsi="Arial"/>
          <w:sz w:val="16"/>
          <w:szCs w:val="16"/>
          <w:color w:val="auto"/>
        </w:rPr>
        <w:t>” means any of our or any of our subsidiaries’ indebtedness, whether or not contingent, in respect of (without duplication) (1) borrowed money evidenced by bonds, notes, debentures or similar instruments, (2) 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w:t>
      </w:r>
    </w:p>
    <w:p>
      <w:pPr>
        <w:spacing w:after="0" w:line="2" w:lineRule="exact"/>
        <w:rPr>
          <w:sz w:val="20"/>
          <w:szCs w:val="20"/>
          <w:color w:val="auto"/>
        </w:rPr>
      </w:pPr>
    </w:p>
    <w:p>
      <w:pPr>
        <w:ind w:left="200" w:right="20" w:firstLine="4"/>
        <w:spacing w:after="0" w:line="287" w:lineRule="auto"/>
        <w:tabs>
          <w:tab w:leader="none" w:pos="455"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the principal amount of all of our or any of our subsidiaries’ obligations with respect to redemption, repayment or other repurchase of any Disqualified Stock or (5) any lease of property by us or any subsidiary as lessee which is reflected on our consolidated balance sheet as a financing lease liability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166"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 (1) 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154"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170" w:lineRule="exact"/>
        <w:rPr>
          <w:sz w:val="20"/>
          <w:szCs w:val="20"/>
          <w:color w:val="auto"/>
        </w:rPr>
      </w:pPr>
    </w:p>
    <w:p>
      <w:pPr>
        <w:ind w:left="200" w:right="8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Total Assets</w:t>
      </w:r>
      <w:r>
        <w:rPr>
          <w:rFonts w:ascii="Arial" w:cs="Arial" w:eastAsia="Arial" w:hAnsi="Arial"/>
          <w:sz w:val="17"/>
          <w:szCs w:val="17"/>
          <w:color w:val="auto"/>
        </w:rPr>
        <w:t>” as of any date means the sum of (1) our and all of our subsidiaries’ Undepreciated Real Estate Assets and (2) all of our and our subsidiaries’ other assets determined in accordance with generally accepted accounting principles (but excluding goodwill).</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Undepreciated Real Estate Assets</w:t>
      </w:r>
      <w:r>
        <w:rPr>
          <w:rFonts w:ascii="Arial" w:cs="Arial" w:eastAsia="Arial" w:hAnsi="Arial"/>
          <w:sz w:val="18"/>
          <w:szCs w:val="18"/>
          <w:color w:val="auto"/>
        </w:rPr>
        <w:t>” as of any date means the cost (original cost plus capital improvements) of our and our subsidiaries’ real estate assets and finance lease right of use assets on such date, before depreciation and amortization determined on a consolidated basis in accordance with generally accepted accounting principles.</w:t>
      </w:r>
    </w:p>
    <w:p>
      <w:pPr>
        <w:spacing w:after="0" w:line="181"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i w:val="1"/>
          <w:iCs w:val="1"/>
          <w:color w:val="auto"/>
        </w:rPr>
        <w:t xml:space="preserve">“Unencumbered Total Asset Value” </w:t>
      </w:r>
      <w:r>
        <w:rPr>
          <w:rFonts w:ascii="Arial" w:cs="Arial" w:eastAsia="Arial" w:hAnsi="Arial"/>
          <w:sz w:val="16"/>
          <w:szCs w:val="16"/>
          <w:color w:val="auto"/>
        </w:rPr>
        <w:t>as of any date means the sum of (1) those Undepreciated Real Estate Assets not encumbered by any mortgage, lien,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charge, pledge or security interest and (2) all of our and our subsidiaries’ other assets on a consolidated basis determined in accordance with generally accepted accounting principles (but excluding intangibles and accounts receivable), in each case which are unencumbered by any mortgage, lien, charge, pledge or security interest;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determining Unencumbered Total Asset Value for purposes of the covenant set forth above in “— Maintenance of Unencumbered Total Asset Value,” all investments by us and any subsidiary in unconsolidated joint ventures, unconsolidated limited partnerships, unconsolidated limited liability companies and other unconsolidated entities accounted for financial reporting purposes using the equity method of accounting in accordance with U.S. generally accepted accounting principles shall be excluded from Unencumbered Total Asset Value.</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See “Description of Debt Securities — Certain Covenants” in the accompanying prospectus for a description of additional covenants applicable to us.</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Default Provisions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notes are subject to the following events of default:</w:t>
      </w:r>
    </w:p>
    <w:p>
      <w:pPr>
        <w:spacing w:after="0" w:line="117" w:lineRule="exact"/>
        <w:rPr>
          <w:sz w:val="20"/>
          <w:szCs w:val="20"/>
          <w:color w:val="auto"/>
        </w:rPr>
      </w:pPr>
    </w:p>
    <w:p>
      <w:pPr>
        <w:ind w:left="200" w:right="240" w:firstLine="4"/>
        <w:spacing w:after="0" w:line="277"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62" w:lineRule="exact"/>
        <w:rPr>
          <w:rFonts w:ascii="Arial" w:cs="Arial" w:eastAsia="Arial" w:hAnsi="Arial"/>
          <w:sz w:val="18"/>
          <w:szCs w:val="18"/>
          <w:color w:val="auto"/>
        </w:rPr>
      </w:pPr>
    </w:p>
    <w:p>
      <w:pPr>
        <w:ind w:left="200" w:right="400" w:firstLine="4"/>
        <w:spacing w:after="0" w:line="277"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62" w:lineRule="exact"/>
        <w:rPr>
          <w:rFonts w:ascii="Arial" w:cs="Arial" w:eastAsia="Arial" w:hAnsi="Arial"/>
          <w:sz w:val="18"/>
          <w:szCs w:val="18"/>
          <w:color w:val="auto"/>
        </w:rPr>
      </w:pPr>
    </w:p>
    <w:p>
      <w:pPr>
        <w:ind w:left="380" w:hanging="176"/>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117" w:lineRule="exact"/>
        <w:rPr>
          <w:rFonts w:ascii="Arial" w:cs="Arial" w:eastAsia="Arial" w:hAnsi="Arial"/>
          <w:sz w:val="18"/>
          <w:szCs w:val="18"/>
          <w:color w:val="auto"/>
        </w:rPr>
      </w:pPr>
    </w:p>
    <w:p>
      <w:pPr>
        <w:ind w:left="200" w:right="40" w:firstLine="4"/>
        <w:spacing w:after="0" w:line="264"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(7) hereof) if such default or breach continues for a period of 60 days after written notice has been given, by registered or certified mail:</w:t>
      </w:r>
    </w:p>
    <w:p>
      <w:pPr>
        <w:spacing w:after="0" w:line="73" w:lineRule="exact"/>
        <w:rPr>
          <w:sz w:val="20"/>
          <w:szCs w:val="20"/>
          <w:color w:val="auto"/>
        </w:rPr>
      </w:pPr>
    </w:p>
    <w:p>
      <w:pPr>
        <w:ind w:left="440" w:hanging="236"/>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117" w:lineRule="exact"/>
        <w:rPr>
          <w:rFonts w:ascii="Arial" w:cs="Arial" w:eastAsia="Arial" w:hAnsi="Arial"/>
          <w:sz w:val="18"/>
          <w:szCs w:val="18"/>
          <w:color w:val="auto"/>
        </w:rPr>
      </w:pPr>
    </w:p>
    <w:p>
      <w:pPr>
        <w:ind w:left="460" w:hanging="256"/>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us and the trustee by the holders of at least 25% in aggregate principal amount of the outstanding debt securities of the series.</w:t>
      </w:r>
    </w:p>
    <w:p>
      <w:pPr>
        <w:spacing w:after="0" w:line="117" w:lineRule="exact"/>
        <w:rPr>
          <w:sz w:val="20"/>
          <w:szCs w:val="20"/>
          <w:color w:val="auto"/>
        </w:rPr>
      </w:pPr>
    </w:p>
    <w:p>
      <w:pPr>
        <w:ind w:left="200" w:right="80" w:firstLine="4"/>
        <w:spacing w:after="0" w:line="290" w:lineRule="auto"/>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by us (including obligations under leases required to be reflected on the balance sheet of the lessee as financing lease liabilities under generally accepted accounting principles but not including any indebtedness or obligations for which recourse is limited to one or more properties) in an aggregate principal amount in excess of $50,000,000 or under any mortgage, indenture or instrument under which there may be issued or by which there may be secured or evidenced any indebtedness for money borrowed by us (including such leases but not including such indebtedness or obligations for which recourse is limited to one or more properties) in an aggregate principal amount in excess of $50,000,000,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58" w:lineRule="exact"/>
        <w:rPr>
          <w:rFonts w:ascii="Arial" w:cs="Arial" w:eastAsia="Arial" w:hAnsi="Arial"/>
          <w:sz w:val="16"/>
          <w:szCs w:val="16"/>
          <w:color w:val="auto"/>
        </w:rPr>
      </w:pPr>
    </w:p>
    <w:p>
      <w:pPr>
        <w:ind w:left="380" w:hanging="176"/>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117" w:lineRule="exact"/>
        <w:rPr>
          <w:sz w:val="20"/>
          <w:szCs w:val="20"/>
          <w:color w:val="auto"/>
        </w:rPr>
      </w:pPr>
    </w:p>
    <w:p>
      <w:pPr>
        <w:ind w:left="440" w:hanging="23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117" w:lineRule="exact"/>
        <w:rPr>
          <w:rFonts w:ascii="Arial" w:cs="Arial" w:eastAsia="Arial" w:hAnsi="Arial"/>
          <w:sz w:val="18"/>
          <w:szCs w:val="18"/>
          <w:color w:val="auto"/>
        </w:rPr>
      </w:pPr>
    </w:p>
    <w:p>
      <w:pPr>
        <w:ind w:left="460" w:hanging="256"/>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appoints a receiver in respect of us or any of our significant subsidiaries or for all or substantially all of the property of any of us; or</w:t>
      </w:r>
    </w:p>
    <w:p>
      <w:pPr>
        <w:spacing w:after="0" w:line="117" w:lineRule="exact"/>
        <w:rPr>
          <w:rFonts w:ascii="Arial" w:cs="Arial" w:eastAsia="Arial" w:hAnsi="Arial"/>
          <w:sz w:val="18"/>
          <w:szCs w:val="18"/>
          <w:color w:val="auto"/>
        </w:rPr>
      </w:pPr>
    </w:p>
    <w:p>
      <w:pPr>
        <w:ind w:left="440" w:hanging="236"/>
        <w:spacing w:after="0"/>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orders our liquidation or the liquidation of any of our significant subsidiaries, and the order or decree remains unstayed and in effect for 90 days.</w:t>
      </w:r>
    </w:p>
    <w:p>
      <w:pPr>
        <w:spacing w:after="0" w:line="180"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S-12</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7. We or any of our significant subsidiaries do any of the following:</w:t>
      </w:r>
    </w:p>
    <w:p>
      <w:pPr>
        <w:spacing w:after="0" w:line="117" w:lineRule="exact"/>
        <w:rPr>
          <w:sz w:val="20"/>
          <w:szCs w:val="20"/>
          <w:color w:val="auto"/>
        </w:rPr>
      </w:pPr>
    </w:p>
    <w:p>
      <w:pPr>
        <w:ind w:left="440" w:hanging="236"/>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117" w:lineRule="exact"/>
        <w:rPr>
          <w:rFonts w:ascii="Arial" w:cs="Arial" w:eastAsia="Arial" w:hAnsi="Arial"/>
          <w:sz w:val="18"/>
          <w:szCs w:val="18"/>
          <w:color w:val="auto"/>
        </w:rPr>
      </w:pPr>
    </w:p>
    <w:p>
      <w:pPr>
        <w:ind w:left="200" w:right="260" w:firstLine="4"/>
        <w:spacing w:after="0" w:line="277" w:lineRule="auto"/>
        <w:tabs>
          <w:tab w:leader="none" w:pos="4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62" w:lineRule="exact"/>
        <w:rPr>
          <w:rFonts w:ascii="Arial" w:cs="Arial" w:eastAsia="Arial" w:hAnsi="Arial"/>
          <w:sz w:val="18"/>
          <w:szCs w:val="18"/>
          <w:color w:val="auto"/>
        </w:rPr>
      </w:pPr>
    </w:p>
    <w:p>
      <w:pPr>
        <w:ind w:left="440" w:hanging="236"/>
        <w:spacing w:after="0"/>
        <w:tabs>
          <w:tab w:leader="none" w:pos="4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consent to the appointment of a receiver in respect of us or any of our significant subsidiaries for all or substantially all of our or its property; or</w:t>
      </w:r>
    </w:p>
    <w:p>
      <w:pPr>
        <w:spacing w:after="0" w:line="128" w:lineRule="exact"/>
        <w:rPr>
          <w:rFonts w:ascii="Arial" w:cs="Arial" w:eastAsia="Arial" w:hAnsi="Arial"/>
          <w:sz w:val="17"/>
          <w:szCs w:val="17"/>
          <w:color w:val="auto"/>
        </w:rPr>
      </w:pPr>
    </w:p>
    <w:p>
      <w:pPr>
        <w:ind w:left="460" w:hanging="256"/>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Book-Entry Form</w:t>
      </w:r>
    </w:p>
    <w:p>
      <w:pPr>
        <w:spacing w:after="0" w:line="121" w:lineRule="exact"/>
        <w:rPr>
          <w:sz w:val="20"/>
          <w:szCs w:val="20"/>
          <w:color w:val="auto"/>
        </w:rPr>
      </w:pPr>
    </w:p>
    <w:p>
      <w:pPr>
        <w:ind w:left="200" w:right="140"/>
        <w:spacing w:after="0" w:line="276" w:lineRule="auto"/>
        <w:rPr>
          <w:sz w:val="20"/>
          <w:szCs w:val="20"/>
          <w:color w:val="auto"/>
        </w:rPr>
      </w:pPr>
      <w:r>
        <w:rPr>
          <w:rFonts w:ascii="Arial" w:cs="Arial" w:eastAsia="Arial" w:hAnsi="Arial"/>
          <w:sz w:val="17"/>
          <w:szCs w:val="17"/>
          <w:color w:val="auto"/>
        </w:rPr>
        <w:t>We have established a depositary arrangement with The Depository Trust Company, or the Depositary, with respect to the notes, the terms of which are summarized below. Upon issuance, each of the notes offered hereby will be represented by a single Global Security (as defined in the indenture) and will be deposited with, or on behalf of, 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173"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As long as the Depositary or its nominee is the registered owner of a Global Security, the Depositary or its nominee, as the case may be, will be the sole Holder (as defined in the indenture) of the notes for all purposes under the indenture. Except as otherwise provided in this section, the Beneficial Owners (as defined in the indenture) of the Global Security representing the notes will not be entitled to receive physical delivery of certificated notes and will not be considered the Holders thereof for any purpose under the indenture, and no Global Security representing such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indenture. The laws of some jurisdictions require that certain purchasers of securities take physical delivery of such securities in certificated form. Such laws may impair the ability to transfer beneficial interests in a Global Security representing the notes.</w:t>
      </w:r>
    </w:p>
    <w:p>
      <w:pPr>
        <w:spacing w:after="0" w:line="197" w:lineRule="exact"/>
        <w:rPr>
          <w:sz w:val="20"/>
          <w:szCs w:val="20"/>
          <w:color w:val="auto"/>
        </w:rPr>
      </w:pPr>
    </w:p>
    <w:p>
      <w:pPr>
        <w:ind w:left="200" w:right="40"/>
        <w:spacing w:after="0" w:line="289" w:lineRule="auto"/>
        <w:rPr>
          <w:sz w:val="20"/>
          <w:szCs w:val="20"/>
          <w:color w:val="auto"/>
        </w:rPr>
      </w:pPr>
      <w:r>
        <w:rPr>
          <w:rFonts w:ascii="Arial" w:cs="Arial" w:eastAsia="Arial" w:hAnsi="Arial"/>
          <w:sz w:val="16"/>
          <w:szCs w:val="16"/>
          <w:color w:val="auto"/>
        </w:rPr>
        <w:t>The Global Security representing the notes offered hereby will be exchangeable for certificated notes of like tenor and terms and of differing authorized denominations aggregating a like principal amount, only if (1) the Depositary notifies us that it is unwilling or unable to continue as Depositary for the Global Security or the Depositary ceases to be a clearing agency registered under the Exchange Act (if so required by applicable law or regulation) and, in each case, a successor Depositary is not appointed by us within 90 days after we receive such notice or become aware of such unwillingness, inability or ineligibility, (2) we, in our discretion, determine that the Global Security shall be exchangeable for certificated notes or (3) there shall have occurred and be continuing an Event of Default (as defined in the indenture) under the indenture with respect to the notes and Beneficial Owners representing a majority in aggregate principal amount of the notes represented by the Global Security advise the Depositary to cease acting as depositary. Upon any such exchange, the certificated notes shall be registered in the names of the Beneficial Owners of the Global Security representing the notes, which names shall be provided by the Depositary’s relevant Participants (as identified by the Depositary) to the registrar.</w:t>
      </w:r>
    </w:p>
    <w:p>
      <w:pPr>
        <w:spacing w:after="0" w:line="167" w:lineRule="exact"/>
        <w:rPr>
          <w:sz w:val="20"/>
          <w:szCs w:val="20"/>
          <w:color w:val="auto"/>
        </w:rPr>
      </w:pPr>
    </w:p>
    <w:p>
      <w:pPr>
        <w:ind w:left="200" w:right="180"/>
        <w:spacing w:after="0" w:line="279" w:lineRule="auto"/>
        <w:rPr>
          <w:sz w:val="20"/>
          <w:szCs w:val="20"/>
          <w:color w:val="auto"/>
        </w:rPr>
      </w:pPr>
      <w:r>
        <w:rPr>
          <w:rFonts w:ascii="Arial" w:cs="Arial" w:eastAsia="Arial" w:hAnsi="Arial"/>
          <w:sz w:val="17"/>
          <w:szCs w:val="17"/>
          <w:color w:val="auto"/>
        </w:rPr>
        <w:t>The information below concerning the Depositary and the Depositary’s system has been furnished by the Depositary, and we take no responsibility for the accuracy thereof. The Depositary acts as securities depository for the notes. The notes offered hereby will be issued as fully registered securities registered in the name of Cede &amp; Co. (the Depositary’s partnership nominee). One fully registered Global Security will be issued for the notes offered hereby, in the aggregate principal amount of such issue, and will be deposited with the Depositary.</w:t>
      </w:r>
    </w:p>
    <w:p>
      <w:pPr>
        <w:spacing w:after="0" w:line="171" w:lineRule="exact"/>
        <w:rPr>
          <w:sz w:val="20"/>
          <w:szCs w:val="20"/>
          <w:color w:val="auto"/>
        </w:rPr>
      </w:pPr>
    </w:p>
    <w:p>
      <w:pPr>
        <w:ind w:left="200" w:right="120"/>
        <w:spacing w:after="0" w:line="279" w:lineRule="auto"/>
        <w:rPr>
          <w:sz w:val="20"/>
          <w:szCs w:val="20"/>
          <w:color w:val="auto"/>
        </w:rPr>
      </w:pPr>
      <w:r>
        <w:rPr>
          <w:rFonts w:ascii="Arial" w:cs="Arial" w:eastAsia="Arial" w:hAnsi="Arial"/>
          <w:sz w:val="17"/>
          <w:szCs w:val="17"/>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or Participants, deposit with the Depositary. The Depositary also facilitates the settlement among</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or Direct Participants, include securities brokers and dealers, banks, trust companies, clearing corporations and certain other organizations. The Depositary is a wholly-owned subsidiary of The Depository Trust &amp; Clearing Corporation, or DTCC. DTCC is owned by the users of its regulated subsidiaries. Access to the Depositary’s system is also available to others such as securities brokers and dealers, banks and trust companies that clear through or maintain a custodial relationship with a Direct Participant, either directly or indirectly, or Indirect Participants. The rules applicable to the Depositary and its Participants are on file with the SEC.</w:t>
      </w:r>
    </w:p>
    <w:p>
      <w:pPr>
        <w:spacing w:after="0" w:line="189"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or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179"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To facilitate subsequent transfers, the Global Security representing the notes which is deposited with, or on behalf of, the Depositary are registered in the name of the Depositary’s partnership nominee, Cede &amp; Co. The deposit of a Global Security with, or on behalf of, the Depositary and its registration in the name of Cede &amp; Co. effects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93"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81"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Neither the Depositary nor Cede &amp; Co. will consent or vote with respect to the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187"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Principal, premium, if any, and/or interest payments on the Global Security representing the notes offered hereby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the Depositary, the trustee or us, subject to any statutory or regulatory requirements as may be in effect from time to time. Payment of principal, premium, if any, and/or interest to the Depositary is the responsibility of us or the trustee, disbursement of such payments to Direct Participants shall be the responsibility of the Depositary, and disbursement of such payments to the Beneficial Owners shall be the responsibility of Direct Participants and Indirect Participants.</w:t>
      </w:r>
    </w:p>
    <w:p>
      <w:pPr>
        <w:spacing w:after="0" w:line="166"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If applicable, redemption notices shall be sent to Cede &amp; Co. If less than all of the notes are being redeemed, the Depositary’s practice is to determine by lot the amount of the interest of each Direct Participant to be redeemed.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The Depositary may discontinue providing its services as securities depository with respect to the notes at any time by giving reasonable notice to the trustee or us.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060"/>
          </w:cols>
          <w:pgMar w:left="240" w:top="459" w:right="5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ADDITIONAL MATERIAL FEDERAL INCOME TAX CONSIDERATIONS</w:t>
      </w:r>
    </w:p>
    <w:p>
      <w:pPr>
        <w:spacing w:after="0" w:line="229" w:lineRule="exact"/>
        <w:rPr>
          <w:sz w:val="20"/>
          <w:szCs w:val="20"/>
          <w:color w:val="auto"/>
        </w:rPr>
      </w:pPr>
    </w:p>
    <w:p>
      <w:pPr>
        <w:ind w:left="200" w:right="20"/>
        <w:spacing w:after="0" w:line="285" w:lineRule="auto"/>
        <w:rPr>
          <w:sz w:val="20"/>
          <w:szCs w:val="20"/>
          <w:color w:val="auto"/>
        </w:rPr>
      </w:pPr>
      <w:r>
        <w:rPr>
          <w:rFonts w:ascii="Arial" w:cs="Arial" w:eastAsia="Arial" w:hAnsi="Arial"/>
          <w:sz w:val="16"/>
          <w:szCs w:val="16"/>
          <w:color w:val="auto"/>
        </w:rPr>
        <w:t>For a discussion of the material federal income tax issues that you may consider relevant relating to our taxation as a REIT, see “Material Federal Income Tax Considerations” beginning on page 29 of the accompanying prospectus. For a general discussion of the material U.S. federal income tax considerations applicable to the acquisition, ownership and disposition of the notes, see below under “— Taxation of Holders of the Notes.” These discussions apply only to initial beneficial owners of the notes who purchase notes in this offering at their issue price (as defined below) and who hold the notes as capital assets (generally property held for investment) within the meaning of Section 1221 of the Code. This discussion is based on the Code, income tax regulations promulgated thereunder, judicial decisions, published positions of the Internal Revenue Service, or the IRS, and other applicable authorities, all as in effect as of the date hereof and all of which are subject to change, possibly with retroactive effect. This discussion is general in nature and is not exhaustive of all possible tax considerations, nor does the discussion address any state, local or foreign tax considerations or any U.S. tax considerations (e.g., estate generation-skipping or gift tax) other than U.S. federal income tax considerations, that may be applicable to particular holders. This discussion does not address all the tax consequences that may be relevant to a particular holder or to holders subject to special treatment under the Code, such as financial institutions, brokers, dealers in securities and commodities, insurance companies, certain former U.S. citizens or long-term residents, regulated investment companies, real estate investment trusts, tax-exempt organizations, controlled foreign corporations, passive foreign investment companies, persons subject to the alternative minimum tax, U.S. persons whose functional currency is not the U.S. dollar, persons that are, or that hold their notes through, partnerships or other pass-through entities, or persons that hold notes as part of a straddle, hedge, conversion, synthetic security or constructive sale transaction for U.S. federal income tax purposes. This discussion does not address the tax consequences applicable to taxpayers subject to Section 451(b) of the Code. Except as specifically provided below with respect to Non-U.S. Holders (as defined below), the discussion is limited to beneficial owners of notes that are U.S. Holders.</w:t>
      </w:r>
    </w:p>
    <w:p>
      <w:pPr>
        <w:spacing w:after="0" w:line="279" w:lineRule="exact"/>
        <w:rPr>
          <w:sz w:val="20"/>
          <w:szCs w:val="20"/>
          <w:color w:val="auto"/>
        </w:rPr>
      </w:pPr>
    </w:p>
    <w:p>
      <w:pPr>
        <w:ind w:left="200" w:right="620"/>
        <w:spacing w:after="0" w:line="313" w:lineRule="auto"/>
        <w:rPr>
          <w:sz w:val="20"/>
          <w:szCs w:val="20"/>
          <w:color w:val="auto"/>
        </w:rPr>
      </w:pPr>
      <w:r>
        <w:rPr>
          <w:rFonts w:ascii="Arial" w:cs="Arial" w:eastAsia="Arial" w:hAnsi="Arial"/>
          <w:sz w:val="17"/>
          <w:szCs w:val="17"/>
          <w:b w:val="1"/>
          <w:bCs w:val="1"/>
          <w:color w:val="auto"/>
        </w:rPr>
        <w:t>PROSPECTIVE INVESTORS SHOULD CONSULT THEIR TAX ADVISORS REGARDING THE U.S. FEDERAL, STATE, LOCAL, FOREIGN AND OTHER TAX CONSEQUENCES OF THE ACQUISITION, OWNERSHIP AND DISPOSITION OF THE NOTES.</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Qualified Reopening of Notes</w:t>
      </w:r>
    </w:p>
    <w:p>
      <w:pPr>
        <w:spacing w:after="0" w:line="12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For U.S. federal income tax purposes, we currently intend to treat the notes offered hereby as being issued in a “qualified reopening” of the currently outstanding 3.20% Notes due 2029, or the existing notes. For U.S. federal income tax purposes, debt instruments issued in a qualified reopening are deemed to be part of the same issue as the original debt instruments. Under the treatment described in this paragraph, the notes offered hereby will have the same issue date and the same issue price as the existing notes for U.S. federal income tax purposes. The issue price of the existing notes was $998.38 per $1,000 face amount and the issue date of the existing notes was June 7, 2019. The remainder of this discussion assumes the correctness of the treatment described in this paragraph.</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of Holders of the Notes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purposes of this discussion, a “U.S. Holder” means a beneficial owner of a note that, for U.S. federal income tax purposes, is</w:t>
      </w:r>
    </w:p>
    <w:p>
      <w:pPr>
        <w:spacing w:after="0" w:line="131" w:lineRule="exact"/>
        <w:rPr>
          <w:sz w:val="20"/>
          <w:szCs w:val="20"/>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30" w:lineRule="exact"/>
        <w:rPr>
          <w:rFonts w:ascii="Arial" w:cs="Arial" w:eastAsia="Arial" w:hAnsi="Arial"/>
          <w:sz w:val="18"/>
          <w:szCs w:val="18"/>
          <w:color w:val="auto"/>
        </w:rPr>
      </w:pPr>
    </w:p>
    <w:p>
      <w:pPr>
        <w:ind w:left="1180" w:hanging="436"/>
        <w:spacing w:after="0" w:line="264"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trust if (1) a court within the United States is able to exercise primary supervision over the administration of the trust and one or more United States persons have the authority to control all substantial decisions of the trust, or (2) it has a valid election in place to be treated as a United States person.</w:t>
      </w:r>
    </w:p>
    <w:p>
      <w:pPr>
        <w:spacing w:after="0" w:line="181" w:lineRule="exact"/>
        <w:rPr>
          <w:sz w:val="20"/>
          <w:szCs w:val="20"/>
          <w:color w:val="auto"/>
        </w:rPr>
      </w:pPr>
    </w:p>
    <w:p>
      <w:pPr>
        <w:ind w:left="200" w:right="100"/>
        <w:spacing w:after="0" w:line="286" w:lineRule="auto"/>
        <w:rPr>
          <w:sz w:val="20"/>
          <w:szCs w:val="20"/>
          <w:color w:val="auto"/>
        </w:rPr>
      </w:pPr>
      <w:r>
        <w:rPr>
          <w:rFonts w:ascii="Arial" w:cs="Arial" w:eastAsia="Arial" w:hAnsi="Arial"/>
          <w:sz w:val="17"/>
          <w:szCs w:val="17"/>
          <w:color w:val="auto"/>
        </w:rPr>
        <w:t>If an entity or arrangement treated as a partnership for U.S. federal income tax purposes is a holder of a note, the U.S. federal income tax treatment of a partner will generally depend on the status of the partner and the activities of the partnership. Partnerships that hold notes (and partners in such partnerships) should consult their tax advisors as to the particular U.S. federal income tax consequences applicable to them.</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 “Non-U.S. Holder” means any beneficial owner of a note that is neither a U.S. Holder nor an entity or arrangement treated as a partnership for U.S.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federal income tax purposes.</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 Holders</w:t>
      </w:r>
    </w:p>
    <w:p>
      <w:pPr>
        <w:spacing w:after="0" w:line="121"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b w:val="1"/>
          <w:bCs w:val="1"/>
          <w:i w:val="1"/>
          <w:iCs w:val="1"/>
          <w:color w:val="auto"/>
        </w:rPr>
        <w:t xml:space="preserve">Pre-Acquisition Accrued Interest on the Notes. </w:t>
      </w:r>
      <w:r>
        <w:rPr>
          <w:rFonts w:ascii="Arial" w:cs="Arial" w:eastAsia="Arial" w:hAnsi="Arial"/>
          <w:sz w:val="17"/>
          <w:szCs w:val="17"/>
          <w:color w:val="auto"/>
        </w:rPr>
        <w:t>A portion of the price paid for the notes is attributable to the amount of interest accrued from June 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2019, or the pre-acquisition accrued interest. To the extent a portion of a U.S. Holder’s purchase price is allocable to pre-acquisition accrued interest, a portion of the first stated interest payment equal to the amount of such pre-acquisition accrued interest may be treated as a nontaxable return of such pre-acquisition accrued interest to the U.S. Holder. If so, the amount treated as a return of pre-acquisition accrued interest will reduce a U.S. Holder’s adjusted tax basis in the note by a corresponding amount. The balance of this discussion assumes that such treatment will be elected. You should consult your own tax advisors regarding the tax treatment of pre-acquisition accrued interest.</w:t>
      </w:r>
    </w:p>
    <w:p>
      <w:pPr>
        <w:spacing w:after="0" w:line="178" w:lineRule="exact"/>
        <w:rPr>
          <w:sz w:val="20"/>
          <w:szCs w:val="20"/>
          <w:color w:val="auto"/>
        </w:rPr>
      </w:pPr>
    </w:p>
    <w:p>
      <w:pPr>
        <w:ind w:left="200" w:right="40"/>
        <w:spacing w:after="0" w:line="308" w:lineRule="auto"/>
        <w:rPr>
          <w:sz w:val="20"/>
          <w:szCs w:val="20"/>
          <w:color w:val="auto"/>
        </w:rPr>
      </w:pPr>
      <w:r>
        <w:rPr>
          <w:rFonts w:ascii="Arial" w:cs="Arial" w:eastAsia="Arial" w:hAnsi="Arial"/>
          <w:sz w:val="17"/>
          <w:szCs w:val="17"/>
          <w:b w:val="1"/>
          <w:bCs w:val="1"/>
          <w:i w:val="1"/>
          <w:iCs w:val="1"/>
          <w:color w:val="auto"/>
        </w:rPr>
        <w:t xml:space="preserve">Stated Interest on the Notes. </w:t>
      </w:r>
      <w:r>
        <w:rPr>
          <w:rFonts w:ascii="Arial" w:cs="Arial" w:eastAsia="Arial" w:hAnsi="Arial"/>
          <w:sz w:val="17"/>
          <w:szCs w:val="17"/>
          <w:color w:val="auto"/>
        </w:rPr>
        <w:t>A U.S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Holder generally will be required to include stated interest payable on the notes (other than pre-acquisition accrued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as ordinary income when received or accrued in accordance with the U.S. Holder’s regular method of tax accounting.</w:t>
      </w:r>
    </w:p>
    <w:p>
      <w:pPr>
        <w:spacing w:after="0" w:line="147" w:lineRule="exact"/>
        <w:rPr>
          <w:sz w:val="20"/>
          <w:szCs w:val="20"/>
          <w:color w:val="auto"/>
        </w:rPr>
      </w:pPr>
    </w:p>
    <w:p>
      <w:pPr>
        <w:ind w:left="200" w:right="120"/>
        <w:spacing w:after="0" w:line="286" w:lineRule="auto"/>
        <w:rPr>
          <w:sz w:val="20"/>
          <w:szCs w:val="20"/>
          <w:color w:val="auto"/>
        </w:rPr>
      </w:pPr>
      <w:r>
        <w:rPr>
          <w:rFonts w:ascii="Arial" w:cs="Arial" w:eastAsia="Arial" w:hAnsi="Arial"/>
          <w:sz w:val="17"/>
          <w:szCs w:val="17"/>
          <w:b w:val="1"/>
          <w:bCs w:val="1"/>
          <w:i w:val="1"/>
          <w:iCs w:val="1"/>
          <w:color w:val="auto"/>
        </w:rPr>
        <w:t xml:space="preserve">OID and Issue Price of the Notes. </w:t>
      </w:r>
      <w:r>
        <w:rPr>
          <w:rFonts w:ascii="Arial" w:cs="Arial" w:eastAsia="Arial" w:hAnsi="Arial"/>
          <w:sz w:val="17"/>
          <w:szCs w:val="17"/>
          <w:color w:val="auto"/>
        </w:rPr>
        <w:t>A debt instrument generally has original issue discount, or OID, if its “stated redemption price at maturity” exceeds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its “issue price” by an amount that is equal to or greater than a statutory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A debt instrument’s stated redemption price at maturity includes all principal and interest payable over the term of the debt instrument, other than qualified stated interest.</w:t>
      </w:r>
    </w:p>
    <w:p>
      <w:pPr>
        <w:spacing w:after="0" w:line="166"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 xml:space="preserve">The stated redemption price at maturity of the existing notes does not exceed their issue price by more than the statutory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Accordingly, the existing notes do not have OID. As discussed above, under the qualified reopening rules the issue price of the notes offered hereby will be deemed to be the same as the issue price of the existing notes. As a result, the notes will also not have OID.</w:t>
      </w:r>
    </w:p>
    <w:p>
      <w:pPr>
        <w:spacing w:after="0" w:line="181"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b w:val="1"/>
          <w:bCs w:val="1"/>
          <w:i w:val="1"/>
          <w:iCs w:val="1"/>
          <w:color w:val="auto"/>
        </w:rPr>
        <w:t xml:space="preserve">Amortizable Bond Premium. </w:t>
      </w:r>
      <w:r>
        <w:rPr>
          <w:rFonts w:ascii="Arial" w:cs="Arial" w:eastAsia="Arial" w:hAnsi="Arial"/>
          <w:sz w:val="17"/>
          <w:szCs w:val="17"/>
          <w:color w:val="auto"/>
        </w:rPr>
        <w:t>If a note is purchased at a price in excess of such note’s stated principal amount (excluding any amounts that are treated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pre-acquisition accrued interest as described above under “— Pre-Acquisition Accrued Interest on the Notes”), a U.S. Holder will have bond premium with respect to that note in an amount equal to such excess. A U.S. Holder generally may elect to amortize bond premium using the constant yield method over the remaining term of the note and may offset stated interest income otherwise required to be included in respect of the note during any taxable year by the amortized amount of bond premium for the taxable year.</w:t>
      </w:r>
    </w:p>
    <w:p>
      <w:pPr>
        <w:spacing w:after="0" w:line="173"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However, because we may call the notes under certain circumstances at a price in excess of their stated principal amount, such amortization may be reduced or deferred (or both).</w:t>
      </w:r>
    </w:p>
    <w:p>
      <w:pPr>
        <w:spacing w:after="0" w:line="170"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A U.S. Holder’s election to amortize bond premium on a constant yield method, once made, will also apply to all other debt obligations with bond premium (other than obligations the interest on which is excludible from gross income) that a U.S. Holder holds at the beginning of or acquires in or after the first taxable year to which the election applies and may not be revoked without the consent of the IRS. If a U.S. Holder does not elect to amortize the bond premium, the bond premium will decrease the gain or increase the loss such holder would otherwise recognize on the disposition of the note. You should consult your own tax advisors with respect to the rules relating to amortizable bond premium and the application to your particular circumstances.</w:t>
      </w:r>
    </w:p>
    <w:p>
      <w:pPr>
        <w:spacing w:after="0" w:line="193"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b w:val="1"/>
          <w:bCs w:val="1"/>
          <w:i w:val="1"/>
          <w:iCs w:val="1"/>
          <w:color w:val="auto"/>
        </w:rPr>
        <w:t xml:space="preserve">Sale, Exchange, Redemption, or Other Taxable Disposition of the Notes. </w:t>
      </w:r>
      <w:r>
        <w:rPr>
          <w:rFonts w:ascii="Arial" w:cs="Arial" w:eastAsia="Arial" w:hAnsi="Arial"/>
          <w:sz w:val="17"/>
          <w:szCs w:val="17"/>
          <w:color w:val="auto"/>
        </w:rPr>
        <w:t>Unless a non-recognition provision applies, upon the sale, exchange,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redemption or other taxable disposition of a note, a U.S. Holder will generally recognize capital gain or loss equal to the difference (if any) between the amount realized (other than amounts attributable to accrued but unpaid stated interest, which will be taxable as ordinary income to the extent not previously included in income) and such U.S. Holder’s adjusted tax basis in the note. The U.S. Holder’s adjusted tax basis in a note generally will be the purchase price for the note (less any amount attributable to pre-acquisition accrued interest, as described above under “— Pre-Acquisition Accrued Interest on the Notes”), reduced by the amount of any payments previously received by the U.S. Holder (other than qualified stated interest) and any amortized bond premium. Such gain or loss will be treated as long-term capital gain or loss if the note was held for more than one year at the time of disposition. Long-term capital gain recognized by certain non-corporate U.S. Holders generally will be subject to a preferential tax rate. Subject to limited exceptions, capital losses cannot be used to offset a U.S. Holder’s ordinary income.</w:t>
      </w:r>
    </w:p>
    <w:p>
      <w:pPr>
        <w:spacing w:after="0" w:line="178" w:lineRule="exact"/>
        <w:rPr>
          <w:sz w:val="20"/>
          <w:szCs w:val="20"/>
          <w:color w:val="auto"/>
        </w:rPr>
      </w:pPr>
    </w:p>
    <w:p>
      <w:pPr>
        <w:ind w:left="200"/>
        <w:spacing w:after="0" w:line="261" w:lineRule="auto"/>
        <w:rPr>
          <w:sz w:val="20"/>
          <w:szCs w:val="20"/>
          <w:color w:val="auto"/>
        </w:rPr>
      </w:pPr>
      <w:r>
        <w:rPr>
          <w:rFonts w:ascii="Arial" w:cs="Arial" w:eastAsia="Arial" w:hAnsi="Arial"/>
          <w:sz w:val="18"/>
          <w:szCs w:val="18"/>
          <w:b w:val="1"/>
          <w:bCs w:val="1"/>
          <w:i w:val="1"/>
          <w:iCs w:val="1"/>
          <w:color w:val="auto"/>
        </w:rPr>
        <w:t>Unearned Income Medicare Contribution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U.S. Holders that are individuals, estates or trusts are subject to a 3.8% Medicare tax on all 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their “net investment income,” which may include all or a portion of their interest and net gains from the sale or other disposition of the notes. If you are a U.S. Holder that is an individual, estate or trust, you should consult your tax advisors regarding the applicability of the Medicare tax to your income and gains in respect of your investment in the notes.</w:t>
      </w:r>
    </w:p>
    <w:p>
      <w:pPr>
        <w:spacing w:after="0" w:line="184" w:lineRule="exact"/>
        <w:rPr>
          <w:sz w:val="20"/>
          <w:szCs w:val="20"/>
          <w:color w:val="auto"/>
        </w:rPr>
      </w:pPr>
    </w:p>
    <w:p>
      <w:pPr>
        <w:ind w:left="200" w:right="1040"/>
        <w:spacing w:after="0" w:line="277" w:lineRule="auto"/>
        <w:rPr>
          <w:sz w:val="20"/>
          <w:szCs w:val="20"/>
          <w:color w:val="auto"/>
        </w:rPr>
      </w:pPr>
      <w:r>
        <w:rPr>
          <w:rFonts w:ascii="Arial" w:cs="Arial" w:eastAsia="Arial" w:hAnsi="Arial"/>
          <w:sz w:val="18"/>
          <w:szCs w:val="18"/>
          <w:b w:val="1"/>
          <w:bCs w:val="1"/>
          <w:i w:val="1"/>
          <w:iCs w:val="1"/>
          <w:color w:val="auto"/>
        </w:rPr>
        <w:t xml:space="preserve">U.S. Holders Holding Notes Through Foreign Accounts or Intermediaries. </w:t>
      </w:r>
      <w:r>
        <w:rPr>
          <w:rFonts w:ascii="Arial" w:cs="Arial" w:eastAsia="Arial" w:hAnsi="Arial"/>
          <w:sz w:val="18"/>
          <w:szCs w:val="18"/>
          <w:color w:val="auto"/>
        </w:rPr>
        <w:t>U.S. Holders holding their notes through foreign accounts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intermediaries should refer to “— Non-U.S. Holders — FATCA Regime” below.</w:t>
      </w:r>
    </w:p>
    <w:p>
      <w:pPr>
        <w:spacing w:after="0" w:line="166" w:lineRule="exact"/>
        <w:rPr>
          <w:sz w:val="20"/>
          <w:szCs w:val="20"/>
          <w:color w:val="auto"/>
        </w:rPr>
      </w:pPr>
    </w:p>
    <w:p>
      <w:pPr>
        <w:ind w:left="200" w:right="440"/>
        <w:spacing w:after="0" w:line="313" w:lineRule="auto"/>
        <w:rPr>
          <w:sz w:val="20"/>
          <w:szCs w:val="20"/>
          <w:color w:val="auto"/>
        </w:rPr>
      </w:pPr>
      <w:r>
        <w:rPr>
          <w:rFonts w:ascii="Arial" w:cs="Arial" w:eastAsia="Arial" w:hAnsi="Arial"/>
          <w:sz w:val="17"/>
          <w:szCs w:val="17"/>
          <w:b w:val="1"/>
          <w:bCs w:val="1"/>
          <w:i w:val="1"/>
          <w:iCs w:val="1"/>
          <w:color w:val="auto"/>
        </w:rPr>
        <w:t>Information Reporting and Backup Withholding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general, information reporting will apply to a U.S. Holder (other than an “exempt recipient,”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a corporation and certain other persons who, when required, demonstrate their exempt status) with respect to:</w:t>
      </w:r>
    </w:p>
    <w:p>
      <w:pPr>
        <w:spacing w:after="0" w:line="48" w:lineRule="exact"/>
        <w:rPr>
          <w:sz w:val="20"/>
          <w:szCs w:val="20"/>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payments made of principal of, premium, if any, and interest on, the notes;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payment of the proceeds of a sale or other disposition of the notes.</w:t>
      </w:r>
    </w:p>
    <w:p>
      <w:pPr>
        <w:spacing w:after="0" w:line="225" w:lineRule="exact"/>
        <w:rPr>
          <w:sz w:val="20"/>
          <w:szCs w:val="20"/>
          <w:color w:val="auto"/>
        </w:rPr>
      </w:pPr>
    </w:p>
    <w:p>
      <w:pPr>
        <w:ind w:left="200" w:right="320"/>
        <w:spacing w:after="0" w:line="286" w:lineRule="auto"/>
        <w:rPr>
          <w:sz w:val="20"/>
          <w:szCs w:val="20"/>
          <w:color w:val="auto"/>
        </w:rPr>
      </w:pPr>
      <w:r>
        <w:rPr>
          <w:rFonts w:ascii="Arial" w:cs="Arial" w:eastAsia="Arial" w:hAnsi="Arial"/>
          <w:sz w:val="17"/>
          <w:szCs w:val="17"/>
          <w:color w:val="auto"/>
        </w:rPr>
        <w:t>In addition, “backup withholding” at the applicable statutory rate may apply to such amounts if a U.S. Holder fails to provide a correct taxpayer identification number certified under penalties of perjury or otherwise comply with applicable requirements of the backup withholding rules. A U.S. Holder that does not provide its correct taxpayer identification number also may be subject to penalties imposed by the IRS.</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Any backup withholding is not an additional tax and may be refunded or credited against the U.S. Holder’s U.S. federal income tax liability, provided that the required information is timely provided to the IRS.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Non-U.S. Holders</w:t>
      </w:r>
    </w:p>
    <w:p>
      <w:pPr>
        <w:spacing w:after="0" w:line="12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rules governing the U.S. federal income taxation of Non-U.S. Holders are complex and no attempt will be made herein to provide more than a summary of such rules. Prospective Non-U.S. Holders should consult their tax advisors to determine the impact of federal, state, local and other tax laws with regard to an investment in the notes.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 xml:space="preserve">Interest on the Notes. </w:t>
      </w:r>
      <w:r>
        <w:rPr>
          <w:rFonts w:ascii="Arial" w:cs="Arial" w:eastAsia="Arial" w:hAnsi="Arial"/>
          <w:sz w:val="17"/>
          <w:szCs w:val="17"/>
          <w:color w:val="auto"/>
        </w:rPr>
        <w:t>Subject to the rules described below under “— Information Reporting and Backup Withholding” and “— FATCA Regime,” a</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Non-U.S. Holder generally will not be subject to U.S. federal income or withholding tax on payments of interest on a note, provided that:</w:t>
      </w:r>
    </w:p>
    <w:p>
      <w:pPr>
        <w:spacing w:after="0" w:line="116" w:lineRule="exact"/>
        <w:rPr>
          <w:sz w:val="20"/>
          <w:szCs w:val="20"/>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Non-U.S. Holder is not</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direct, indirect or constructive owner of 10% or more of our voting stock;</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controlled foreign corporation related to us through stock ownership; or</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 bank whose receipt of interest on a note is pursuant to a loan agreement entered into in the ordinary course of business;</w:t>
      </w:r>
    </w:p>
    <w:p>
      <w:pPr>
        <w:spacing w:after="0" w:line="142" w:lineRule="exact"/>
        <w:rPr>
          <w:rFonts w:ascii="Arial" w:cs="Arial" w:eastAsia="Arial" w:hAnsi="Arial"/>
          <w:sz w:val="17"/>
          <w:szCs w:val="17"/>
          <w:color w:val="auto"/>
        </w:rPr>
      </w:pPr>
    </w:p>
    <w:p>
      <w:pPr>
        <w:ind w:left="1180" w:right="360" w:hanging="436"/>
        <w:spacing w:after="0" w:line="277" w:lineRule="auto"/>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interest payments are not effectively connected with the conduct by the Non-U.S. Holder of a trade or business within the United States; and</w:t>
      </w:r>
    </w:p>
    <w:p>
      <w:pPr>
        <w:spacing w:after="0" w:line="75" w:lineRule="exact"/>
        <w:rPr>
          <w:rFonts w:ascii="Arial" w:cs="Arial" w:eastAsia="Arial" w:hAnsi="Arial"/>
          <w:sz w:val="18"/>
          <w:szCs w:val="18"/>
          <w:color w:val="auto"/>
        </w:rPr>
      </w:pPr>
    </w:p>
    <w:p>
      <w:pPr>
        <w:ind w:left="1180" w:right="180" w:hanging="436"/>
        <w:spacing w:after="0" w:line="308" w:lineRule="auto"/>
        <w:tabs>
          <w:tab w:leader="none" w:pos="1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or our paying agent receives certain information from the Non-U.S. Holder (or a financial institution that holds the notes on behalf of the Non-U.S. Holder in the ordinary course of its trade or business) certifying that such holder is a Non-U.S. Holder.</w:t>
      </w:r>
    </w:p>
    <w:p>
      <w:pPr>
        <w:spacing w:after="0" w:line="147"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A Non-U.S. Holder that is not exempt from tax under these rules generally will be subject to U.S. federal income tax withholding at a rate of 30% unless:</w:t>
      </w:r>
    </w:p>
    <w:p>
      <w:pPr>
        <w:spacing w:after="0" w:line="76" w:lineRule="exact"/>
        <w:rPr>
          <w:sz w:val="20"/>
          <w:szCs w:val="20"/>
          <w:color w:val="auto"/>
        </w:rPr>
      </w:pPr>
    </w:p>
    <w:p>
      <w:pPr>
        <w:ind w:left="1180" w:right="100" w:hanging="436"/>
        <w:spacing w:after="0" w:line="277"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income is effectively connected with the conduct of a U.S. trade or business (and, if required by an applicable tax treaty, the income is attributable to a permanent establishment maintained in the United States by such Non-U.S. Holder); or</w:t>
      </w:r>
    </w:p>
    <w:p>
      <w:pPr>
        <w:spacing w:after="0" w:line="75" w:lineRule="exact"/>
        <w:rPr>
          <w:rFonts w:ascii="Arial" w:cs="Arial" w:eastAsia="Arial" w:hAnsi="Arial"/>
          <w:sz w:val="18"/>
          <w:szCs w:val="18"/>
          <w:color w:val="auto"/>
        </w:rPr>
      </w:pPr>
    </w:p>
    <w:p>
      <w:pPr>
        <w:ind w:left="1180" w:right="420" w:hanging="436"/>
        <w:spacing w:after="0" w:line="277"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Non-U.S. Holder is entitled to the benefits of an applicable income tax treaty that provides for a lower rate of, or exemption from, withholding tax.</w:t>
      </w:r>
    </w:p>
    <w:p>
      <w:pPr>
        <w:spacing w:after="0" w:line="170"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Except to the extent provided by an applicable tax treaty, interest on a note that is effectively connected with the conduct by a Non-U.S. Holder of a trade or business in the United States (and, if required by an applicable tax treaty, the interest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a branch profits tax, which is generally imposed on a foreign corporation on the actual or deemed repatriation from the United States of effectively connected earnings and profits, at a 30% rate (subject to reduction or elimination under an applicable tax treaty). If interest is subject to U.S. federal income tax on a net basis in accordance with the rules described in the second preceding sentence, payments of such interest will not be subject to U.S. withholding tax so long as the Non-U.S. Holder provides us or the paying agent with an appropriate IRS Form (generally, IRS Form W-8ECI). To claim the benefit of a reduced rate of, or exemption from, the 30% withholding tax under an income tax treaty, the Non-U.S. Holder must timely provide the appropriate, properly executed IRS form (generally, IRS Form W-8BEN in the case of an individual and IRS Form W-8BEN-E in the case of an entity). These forms may be required to be periodically updated.</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b w:val="1"/>
          <w:bCs w:val="1"/>
          <w:i w:val="1"/>
          <w:iCs w:val="1"/>
          <w:color w:val="auto"/>
        </w:rPr>
        <w:t xml:space="preserve">Sale, Exchange, Redemption, or Other Taxable Disposition of the Notes. </w:t>
      </w:r>
      <w:r>
        <w:rPr>
          <w:rFonts w:ascii="Arial" w:cs="Arial" w:eastAsia="Arial" w:hAnsi="Arial"/>
          <w:sz w:val="18"/>
          <w:szCs w:val="18"/>
          <w:color w:val="auto"/>
        </w:rPr>
        <w:t>Subject to the rules described below under “— Information Reporting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Backup Withholding” and “— FATCA Regime,” a Non-U.S. Holder generally will not be subject to U.S. federal income or withholding tax on gain from the sale, exchange, redemption or other taxable disposition of a note unless:</w:t>
      </w:r>
    </w:p>
    <w:p>
      <w:pPr>
        <w:spacing w:after="0" w:line="87" w:lineRule="exact"/>
        <w:rPr>
          <w:sz w:val="20"/>
          <w:szCs w:val="20"/>
          <w:color w:val="auto"/>
        </w:rPr>
      </w:pPr>
    </w:p>
    <w:p>
      <w:pPr>
        <w:ind w:left="1180" w:right="20" w:hanging="436"/>
        <w:spacing w:after="0" w:line="342" w:lineRule="auto"/>
        <w:tabs>
          <w:tab w:leader="none" w:pos="11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such gain is effectively connected with the conduct by the Non-U.S. Holder of a trade or business within the United States (and, if required by an applicable tax treaty, is attributable to a permanent establishment maintained in the United States by the Non-U.S. Holder); or</w:t>
      </w:r>
    </w:p>
    <w:p>
      <w:pPr>
        <w:spacing w:after="0" w:line="29" w:lineRule="exact"/>
        <w:rPr>
          <w:rFonts w:ascii="Arial" w:cs="Arial" w:eastAsia="Arial" w:hAnsi="Arial"/>
          <w:sz w:val="16"/>
          <w:szCs w:val="16"/>
          <w:color w:val="auto"/>
        </w:rPr>
      </w:pPr>
    </w:p>
    <w:p>
      <w:pPr>
        <w:ind w:left="1180" w:hanging="436"/>
        <w:spacing w:after="0" w:line="277"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Non-U.S. Holder is an individual who is present in the United States for 183 days or more in the taxable year of disposition and meets certain other requirements.</w:t>
      </w:r>
    </w:p>
    <w:p>
      <w:pPr>
        <w:spacing w:after="0" w:line="17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Except to the extent provided by an applicable tax treaty, gain from the sale or disposition of a note that is effectively connected with the conduct by the Non-U.S. Holder of a trade or business in the United States (and, if required by an applicable tax treaty, the gain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the branch profits tax described above. If such gains are realized by a Non-U.S. Holder who is an individual present in the United States for 183 days or more in the taxable year, then, except to the extent otherwise provided by an applicable income tax treaty, such individual generally will be subject to U.S. federal income tax at a rate of 30% on the amount by which capital gains from U.S. sources (including gains from the sale or other disposition of the notes) exceed capital losses allocable to U.S. sources. Any amount attributable to accrued but unpaid interest on the notes will generally be treated in the same manner as payments of interest made to such Non-U.S. Holder, as described above under “— Interest on the Notes.” Non-U.S. Holders should consult their tax advisors on the treatment of any accrued but unpaid interest on the notes.</w:t>
      </w:r>
    </w:p>
    <w:p>
      <w:pPr>
        <w:spacing w:after="0" w:line="178"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Payments to a Non-U.S. Holder of interest on a note generally will be reported to the IRS and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Non-U.S. Holder. Copies of applicable IRS information returns may be made available, under the provisions of a specific tax treaty or agreement, to the tax authorities of the country in which the Non-U.S. Holder resides. Additional information reporting and backup withholding generally will not apply to payments of interest with respect to which either the requisite certification that the Non-U.S. Holder is not a U.S. person for U.S. federal income tax purposes, as described under the heading “— Interest on the Notes” above, has been received or an exemption has otherwise been established, provided that neither we nor our paying agent have actual knowledge or reason to know that the Non-U.S. Holder is a U.S. person or that the conditions of any other exemption are not, in fact, satisfied.</w:t>
      </w:r>
    </w:p>
    <w:p>
      <w:pPr>
        <w:spacing w:after="0" w:line="189"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As a general matter, backup withholding and information reporting will not apply to a payment of the proceeds of a sale of a note effected at a foreign office of a foreign broker. Information reporting (but not backup withholding) will apply, however, to a payment of the proceeds of a sale of a note by a foreign office of a broker that:</w:t>
      </w:r>
    </w:p>
    <w:p>
      <w:pPr>
        <w:spacing w:after="0" w:line="87" w:lineRule="exact"/>
        <w:rPr>
          <w:sz w:val="20"/>
          <w:szCs w:val="20"/>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 a “controlled foreign corporation” (a foreign corporation controlled by certain U.S. shareholders) for U.S. tax purposes;</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 a foreign partnership, if at any time during its tax year more than 50% of its income or capital interests are held by U.S. persons or if it is engaged in the conduct of a trade or business in the U.S.; or</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 a U.S. branch of a foreign bank or insurance company that is treated as a U.S. person;</w:t>
      </w:r>
    </w:p>
    <w:p>
      <w:pPr>
        <w:spacing w:after="0" w:line="225" w:lineRule="exact"/>
        <w:rPr>
          <w:sz w:val="20"/>
          <w:szCs w:val="20"/>
          <w:color w:val="auto"/>
        </w:rPr>
      </w:pPr>
    </w:p>
    <w:p>
      <w:pPr>
        <w:ind w:left="200" w:right="60"/>
        <w:spacing w:after="0" w:line="276" w:lineRule="auto"/>
        <w:rPr>
          <w:sz w:val="20"/>
          <w:szCs w:val="20"/>
          <w:color w:val="auto"/>
        </w:rPr>
      </w:pPr>
      <w:r>
        <w:rPr>
          <w:rFonts w:ascii="Arial" w:cs="Arial" w:eastAsia="Arial" w:hAnsi="Arial"/>
          <w:sz w:val="17"/>
          <w:szCs w:val="17"/>
          <w:color w:val="auto"/>
        </w:rPr>
        <w:t>unless the broker has documentary evidence in its records that the holder or beneficial owner is a Non-U.S. Holder and certain other conditions are met, or the holder otherwise establishes an exemption. Payment of the proceeds of a sale of a note effected at a U.S. office of a broker is subject to both backup withholding and information reporting unless the holder certifies under penalty of perjury that the holder is a Non-U.S. Holder, or otherwise establishes an exemption; provided that, in either case, neither we nor any withholding agent knows or has reason to know that the holder is a United States person or that the conditions of any other exemptions are in fact not satisfied.</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color w:val="auto"/>
        </w:rPr>
        <w:t>Any backup withholding is not an additional tax and may be refunded or credited against the Non-U.S. Holder’s U.S. federal income tax liability, provided that the required information is timely provided to the IRS.</w:t>
      </w:r>
    </w:p>
    <w:p>
      <w:pPr>
        <w:spacing w:after="0" w:line="166" w:lineRule="exact"/>
        <w:rPr>
          <w:sz w:val="20"/>
          <w:szCs w:val="20"/>
          <w:color w:val="auto"/>
        </w:rPr>
      </w:pPr>
    </w:p>
    <w:p>
      <w:pPr>
        <w:ind w:left="200"/>
        <w:spacing w:after="0" w:line="284" w:lineRule="auto"/>
        <w:rPr>
          <w:sz w:val="20"/>
          <w:szCs w:val="20"/>
          <w:color w:val="auto"/>
        </w:rPr>
      </w:pPr>
      <w:r>
        <w:rPr>
          <w:rFonts w:ascii="Arial" w:cs="Arial" w:eastAsia="Arial" w:hAnsi="Arial"/>
          <w:sz w:val="16"/>
          <w:szCs w:val="16"/>
          <w:b w:val="1"/>
          <w:bCs w:val="1"/>
          <w:i w:val="1"/>
          <w:iCs w:val="1"/>
          <w:color w:val="auto"/>
        </w:rPr>
        <w:t>FATCA Regime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sections 1471 through 1474 of the Code, Treasury regulations and related guidance, or the FATCA, a 30% U.S. withholding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will be imposed in certain circumstances on payments of (1) interest on the notes and (2) subject to the proposed Treasury regulations discussed below, gross proceeds from the sale or other disposition of the notes (which includes redemption and retirement of the notes). Treasury regulations proposed in December 2018 (and upon which taxpayers and withholding agents are entitled to rely) would, when finalized, eliminate FATCA withholding on the gross proceeds from a sale or other disposition of instruments, such as the notes, that produce withholdable payments. In the case of payments made to a “foreign financial institution” (such as a bank, a broker, an investment fund or, in certain cases, a holding company), as a beneficial owner or as an intermediary, this tax generally will be imposed, subject to certain exceptions, unless such institution (1) has agreed to (and does) comply with the requirements of an agreement with the United States, or an FFI Agreement, or (2) is required by (and does comply with) applicable foreign law enacted in connection with an intergovernmental agreement between the United States and a foreign jurisdiction, or an IGA, 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 provides the withholding agent with a certification as to its FATCA status and, in certain cases, identifies any “substantial” U.S. owner (generally, any specified U.S. person that directly or indirectly owns more than a specified percentage of such entity). If a note is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 (1) a person (including an individual) that fails to provide any required information or documentation or (2) a foreign financial institution that has not agreed to comply with the requirements of an FFI Agreement and is not subject to similar requirements under applicable foreign law enacted in connection with an IGA. If we determine withholding is appropriate with respect to the payments of interest on the notes or payments in retirement or redemption of the notes, we will withhold tax at the applicable statutory rate, and we will not pay any additional amounts in respect of such withholding. Under certain circumstances, a holder may be eligible for refunds or credits of such withheld taxes. Prospective investors should consult with their own tax advisors regarding the possible implications of FATCA on their investment in the notes.</w:t>
      </w:r>
    </w:p>
    <w:p>
      <w:pPr>
        <w:spacing w:after="0" w:line="33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We intend to offer the notes offered hereby through the underwriters named below, for whom BofA Securities, Inc., Jefferies LLC and Wells Fargo Securities, LLC are acting as representatives. Subject to the terms and conditions stated in an underwriting agreement and a related pricing agreement, each dated the date of this prospectus supplement, each underwriter named below has severally agreed to purchase, and we have agreed to sell to that underwriter, the principal amount of the notes listed opposite its name below.</w:t>
      </w:r>
    </w:p>
    <w:p>
      <w:pPr>
        <w:spacing w:after="0" w:line="193"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5980" w:type="dxa"/>
            <w:vAlign w:val="bottom"/>
            <w:vMerge w:val="restart"/>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Amount of</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59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7"/>
              </w:rPr>
              <w:t>Notes</w:t>
            </w:r>
          </w:p>
        </w:tc>
        <w:tc>
          <w:tcPr>
            <w:tcW w:w="0" w:type="dxa"/>
            <w:vAlign w:val="bottom"/>
          </w:tcPr>
          <w:p>
            <w:pPr>
              <w:spacing w:after="0"/>
              <w:rPr>
                <w:sz w:val="1"/>
                <w:szCs w:val="1"/>
                <w:color w:val="auto"/>
              </w:rPr>
            </w:pPr>
          </w:p>
        </w:tc>
      </w:tr>
      <w:tr>
        <w:trPr>
          <w:trHeight w:val="203"/>
        </w:trPr>
        <w:tc>
          <w:tcPr>
            <w:tcW w:w="6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BofA Securities, Inc.</w:t>
            </w: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20"/>
        <w:spacing w:after="0" w:line="264" w:lineRule="auto"/>
        <w:rPr>
          <w:sz w:val="20"/>
          <w:szCs w:val="20"/>
          <w:color w:val="auto"/>
        </w:rPr>
      </w:pPr>
      <w:r>
        <w:rPr>
          <w:rFonts w:ascii="Arial" w:cs="Arial" w:eastAsia="Arial" w:hAnsi="Arial"/>
          <w:sz w:val="18"/>
          <w:szCs w:val="18"/>
          <w:color w:val="auto"/>
        </w:rPr>
        <w:t>The underwriters have agreed to purchase all of the principal amount of the notes shown in the above table if any of the notes are purchased. If an underwriter defaults, the underwriting agreement provides that the purchase commitments of the nondefaulting underwriters may be increased or the underwriting agreement may be terminated.</w:t>
      </w:r>
    </w:p>
    <w:p>
      <w:pPr>
        <w:spacing w:after="0" w:line="181" w:lineRule="exact"/>
        <w:rPr>
          <w:sz w:val="20"/>
          <w:szCs w:val="20"/>
          <w:color w:val="auto"/>
        </w:rPr>
      </w:pPr>
    </w:p>
    <w:p>
      <w:pPr>
        <w:jc w:val="both"/>
        <w:ind w:left="200" w:right="320"/>
        <w:spacing w:after="0" w:line="264" w:lineRule="auto"/>
        <w:rPr>
          <w:sz w:val="20"/>
          <w:szCs w:val="20"/>
          <w:color w:val="auto"/>
        </w:rPr>
      </w:pPr>
      <w:r>
        <w:rPr>
          <w:rFonts w:ascii="Arial" w:cs="Arial" w:eastAsia="Arial" w:hAnsi="Arial"/>
          <w:sz w:val="18"/>
          <w:szCs w:val="18"/>
          <w:color w:val="auto"/>
        </w:rPr>
        <w:t>The notes offered hereby are offered by the underwriters, subject to prior sale, when, as and if issued to and accepted by them, subject to approval of legal matters by counsel for the underwriters and other conditions. The underwriters reserve the right to withdraw, cancel or modify the offer and to reject orders in whole or in part.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estimate that the expenses of this offering payable by us, excluding the underwriting discount, will be approximately $300,000.</w:t>
      </w:r>
    </w:p>
    <w:p>
      <w:pPr>
        <w:spacing w:after="0" w:line="225"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We expect to deliver the notes offered hereby against payment for the notes on or about the date specified in the next to last paragraph of the cover page of this prospectus supplement.</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Reopening</w:t>
      </w:r>
    </w:p>
    <w:p>
      <w:pPr>
        <w:spacing w:after="0" w:line="229"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The notes offered hereby will be a further issuance of, are fungible with and are consolidated and form a single series with, our outstanding 3.20% Notes due 2029, $300 million aggregate principal amount of which were originally issued on June 7, 2019. The notes will not be listed on any securities exchange or included in any automated quotation system. We have been advised by the underwriters that the underwriters intend to make a market in each series of the notes, but they are not obligated to do so and may discontinue market making at any time without notice. No assurance can be given as to the liquidity of any trading markets for the notes.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The underwriters have advised us that they propose to offer the notes to the public at the initial public offering price on the cover page of this prospectus supplement and to dealers at that price less a concession not in excess of % of the principal amount of the notes. The underwriters may allow, and the dealers may reallow, a discount not in excess of % of the principal amount of the notes offered hereby on sales to other dealers. After the initial offering, the public offering price and concession to dealers may be changed.</w:t>
      </w:r>
    </w:p>
    <w:p>
      <w:pPr>
        <w:spacing w:after="0" w:line="187"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The following table shows the underwriting discount that we are to pay to the underwriters in connection with this offering (expressed as a percentage of the principal amount of the notes).</w:t>
      </w:r>
    </w:p>
    <w:p>
      <w:pPr>
        <w:spacing w:after="0" w:line="189" w:lineRule="exact"/>
        <w:rPr>
          <w:sz w:val="20"/>
          <w:szCs w:val="20"/>
          <w:color w:val="auto"/>
        </w:rPr>
      </w:pPr>
    </w:p>
    <w:p>
      <w:pPr>
        <w:ind w:left="8740"/>
        <w:spacing w:after="0"/>
        <w:rPr>
          <w:sz w:val="20"/>
          <w:szCs w:val="20"/>
          <w:color w:val="auto"/>
        </w:rPr>
      </w:pPr>
      <w:r>
        <w:rPr>
          <w:rFonts w:ascii="Arial" w:cs="Arial" w:eastAsia="Arial" w:hAnsi="Arial"/>
          <w:sz w:val="14"/>
          <w:szCs w:val="14"/>
          <w:b w:val="1"/>
          <w:bCs w:val="1"/>
          <w:u w:val="single" w:color="auto"/>
          <w:color w:val="auto"/>
        </w:rPr>
        <w:t>Paid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6350</wp:posOffset>
            </wp:positionV>
            <wp:extent cx="475107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51070" cy="146050"/>
                    </a:xfrm>
                    <a:prstGeom prst="rect">
                      <a:avLst/>
                    </a:prstGeom>
                    <a:noFill/>
                  </pic:spPr>
                </pic:pic>
              </a:graphicData>
            </a:graphic>
          </wp:anchor>
        </w:drawing>
      </w:r>
    </w:p>
    <w:p>
      <w:pPr>
        <w:spacing w:after="0" w:line="5" w:lineRule="exact"/>
        <w:rPr>
          <w:sz w:val="20"/>
          <w:szCs w:val="20"/>
          <w:color w:val="auto"/>
        </w:rPr>
      </w:pPr>
    </w:p>
    <w:p>
      <w:pPr>
        <w:ind w:left="1980"/>
        <w:spacing w:after="0"/>
        <w:tabs>
          <w:tab w:leader="none" w:pos="9240" w:val="left"/>
        </w:tabs>
        <w:rPr>
          <w:sz w:val="20"/>
          <w:szCs w:val="20"/>
          <w:color w:val="auto"/>
        </w:rPr>
      </w:pPr>
      <w:r>
        <w:rPr>
          <w:rFonts w:ascii="Arial" w:cs="Arial" w:eastAsia="Arial" w:hAnsi="Arial"/>
          <w:sz w:val="18"/>
          <w:szCs w:val="18"/>
          <w:color w:val="auto"/>
        </w:rPr>
        <w:t>Per note</w:t>
      </w:r>
      <w:r>
        <w:rPr>
          <w:sz w:val="20"/>
          <w:szCs w:val="20"/>
          <w:color w:val="auto"/>
        </w:rPr>
        <w:tab/>
      </w:r>
      <w:r>
        <w:rPr>
          <w:rFonts w:ascii="Arial" w:cs="Arial" w:eastAsia="Arial" w:hAnsi="Arial"/>
          <w:sz w:val="15"/>
          <w:szCs w:val="15"/>
          <w:color w:val="auto"/>
        </w:rPr>
        <w:t>%</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2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In connection with this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this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this offering is in progress.</w:t>
      </w:r>
    </w:p>
    <w:p>
      <w:pPr>
        <w:spacing w:after="0" w:line="193" w:lineRule="exact"/>
        <w:rPr>
          <w:sz w:val="20"/>
          <w:szCs w:val="20"/>
          <w:color w:val="auto"/>
        </w:rPr>
      </w:pPr>
    </w:p>
    <w:p>
      <w:pPr>
        <w:ind w:left="200" w:right="20"/>
        <w:spacing w:after="0" w:line="342" w:lineRule="auto"/>
        <w:rPr>
          <w:sz w:val="20"/>
          <w:szCs w:val="20"/>
          <w:color w:val="auto"/>
        </w:rPr>
      </w:pPr>
      <w:r>
        <w:rPr>
          <w:rFonts w:ascii="Arial" w:cs="Arial" w:eastAsia="Arial" w:hAnsi="Arial"/>
          <w:sz w:val="16"/>
          <w:szCs w:val="16"/>
          <w:color w:val="auto"/>
        </w:rPr>
        <w:t>The underwriters also may impose penalty bids.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124"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200" w:right="40"/>
        <w:spacing w:after="0" w:line="312" w:lineRule="auto"/>
        <w:rPr>
          <w:sz w:val="20"/>
          <w:szCs w:val="20"/>
          <w:color w:val="auto"/>
        </w:rPr>
      </w:pPr>
      <w:r>
        <w:rPr>
          <w:rFonts w:ascii="Arial" w:cs="Arial" w:eastAsia="Arial" w:hAnsi="Arial"/>
          <w:sz w:val="16"/>
          <w:szCs w:val="16"/>
          <w:color w:val="auto"/>
        </w:rPr>
        <w:t>Affiliates of certain of the underwriters are lenders under our revolving credit facility and will receive a pro rata portion of the net proceeds used to repay amounts outstanding thereunder. Nonetheless, in accordance with Rule 5121 of the Financial Industry Regulatory Authority Inc., the appointment of a qualified independent underwriter is not necessary in connection with this offering because, as a REIT, we are excluded from that requirement.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Certain of the underwriters and their affiliates have engaged in, and may in the future engage in, investment banking, commercial banking and other commercial dealings in the ordinary course of business with us or our affiliates. U.S. Bank National Association, the trustee under the indenture, is an affiliate of U.S. Bancorp Investments, Inc., one of the underwriters.</w:t>
      </w:r>
    </w:p>
    <w:p>
      <w:pPr>
        <w:spacing w:after="0" w:line="181"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In addition, in the ordinary course of their business activities, certain of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affiliates that have a lending relationship with us routinely hedge or may hedge their credit exposure to us consistent with their customary risk management policies. Typically, such underwriters and their affiliates would hedge such credit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or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Indemnity</w:t>
      </w:r>
    </w:p>
    <w:p>
      <w:pPr>
        <w:spacing w:after="0" w:line="121"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80"/>
          </w:cols>
          <w:pgMar w:left="24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jc w:val="both"/>
        <w:ind w:left="200" w:right="540"/>
        <w:spacing w:after="0" w:line="288" w:lineRule="auto"/>
        <w:rPr>
          <w:sz w:val="20"/>
          <w:szCs w:val="20"/>
          <w:color w:val="auto"/>
        </w:rPr>
      </w:pPr>
      <w:r>
        <w:rPr>
          <w:rFonts w:ascii="Arial" w:cs="Arial" w:eastAsia="Arial" w:hAnsi="Arial"/>
          <w:sz w:val="16"/>
          <w:szCs w:val="16"/>
          <w:color w:val="auto"/>
        </w:rPr>
        <w:t>The communication of this prospectus supplement, the accompanying prospectus, any related free writing prospectus, and any other document or materials relating to the issue of the notes offered hereby is not being made, and such documents and/or materials have not been approved, by an authorized person for the purposes of section 21 of the United Kingdom’s Financial Services and Markets Act 2000, as amended (the “FSMA”).</w:t>
      </w:r>
    </w:p>
    <w:p>
      <w:pPr>
        <w:ind w:left="200" w:right="40"/>
        <w:spacing w:after="0" w:line="268" w:lineRule="auto"/>
        <w:rPr>
          <w:sz w:val="20"/>
          <w:szCs w:val="20"/>
          <w:color w:val="auto"/>
        </w:rPr>
      </w:pPr>
      <w:r>
        <w:rPr>
          <w:rFonts w:ascii="Arial" w:cs="Arial" w:eastAsia="Arial" w:hAnsi="Arial"/>
          <w:sz w:val="17"/>
          <w:szCs w:val="17"/>
          <w:color w:val="auto"/>
        </w:rPr>
        <w:t>Accordingly, such documents and/or materials are not being distributed to, and must not be passed on to, the general public in the United Kingdom. The communication of such documents and/or materials as a financial promotion is only being made to those persons in the United Kingdom who have professional experience in matters relating to investments and who fall within the definition of investment professionals (as defined in Article 19(5) of the Financial Services and Markets Act 2000 (Financial Promotion) Order 2005, as amended (the “Financial Promotion Order”)) or who fall within Article 49(2)(a) to (d) of the Financial Promotion Order or who are any other persons to whom it may otherwise lawfully be communicated under the Financial Promotion Order (all such persons being referred to as “relevant persons”). In the United Kingdom, the notes are only available to, and any investment or investment activity to which this prospectus supplement and the accompanying prospectus relate will be engaged in only with, relevant persons. Any person in the United Kingdom who is not a relevant person should not act or rely on this prospectus supplement or the accompanying prospectus or any of their contents.</w:t>
      </w:r>
    </w:p>
    <w:p>
      <w:pPr>
        <w:spacing w:after="0" w:line="182" w:lineRule="exact"/>
        <w:rPr>
          <w:sz w:val="20"/>
          <w:szCs w:val="20"/>
          <w:color w:val="auto"/>
        </w:rPr>
      </w:pPr>
    </w:p>
    <w:p>
      <w:pPr>
        <w:jc w:val="both"/>
        <w:ind w:left="200" w:right="200"/>
        <w:spacing w:after="0" w:line="264" w:lineRule="auto"/>
        <w:rPr>
          <w:sz w:val="20"/>
          <w:szCs w:val="20"/>
          <w:color w:val="auto"/>
        </w:rPr>
      </w:pPr>
      <w:r>
        <w:rPr>
          <w:rFonts w:ascii="Arial" w:cs="Arial" w:eastAsia="Arial" w:hAnsi="Arial"/>
          <w:sz w:val="18"/>
          <w:szCs w:val="18"/>
          <w:color w:val="auto"/>
        </w:rPr>
        <w:t>Any invitation or inducement to engage in investment activity (within the meaning of Section 21 of the FSMA) in connection with the issue or sale of the notes may only be communicated or caused to be communicated in circumstances in which Section 21(1) of the FSMA does not apply to Federal Realty Investment Trust.</w:t>
      </w:r>
    </w:p>
    <w:p>
      <w:pPr>
        <w:spacing w:after="0" w:line="181"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All applicable provisions of the FSMA must be complied with in respect to anything done by any person in relation to the notes in, from or otherwise involving the United Kingdom.</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17"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Neither this prospectus supplement nor the accompanying prospectus and any related free writing prospectus is a prospectus for the purposes of the Prospectus Regulation (as defined below). This prospectus supplement, the accompanying prospectus and any related free writing prospectus have been prepared on the basis that any offer of notes in any Member State of the European Economic Area (the “EEA”) will only be made to a legal entity which is a qualified investor under the Prospectus Regulation (“Qualified Investors”). Accordingly any person making or intending to make an offer in that Member State of notes which are the subject of the offering contemplated in this prospectus supplement, the accompanying prospectus and any related free writing prospectus may only do so with respect to Qualified Investors. Neither Federal Realty Investment Trust nor the underwriters have authorized, nor do they authorize, the making of any offer of notes other than to Qualified Investors. The expression “Prospectus Regulation” means Regulation (EU) 2017/1129.</w:t>
      </w:r>
    </w:p>
    <w:p>
      <w:pPr>
        <w:spacing w:after="0" w:line="192" w:lineRule="exact"/>
        <w:rPr>
          <w:sz w:val="20"/>
          <w:szCs w:val="20"/>
          <w:color w:val="auto"/>
        </w:rPr>
      </w:pPr>
    </w:p>
    <w:p>
      <w:pPr>
        <w:ind w:left="200" w:right="20"/>
        <w:spacing w:after="0" w:line="253" w:lineRule="auto"/>
        <w:rPr>
          <w:sz w:val="20"/>
          <w:szCs w:val="20"/>
          <w:color w:val="auto"/>
        </w:rPr>
      </w:pPr>
      <w:r>
        <w:rPr>
          <w:rFonts w:ascii="Arial" w:cs="Arial" w:eastAsia="Arial" w:hAnsi="Arial"/>
          <w:sz w:val="18"/>
          <w:szCs w:val="18"/>
          <w:i w:val="1"/>
          <w:iCs w:val="1"/>
          <w:color w:val="auto"/>
        </w:rPr>
        <w:t xml:space="preserve">Prohibition of Sales to EEA Retail Investors </w:t>
      </w:r>
      <w:r>
        <w:rPr>
          <w:rFonts w:ascii="Arial" w:cs="Arial" w:eastAsia="Arial" w:hAnsi="Arial"/>
          <w:sz w:val="18"/>
          <w:szCs w:val="18"/>
          <w:color w:val="auto"/>
        </w:rPr>
        <w:t>– The notes are not intended to be offered, sold or otherwise made available to and should not be offered,</w:t>
      </w:r>
      <w:r>
        <w:rPr>
          <w:rFonts w:ascii="Arial" w:cs="Arial" w:eastAsia="Arial" w:hAnsi="Arial"/>
          <w:sz w:val="18"/>
          <w:szCs w:val="18"/>
          <w:i w:val="1"/>
          <w:iCs w:val="1"/>
          <w:color w:val="auto"/>
        </w:rPr>
        <w:t xml:space="preserve"> </w:t>
      </w:r>
      <w:r>
        <w:rPr>
          <w:rFonts w:ascii="Arial" w:cs="Arial" w:eastAsia="Arial" w:hAnsi="Arial"/>
          <w:sz w:val="18"/>
          <w:szCs w:val="18"/>
          <w:color w:val="auto"/>
        </w:rPr>
        <w:t>sold or otherwise made available to any retail investor in the EEA. For these purposes: (1) a retail investor means a person who is one (or more) of: (a) a retail client as defined in point (11) of Article 4(1) of Directive 2014/65/EU, as amended (“MiFID II”); or (b) a customer within the meaning of Directive (EU) 2016/97 (the Insurance Distribution Directive), where that customer would not qualify as a professional client as defined in point (10) of Article 4(1) of MiFID II; or (c) not a qualified investor as defined in the Prospectus Regulation; and (2) the expression “offer” includes the communication in any form and by any means of sufficient information on the terms of the offer and the notes to be offered so as to enable an investor to decide to purchase or subscribe for the notes.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Federal Realty Investment Trust does not intend to offer the notes in any Member State other than the United Kingdom.</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17" w:lineRule="exact"/>
        <w:rPr>
          <w:sz w:val="20"/>
          <w:szCs w:val="20"/>
          <w:color w:val="auto"/>
        </w:rPr>
      </w:pPr>
    </w:p>
    <w:p>
      <w:pPr>
        <w:ind w:left="200" w:right="260"/>
        <w:spacing w:after="0" w:line="279" w:lineRule="auto"/>
        <w:rPr>
          <w:sz w:val="20"/>
          <w:szCs w:val="20"/>
          <w:color w:val="auto"/>
        </w:rPr>
      </w:pPr>
      <w:r>
        <w:rPr>
          <w:rFonts w:ascii="Arial" w:cs="Arial" w:eastAsia="Arial" w:hAnsi="Arial"/>
          <w:sz w:val="17"/>
          <w:szCs w:val="17"/>
          <w:color w:val="auto"/>
        </w:rPr>
        <w:t xml:space="preserve">The notes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notes must be made in accordance with an exemption from, or in a transaction not subject to, the prospectus requirements of applicable securities laws.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 audited consolidated financial statements, schedules and management’s assessment of the effectiveness of our internal control over financial reporting incorporated by reference in this prospectus supplement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60"/>
        <w:spacing w:after="0" w:line="276" w:lineRule="auto"/>
        <w:rPr>
          <w:sz w:val="20"/>
          <w:szCs w:val="20"/>
          <w:color w:val="auto"/>
        </w:rPr>
      </w:pPr>
      <w:r>
        <w:rPr>
          <w:rFonts w:ascii="Arial" w:cs="Arial" w:eastAsia="Arial" w:hAnsi="Arial"/>
          <w:sz w:val="17"/>
          <w:szCs w:val="17"/>
          <w:color w:val="auto"/>
        </w:rPr>
        <w:t>The legality of the notes offered by this prospectus supplement will be passed upon for us by Pillsbury Winthrop Shaw Pittman LLP, Washington, DC. In addition, the descriptions of material U.S. federal income tax considerations contained herein under “Additional Material U.S. Federal Income Tax Considerations” and in the accompanying prospectus under “Material Federal Income Tax Considerations” are, to the extent that they constitute matters of law, summaries of legal matters or legal conclusions, based upon the opinion of Pillsbury Winthrop Shaw Pittman LLP, Washington, DC. Sidley Austin LLP, New York, New York, will act as counsel to the underwriters.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172085</wp:posOffset>
            </wp:positionV>
            <wp:extent cx="2246630" cy="909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4663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Debt Securities, Common Shares, Preferred Shares, Depositary Shares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131" w:lineRule="exact"/>
        <w:rPr>
          <w:sz w:val="20"/>
          <w:szCs w:val="20"/>
          <w:color w:val="auto"/>
        </w:rPr>
      </w:pPr>
    </w:p>
    <w:p>
      <w:pPr>
        <w:ind w:left="1000" w:hanging="546"/>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common shares of beneficial interest;</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warrants to purchase our common or preferred shares.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193040</wp:posOffset>
            </wp:positionV>
            <wp:extent cx="15176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Investing in our securities involves risks. See “</w:t>
      </w:r>
      <w:r>
        <w:rPr>
          <w:rFonts w:ascii="Arial" w:cs="Arial" w:eastAsia="Arial" w:hAnsi="Arial"/>
          <w:sz w:val="22"/>
          <w:szCs w:val="22"/>
          <w:b w:val="1"/>
          <w:bCs w:val="1"/>
          <w:u w:val="single" w:color="auto"/>
          <w:color w:val="0000EE"/>
        </w:rPr>
        <w:t>Risk Factors</w:t>
      </w:r>
      <w:r>
        <w:rPr>
          <w:rFonts w:ascii="Arial" w:cs="Arial" w:eastAsia="Arial" w:hAnsi="Arial"/>
          <w:sz w:val="22"/>
          <w:szCs w:val="22"/>
          <w:b w:val="1"/>
          <w:bCs w:val="1"/>
          <w:color w:val="auto"/>
        </w:rPr>
        <w:t>”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46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193675</wp:posOffset>
            </wp:positionV>
            <wp:extent cx="15176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date of this prospectus is May 7, 2018.</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0" w:type="dxa"/>
            <w:vAlign w:val="bottom"/>
            <w:gridSpan w:val="3"/>
          </w:tcPr>
          <w:p>
            <w:pPr>
              <w:jc w:val="right"/>
              <w:ind w:right="47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3980" w:type="dxa"/>
            <w:vAlign w:val="bottom"/>
            <w:gridSpan w:val="12"/>
            <w:vMerge w:val="restart"/>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About this Prospectus</w:t>
              </w:r>
            </w:hyperlink>
          </w:p>
        </w:tc>
        <w:tc>
          <w:tcPr>
            <w:tcW w:w="70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3980" w:type="dxa"/>
            <w:vAlign w:val="bottom"/>
            <w:gridSpan w:val="12"/>
            <w:vMerge w:val="continue"/>
          </w:tcPr>
          <w:p>
            <w:pPr>
              <w:spacing w:after="0"/>
              <w:rPr>
                <w:sz w:val="13"/>
                <w:szCs w:val="13"/>
                <w:color w:val="auto"/>
              </w:rPr>
            </w:pPr>
          </w:p>
        </w:tc>
        <w:tc>
          <w:tcPr>
            <w:tcW w:w="708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980" w:type="dxa"/>
            <w:vAlign w:val="bottom"/>
            <w:gridSpan w:val="1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Forward-Looking Statements</w:t>
              </w:r>
            </w:hyperlink>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5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Prospectus Summary</w:t>
              </w:r>
            </w:hyperlink>
          </w:p>
        </w:tc>
        <w:tc>
          <w:tcPr>
            <w:tcW w:w="540" w:type="dxa"/>
            <w:vAlign w:val="bottom"/>
            <w:tcBorders>
              <w:top w:val="single" w:sz="8" w:color="0000EE"/>
            </w:tcBorders>
          </w:tcPr>
          <w:p>
            <w:pPr>
              <w:spacing w:after="0"/>
              <w:rPr>
                <w:sz w:val="24"/>
                <w:szCs w:val="24"/>
                <w:color w:val="auto"/>
              </w:rPr>
            </w:pPr>
          </w:p>
        </w:tc>
        <w:tc>
          <w:tcPr>
            <w:tcW w:w="1860" w:type="dxa"/>
            <w:vAlign w:val="bottom"/>
            <w:gridSpan w:val="5"/>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9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Risk Factors</w:t>
              </w:r>
            </w:hyperlink>
          </w:p>
        </w:tc>
        <w:tc>
          <w:tcPr>
            <w:tcW w:w="3060" w:type="dxa"/>
            <w:vAlign w:val="bottom"/>
            <w:gridSpan w:val="10"/>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18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Use of Proceeds</w:t>
              </w:r>
            </w:hyperlink>
          </w:p>
        </w:tc>
        <w:tc>
          <w:tcPr>
            <w:tcW w:w="2800" w:type="dxa"/>
            <w:vAlign w:val="bottom"/>
            <w:gridSpan w:val="8"/>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22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Description of Debt Securities</w:t>
              </w:r>
            </w:hyperlink>
          </w:p>
        </w:tc>
        <w:tc>
          <w:tcPr>
            <w:tcW w:w="1780" w:type="dxa"/>
            <w:vAlign w:val="bottom"/>
            <w:gridSpan w:val="4"/>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314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Description of Shares of Beneficial Interest</w:t>
              </w:r>
            </w:hyperlink>
          </w:p>
        </w:tc>
        <w:tc>
          <w:tcPr>
            <w:tcW w:w="840" w:type="dxa"/>
            <w:vAlign w:val="bottom"/>
            <w:gridSpan w:val="2"/>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3980" w:type="dxa"/>
            <w:vAlign w:val="bottom"/>
            <w:gridSpan w:val="12"/>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Material Federal Income Tax Considerations</w:t>
              </w:r>
            </w:hyperlink>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4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3"/>
              </w:rPr>
            </w:pPr>
            <w:hyperlink w:anchor="page79">
              <w:r>
                <w:rPr>
                  <w:rFonts w:ascii="Arial" w:cs="Arial" w:eastAsia="Arial" w:hAnsi="Arial"/>
                  <w:sz w:val="18"/>
                  <w:szCs w:val="18"/>
                  <w:color w:val="0000EE"/>
                  <w:w w:val="93"/>
                </w:rPr>
                <w:t>Plan of Distribution</w:t>
              </w:r>
            </w:hyperlink>
          </w:p>
        </w:tc>
        <w:tc>
          <w:tcPr>
            <w:tcW w:w="1780" w:type="dxa"/>
            <w:vAlign w:val="bottom"/>
            <w:tcBorders>
              <w:top w:val="single" w:sz="8" w:color="0000EE"/>
            </w:tcBorders>
            <w:gridSpan w:val="6"/>
          </w:tcPr>
          <w:p>
            <w:pPr>
              <w:spacing w:after="0"/>
              <w:rPr>
                <w:sz w:val="24"/>
                <w:szCs w:val="24"/>
                <w:color w:val="auto"/>
              </w:rPr>
            </w:pPr>
          </w:p>
        </w:tc>
        <w:tc>
          <w:tcPr>
            <w:tcW w:w="760" w:type="dxa"/>
            <w:vAlign w:val="bottom"/>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04"/>
        </w:trPr>
        <w:tc>
          <w:tcPr>
            <w:tcW w:w="10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80">
              <w:r>
                <w:rPr>
                  <w:rFonts w:ascii="Arial" w:cs="Arial" w:eastAsia="Arial" w:hAnsi="Arial"/>
                  <w:sz w:val="18"/>
                  <w:szCs w:val="18"/>
                  <w:color w:val="0000EE"/>
                  <w:w w:val="91"/>
                </w:rPr>
                <w:t>Legal Matters</w:t>
              </w:r>
            </w:hyperlink>
          </w:p>
        </w:tc>
        <w:tc>
          <w:tcPr>
            <w:tcW w:w="2960" w:type="dxa"/>
            <w:vAlign w:val="bottom"/>
            <w:gridSpan w:val="9"/>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04"/>
        </w:trPr>
        <w:tc>
          <w:tcPr>
            <w:tcW w:w="560" w:type="dxa"/>
            <w:vAlign w:val="bottom"/>
            <w:tcBorders>
              <w:bottom w:val="single" w:sz="8" w:color="0000EE"/>
            </w:tcBorders>
          </w:tcPr>
          <w:p>
            <w:pPr>
              <w:spacing w:after="0"/>
              <w:rPr>
                <w:rFonts w:ascii="Arial" w:cs="Arial" w:eastAsia="Arial" w:hAnsi="Arial"/>
                <w:sz w:val="18"/>
                <w:szCs w:val="18"/>
                <w:color w:val="0000EE"/>
                <w:w w:val="88"/>
              </w:rPr>
            </w:pPr>
            <w:hyperlink w:anchor="page81">
              <w:r>
                <w:rPr>
                  <w:rFonts w:ascii="Arial" w:cs="Arial" w:eastAsia="Arial" w:hAnsi="Arial"/>
                  <w:sz w:val="18"/>
                  <w:szCs w:val="18"/>
                  <w:color w:val="0000EE"/>
                  <w:w w:val="88"/>
                </w:rPr>
                <w:t>Experts</w:t>
              </w:r>
            </w:hyperlink>
          </w:p>
        </w:tc>
        <w:tc>
          <w:tcPr>
            <w:tcW w:w="3420" w:type="dxa"/>
            <w:vAlign w:val="bottom"/>
            <w:gridSpan w:val="11"/>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4"/>
        </w:trPr>
        <w:tc>
          <w:tcPr>
            <w:tcW w:w="3980" w:type="dxa"/>
            <w:vAlign w:val="bottom"/>
            <w:gridSpan w:val="12"/>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Where You Can Find More Information</w:t>
              </w:r>
            </w:hyperlink>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85"/>
        </w:trPr>
        <w:tc>
          <w:tcPr>
            <w:tcW w:w="5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0" w:type="dxa"/>
            <w:vAlign w:val="bottom"/>
            <w:gridSpan w:val="3"/>
          </w:tcPr>
          <w:p>
            <w:pPr>
              <w:jc w:val="right"/>
              <w:ind w:right="564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6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6503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66503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38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California, and South Florida. As of March 31, 2018, we owned or had a majority interest in community and neighborhood shopping centers and mixed-use properties which are operated as 104 predominantly retail real estate projects comprising approximately 24.2 million square feet. In total, the real estate projects were 94.8% leased and 93.3% occupied at March 31, 2018. We have paid quarterly dividends to our shareholders continuously since our founding in 1962 and have increased our dividends per common share for 50 consecutive years.</w:t>
      </w:r>
    </w:p>
    <w:p>
      <w:pPr>
        <w:spacing w:after="0" w:line="16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have qualified for taxation as a REIT pursuant to the Internal Revenue Code of 1986, as amended, or the Code, since we were founded, and we intend to operate in a manner that will allow us to maintain such qualification.</w:t>
      </w:r>
    </w:p>
    <w:p>
      <w:pPr>
        <w:spacing w:after="0" w:line="17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 xml:space="preserve">We were founded in 1962 as a REIT under the laws of the District of Columbia and re-formed as a real estate investment trust in the state of Maryland in 1999. Our principal executive offices are located at 1626 East Jefferson Street, Rockville, Maryland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39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Ratios of Earnings to Fixed Charges and Combined Fixed Charges and Preferred Share Dividends</w:t>
      </w:r>
    </w:p>
    <w:p>
      <w:pPr>
        <w:spacing w:after="0" w:line="229"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following table sets forth our historical ratios of earnings to fixed charges and combined Fixed Charges and preferred share dividends for the periods indicated:</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For the Three Months</w:t>
            </w:r>
          </w:p>
        </w:tc>
        <w:tc>
          <w:tcPr>
            <w:tcW w:w="280" w:type="dxa"/>
            <w:vAlign w:val="bottom"/>
          </w:tcPr>
          <w:p>
            <w:pPr>
              <w:spacing w:after="0"/>
              <w:rPr>
                <w:sz w:val="14"/>
                <w:szCs w:val="14"/>
                <w:color w:val="auto"/>
              </w:rPr>
            </w:pPr>
          </w:p>
        </w:tc>
        <w:tc>
          <w:tcPr>
            <w:tcW w:w="2320" w:type="dxa"/>
            <w:vAlign w:val="bottom"/>
            <w:gridSpan w:val="7"/>
            <w:vMerge w:val="restart"/>
          </w:tcPr>
          <w:p>
            <w:pPr>
              <w:ind w:left="120"/>
              <w:spacing w:after="0"/>
              <w:rPr>
                <w:sz w:val="20"/>
                <w:szCs w:val="20"/>
                <w:color w:val="auto"/>
              </w:rPr>
            </w:pPr>
            <w:r>
              <w:rPr>
                <w:rFonts w:ascii="Arial" w:cs="Arial" w:eastAsia="Arial" w:hAnsi="Arial"/>
                <w:sz w:val="14"/>
                <w:szCs w:val="14"/>
                <w:b w:val="1"/>
                <w:bCs w:val="1"/>
                <w:color w:val="auto"/>
                <w:w w:val="94"/>
              </w:rPr>
              <w:t>For the Years Ended December 31,</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1720" w:type="dxa"/>
            <w:vAlign w:val="bottom"/>
            <w:gridSpan w:val="2"/>
          </w:tcPr>
          <w:p>
            <w:pPr>
              <w:ind w:left="140"/>
              <w:spacing w:after="0"/>
              <w:rPr>
                <w:sz w:val="20"/>
                <w:szCs w:val="20"/>
                <w:color w:val="auto"/>
              </w:rPr>
            </w:pPr>
            <w:r>
              <w:rPr>
                <w:rFonts w:ascii="Arial" w:cs="Arial" w:eastAsia="Arial" w:hAnsi="Arial"/>
                <w:sz w:val="14"/>
                <w:szCs w:val="14"/>
                <w:b w:val="1"/>
                <w:bCs w:val="1"/>
                <w:color w:val="auto"/>
              </w:rPr>
              <w:t>Ended March 31,</w:t>
            </w:r>
          </w:p>
        </w:tc>
        <w:tc>
          <w:tcPr>
            <w:tcW w:w="280" w:type="dxa"/>
            <w:vAlign w:val="bottom"/>
          </w:tcPr>
          <w:p>
            <w:pPr>
              <w:spacing w:after="0"/>
              <w:rPr>
                <w:sz w:val="14"/>
                <w:szCs w:val="14"/>
                <w:color w:val="auto"/>
              </w:rPr>
            </w:pPr>
          </w:p>
        </w:tc>
        <w:tc>
          <w:tcPr>
            <w:tcW w:w="2320" w:type="dxa"/>
            <w:vAlign w:val="bottom"/>
            <w:gridSpan w:val="7"/>
            <w:vMerge w:val="continue"/>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1360" w:type="dxa"/>
            <w:vAlign w:val="bottom"/>
            <w:tcBorders>
              <w:top w:val="single" w:sz="8" w:color="auto"/>
            </w:tcBorders>
          </w:tcPr>
          <w:p>
            <w:pPr>
              <w:jc w:val="right"/>
              <w:ind w:right="461"/>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2017</w:t>
            </w: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2015</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2014</w:t>
            </w:r>
          </w:p>
        </w:tc>
        <w:tc>
          <w:tcPr>
            <w:tcW w:w="3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 share dividends</w:t>
            </w: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ratio of earnings to fixed charges is computed by dividing earnings by fixed charges. In computing the ratio of earnings to fixed charges:</w:t>
      </w:r>
    </w:p>
    <w:p>
      <w:pPr>
        <w:spacing w:after="0" w:line="35" w:lineRule="exact"/>
        <w:rPr>
          <w:sz w:val="20"/>
          <w:szCs w:val="20"/>
          <w:color w:val="auto"/>
        </w:rPr>
      </w:pPr>
    </w:p>
    <w:p>
      <w:pPr>
        <w:ind w:left="200" w:right="120" w:hanging="4"/>
        <w:spacing w:after="0" w:line="254" w:lineRule="auto"/>
        <w:tabs>
          <w:tab w:leader="none" w:pos="4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prepayment charges and the estimated portion of rents payable by us representing interest.</w:t>
      </w:r>
    </w:p>
    <w:p>
      <w:pPr>
        <w:spacing w:after="0" w:line="190" w:lineRule="exact"/>
        <w:rPr>
          <w:sz w:val="20"/>
          <w:szCs w:val="20"/>
          <w:color w:val="auto"/>
        </w:rPr>
      </w:pPr>
    </w:p>
    <w:p>
      <w:pPr>
        <w:ind w:left="200" w:right="160" w:firstLine="441"/>
        <w:spacing w:after="0" w:line="293" w:lineRule="auto"/>
        <w:rPr>
          <w:sz w:val="20"/>
          <w:szCs w:val="20"/>
          <w:color w:val="auto"/>
        </w:rPr>
      </w:pPr>
      <w:r>
        <w:rPr>
          <w:rFonts w:ascii="Arial" w:cs="Arial" w:eastAsia="Arial" w:hAnsi="Arial"/>
          <w:sz w:val="16"/>
          <w:szCs w:val="16"/>
          <w:color w:val="auto"/>
        </w:rPr>
        <w:t>The ratio of earnings to combined fixed charges and preferred share dividends is computed by dividing earnings by the total of fixed charges and preferred share dividends. In computing the ratio of earnings to combined fixed charges and preferred share dividends: (a) earnings consist of income from continuing operations before income or loss from equity investees plus distributed income of equity investees and fixed charges (excluding capitalized interest) less noncontrolling interests of subsidiaries with no fixed charges; (b) fixed charges consist of interest expense including amortization of debt premiums and discounts and issuance costs (including capitalized interest), prepayment charges and the estimated portion of rents payable by us representing interest; and (c) preferred share dividends consist of preferred share dividends and preferred share redemption costs.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Investing in our securities involves risks. Before making an investment decision, please consider the risks described under the caption “Risk Factors” in our Annual Report on Form 10-K for the fiscal year ended December 31, 2017,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76" w:lineRule="exact"/>
        <w:rPr>
          <w:sz w:val="20"/>
          <w:szCs w:val="20"/>
          <w:color w:val="auto"/>
        </w:rPr>
      </w:pPr>
    </w:p>
    <w:p>
      <w:pPr>
        <w:ind w:left="1000" w:hanging="546"/>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funding our development and redevelopment pipeline;</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131" w:lineRule="exact"/>
        <w:rPr>
          <w:sz w:val="20"/>
          <w:szCs w:val="20"/>
          <w:color w:val="auto"/>
        </w:rPr>
      </w:pPr>
    </w:p>
    <w:p>
      <w:pPr>
        <w:ind w:left="1000" w:hanging="546"/>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225"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14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We may incur additional debt, subject to limitations in the agreements governing our credit and other debt facilities and other notes we may have issued.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131" w:lineRule="exact"/>
        <w:rPr>
          <w:sz w:val="20"/>
          <w:szCs w:val="20"/>
          <w:color w:val="auto"/>
        </w:rPr>
      </w:pPr>
    </w:p>
    <w:p>
      <w:pPr>
        <w:ind w:left="1000" w:hanging="546"/>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130" w:lineRule="exact"/>
        <w:rPr>
          <w:rFonts w:ascii="Arial" w:cs="Arial" w:eastAsia="Arial" w:hAnsi="Arial"/>
          <w:sz w:val="18"/>
          <w:szCs w:val="18"/>
          <w:color w:val="auto"/>
        </w:rPr>
      </w:pPr>
    </w:p>
    <w:p>
      <w:pPr>
        <w:ind w:left="1000" w:right="40" w:hanging="546"/>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9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87" w:lineRule="exact"/>
        <w:rPr>
          <w:sz w:val="20"/>
          <w:szCs w:val="20"/>
          <w:color w:val="auto"/>
        </w:rPr>
      </w:pPr>
    </w:p>
    <w:p>
      <w:pPr>
        <w:ind w:left="1000" w:hanging="546"/>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130" w:lineRule="exact"/>
        <w:rPr>
          <w:rFonts w:ascii="Arial" w:cs="Arial" w:eastAsia="Arial" w:hAnsi="Arial"/>
          <w:sz w:val="18"/>
          <w:szCs w:val="18"/>
          <w:color w:val="auto"/>
        </w:rPr>
      </w:pPr>
    </w:p>
    <w:p>
      <w:pPr>
        <w:ind w:left="1000" w:right="820" w:hanging="546"/>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determining such date or dates.</w:t>
      </w:r>
    </w:p>
    <w:p>
      <w:pPr>
        <w:spacing w:after="0" w:line="75" w:lineRule="exact"/>
        <w:rPr>
          <w:rFonts w:ascii="Arial" w:cs="Arial" w:eastAsia="Arial" w:hAnsi="Arial"/>
          <w:sz w:val="18"/>
          <w:szCs w:val="18"/>
          <w:color w:val="auto"/>
        </w:rPr>
      </w:pPr>
    </w:p>
    <w:p>
      <w:pPr>
        <w:ind w:left="1000" w:right="180" w:hanging="546"/>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130" w:lineRule="exact"/>
        <w:rPr>
          <w:rFonts w:ascii="Arial" w:cs="Arial" w:eastAsia="Arial" w:hAnsi="Arial"/>
          <w:sz w:val="18"/>
          <w:szCs w:val="18"/>
          <w:color w:val="auto"/>
        </w:rPr>
      </w:pPr>
    </w:p>
    <w:p>
      <w:pPr>
        <w:ind w:left="1000" w:right="420" w:hanging="546"/>
        <w:spacing w:after="0" w:line="342"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payment, and the basis upon which interest shall be calculated if other than that of a 360-day year of twelve 30-day months.</w:t>
      </w:r>
    </w:p>
    <w:p>
      <w:pPr>
        <w:spacing w:after="0" w:line="29" w:lineRule="exact"/>
        <w:rPr>
          <w:rFonts w:ascii="Arial" w:cs="Arial" w:eastAsia="Arial" w:hAnsi="Arial"/>
          <w:sz w:val="16"/>
          <w:szCs w:val="16"/>
          <w:color w:val="auto"/>
        </w:rPr>
      </w:pPr>
    </w:p>
    <w:p>
      <w:pPr>
        <w:ind w:left="1000" w:right="420" w:hanging="546"/>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the offered debt securities may be surrendered for registration of transfer or exchange.</w:t>
      </w:r>
    </w:p>
    <w:p>
      <w:pPr>
        <w:spacing w:after="0" w:line="75" w:lineRule="exact"/>
        <w:rPr>
          <w:rFonts w:ascii="Arial" w:cs="Arial" w:eastAsia="Arial" w:hAnsi="Arial"/>
          <w:sz w:val="18"/>
          <w:szCs w:val="18"/>
          <w:color w:val="auto"/>
        </w:rPr>
      </w:pPr>
    </w:p>
    <w:p>
      <w:pPr>
        <w:ind w:left="1000" w:right="20" w:hanging="546"/>
        <w:spacing w:after="0" w:line="264"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46" w:lineRule="exact"/>
        <w:rPr>
          <w:rFonts w:ascii="Arial" w:cs="Arial" w:eastAsia="Arial" w:hAnsi="Arial"/>
          <w:sz w:val="18"/>
          <w:szCs w:val="18"/>
          <w:color w:val="auto"/>
        </w:rPr>
      </w:pPr>
    </w:p>
    <w:p>
      <w:pPr>
        <w:ind w:left="1000" w:right="360" w:hanging="546"/>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Mandatory Redemption. </w:t>
      </w:r>
      <w:r>
        <w:rPr>
          <w:rFonts w:ascii="Arial" w:cs="Arial" w:eastAsia="Arial" w:hAnsi="Arial"/>
          <w:sz w:val="18"/>
          <w:szCs w:val="18"/>
          <w:color w:val="auto"/>
        </w:rPr>
        <w:t>The obligation, if any, we have to redeem or repurchase the offered debt securities pursuant to any sinking fund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similar provisions or upon the happening of a specified event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40" w:right="220"/>
        <w:spacing w:after="0" w:line="264" w:lineRule="auto"/>
        <w:rPr>
          <w:sz w:val="20"/>
          <w:szCs w:val="20"/>
          <w:color w:val="auto"/>
        </w:rPr>
      </w:pPr>
      <w:r>
        <w:rPr>
          <w:rFonts w:ascii="Arial" w:cs="Arial" w:eastAsia="Arial" w:hAnsi="Arial"/>
          <w:sz w:val="18"/>
          <w:szCs w:val="18"/>
          <w:color w:val="auto"/>
        </w:rPr>
        <w:t>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87" w:lineRule="exact"/>
        <w:rPr>
          <w:sz w:val="20"/>
          <w:szCs w:val="20"/>
          <w:color w:val="auto"/>
        </w:rPr>
      </w:pPr>
    </w:p>
    <w:p>
      <w:pPr>
        <w:ind w:left="1000" w:hanging="546"/>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130" w:lineRule="exact"/>
        <w:rPr>
          <w:rFonts w:ascii="Arial" w:cs="Arial" w:eastAsia="Arial" w:hAnsi="Arial"/>
          <w:sz w:val="18"/>
          <w:szCs w:val="18"/>
          <w:color w:val="auto"/>
        </w:rPr>
      </w:pPr>
    </w:p>
    <w:p>
      <w:pPr>
        <w:jc w:val="both"/>
        <w:ind w:left="1000" w:right="60" w:hanging="546"/>
        <w:spacing w:after="0" w:line="279"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Currency. </w:t>
      </w:r>
      <w:r>
        <w:rPr>
          <w:rFonts w:ascii="Arial" w:cs="Arial" w:eastAsia="Arial" w:hAnsi="Arial"/>
          <w:sz w:val="17"/>
          <w:szCs w:val="17"/>
          <w:color w:val="auto"/>
        </w:rPr>
        <w:t>The currency or currency unit in which the offered debt securities may be denominated and/or the currency or currencies,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76" w:lineRule="exact"/>
        <w:rPr>
          <w:rFonts w:ascii="Arial" w:cs="Arial" w:eastAsia="Arial" w:hAnsi="Arial"/>
          <w:sz w:val="17"/>
          <w:szCs w:val="17"/>
          <w:color w:val="auto"/>
        </w:rPr>
      </w:pPr>
    </w:p>
    <w:p>
      <w:pPr>
        <w:ind w:left="1000" w:hanging="546"/>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an index or pursuant to a formula or other method, the manner in which such amounts will be determined.</w:t>
      </w:r>
    </w:p>
    <w:p>
      <w:pPr>
        <w:spacing w:after="0" w:line="75" w:lineRule="exact"/>
        <w:rPr>
          <w:rFonts w:ascii="Arial" w:cs="Arial" w:eastAsia="Arial" w:hAnsi="Arial"/>
          <w:sz w:val="18"/>
          <w:szCs w:val="18"/>
          <w:color w:val="auto"/>
        </w:rPr>
      </w:pPr>
    </w:p>
    <w:p>
      <w:pPr>
        <w:ind w:left="1000" w:right="400" w:hanging="546"/>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or the method by which such portion shall be determined.</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Special Rights. </w:t>
      </w:r>
      <w:r>
        <w:rPr>
          <w:rFonts w:ascii="Arial" w:cs="Arial" w:eastAsia="Arial" w:hAnsi="Arial"/>
          <w:sz w:val="17"/>
          <w:szCs w:val="17"/>
          <w:color w:val="auto"/>
        </w:rPr>
        <w:t>Provisions, if any, granting special rights to the holders of the offered debt securities if certain specified events occur.</w:t>
      </w:r>
    </w:p>
    <w:p>
      <w:pPr>
        <w:spacing w:after="0" w:line="142" w:lineRule="exact"/>
        <w:rPr>
          <w:rFonts w:ascii="Arial" w:cs="Arial" w:eastAsia="Arial" w:hAnsi="Arial"/>
          <w:sz w:val="17"/>
          <w:szCs w:val="17"/>
          <w:color w:val="auto"/>
        </w:rPr>
      </w:pPr>
    </w:p>
    <w:p>
      <w:pPr>
        <w:ind w:left="1000" w:right="500" w:hanging="546"/>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indenture with respect to the offered debt securities.</w:t>
      </w:r>
    </w:p>
    <w:p>
      <w:pPr>
        <w:spacing w:after="0" w:line="75" w:lineRule="exact"/>
        <w:rPr>
          <w:rFonts w:ascii="Arial" w:cs="Arial" w:eastAsia="Arial" w:hAnsi="Arial"/>
          <w:sz w:val="18"/>
          <w:szCs w:val="18"/>
          <w:color w:val="auto"/>
        </w:rPr>
      </w:pPr>
    </w:p>
    <w:p>
      <w:pPr>
        <w:ind w:left="1000" w:right="560" w:hanging="546"/>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persons for taxes, assessments or similar charges.</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130" w:lineRule="exact"/>
        <w:rPr>
          <w:rFonts w:ascii="Arial" w:cs="Arial" w:eastAsia="Arial" w:hAnsi="Arial"/>
          <w:sz w:val="18"/>
          <w:szCs w:val="18"/>
          <w:color w:val="auto"/>
        </w:rPr>
      </w:pPr>
    </w:p>
    <w:p>
      <w:pPr>
        <w:ind w:left="1000" w:right="840" w:hanging="546"/>
        <w:spacing w:after="0" w:line="308"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Dates of Certificates. </w:t>
      </w:r>
      <w:r>
        <w:rPr>
          <w:rFonts w:ascii="Arial" w:cs="Arial" w:eastAsia="Arial" w:hAnsi="Arial"/>
          <w:sz w:val="17"/>
          <w:szCs w:val="17"/>
          <w:color w:val="auto"/>
        </w:rPr>
        <w:t>The date as of which any offered debt securities in bearer form and any temporary global security representing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outstanding securities are dated, if other than the original issuance date of the offered debt securities.</w:t>
      </w:r>
    </w:p>
    <w:p>
      <w:pPr>
        <w:spacing w:after="0" w:line="51" w:lineRule="exact"/>
        <w:rPr>
          <w:rFonts w:ascii="Arial" w:cs="Arial" w:eastAsia="Arial" w:hAnsi="Arial"/>
          <w:sz w:val="17"/>
          <w:szCs w:val="17"/>
          <w:color w:val="auto"/>
        </w:rPr>
      </w:pPr>
    </w:p>
    <w:p>
      <w:pPr>
        <w:ind w:left="1000" w:hanging="546"/>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130" w:lineRule="exact"/>
        <w:rPr>
          <w:rFonts w:ascii="Arial" w:cs="Arial" w:eastAsia="Arial" w:hAnsi="Arial"/>
          <w:sz w:val="18"/>
          <w:szCs w:val="18"/>
          <w:color w:val="auto"/>
        </w:rPr>
      </w:pPr>
    </w:p>
    <w:p>
      <w:pPr>
        <w:ind w:left="1000" w:right="220" w:hanging="546"/>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130" w:lineRule="exact"/>
        <w:rPr>
          <w:rFonts w:ascii="Arial" w:cs="Arial" w:eastAsia="Arial" w:hAnsi="Arial"/>
          <w:sz w:val="18"/>
          <w:szCs w:val="18"/>
          <w:color w:val="auto"/>
        </w:rPr>
      </w:pPr>
    </w:p>
    <w:p>
      <w:pPr>
        <w:ind w:left="1000" w:right="100" w:hanging="546"/>
        <w:spacing w:after="0" w:line="259"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92" w:lineRule="exact"/>
        <w:rPr>
          <w:rFonts w:ascii="Arial" w:cs="Arial" w:eastAsia="Arial" w:hAnsi="Arial"/>
          <w:sz w:val="18"/>
          <w:szCs w:val="18"/>
          <w:color w:val="auto"/>
        </w:rPr>
      </w:pPr>
    </w:p>
    <w:p>
      <w:pPr>
        <w:ind w:left="1000" w:right="40" w:hanging="546"/>
        <w:spacing w:after="0" w:line="264"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of certain certificates or other documents or satisfaction of other conditions in addition to those specified in the applicable indenture, the form of those certificates, documents or conditions.</w:t>
      </w:r>
    </w:p>
    <w:p>
      <w:pPr>
        <w:spacing w:after="0" w:line="86" w:lineRule="exact"/>
        <w:rPr>
          <w:rFonts w:ascii="Arial" w:cs="Arial" w:eastAsia="Arial" w:hAnsi="Arial"/>
          <w:sz w:val="18"/>
          <w:szCs w:val="18"/>
          <w:color w:val="auto"/>
        </w:rPr>
      </w:pPr>
    </w:p>
    <w:p>
      <w:pPr>
        <w:ind w:left="1000" w:right="320" w:hanging="546"/>
        <w:spacing w:after="0" w:line="308"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Payees. </w:t>
      </w:r>
      <w:r>
        <w:rPr>
          <w:rFonts w:ascii="Arial" w:cs="Arial" w:eastAsia="Arial" w:hAnsi="Arial"/>
          <w:sz w:val="17"/>
          <w:szCs w:val="17"/>
          <w:color w:val="auto"/>
        </w:rPr>
        <w:t>If other than as provided in the applicable indenture, the person to whom any interest on any registered security of the series will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payable and the manner in which, or the person to whom, any interest on any bearer securities of the series will be payable.</w:t>
      </w:r>
    </w:p>
    <w:p>
      <w:pPr>
        <w:spacing w:after="0" w:line="51" w:lineRule="exact"/>
        <w:rPr>
          <w:rFonts w:ascii="Arial" w:cs="Arial" w:eastAsia="Arial" w:hAnsi="Arial"/>
          <w:sz w:val="17"/>
          <w:szCs w:val="17"/>
          <w:color w:val="auto"/>
        </w:rPr>
      </w:pPr>
    </w:p>
    <w:p>
      <w:pPr>
        <w:ind w:left="1000" w:right="200" w:hanging="546"/>
        <w:spacing w:after="0" w:line="308"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Definitions. </w:t>
      </w:r>
      <w:r>
        <w:rPr>
          <w:rFonts w:ascii="Arial" w:cs="Arial" w:eastAsia="Arial" w:hAnsi="Arial"/>
          <w:sz w:val="17"/>
          <w:szCs w:val="17"/>
          <w:color w:val="auto"/>
        </w:rPr>
        <w:t>Any definitions for the offered debt securities of that series that are different from or in addition to the definitions included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indenture, including, without limitation, the definition of “unrestricted subsidiary” to be used for such series.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hanging="546"/>
        <w:spacing w:after="0" w:line="342"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any subordinated indenture that we may enter into, the relative degree to which the offered debt securities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to or junior to other debt securities, whether currently outstanding or to be offered in the future, and to other debt, in right of payment.</w:t>
      </w:r>
    </w:p>
    <w:p>
      <w:pPr>
        <w:spacing w:after="0" w:line="29" w:lineRule="exact"/>
        <w:rPr>
          <w:rFonts w:ascii="Arial" w:cs="Arial" w:eastAsia="Arial" w:hAnsi="Arial"/>
          <w:sz w:val="16"/>
          <w:szCs w:val="16"/>
          <w:color w:val="auto"/>
        </w:rPr>
      </w:pPr>
    </w:p>
    <w:p>
      <w:pPr>
        <w:ind w:left="1000" w:right="80" w:hanging="546"/>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Whether the offered debt securities are guaranteed and, if so, the identity of the guarantors and the terms of the offered guarantees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whether and the extent to which the guarantees are subordinated to other debt of the guarantors).</w:t>
      </w:r>
    </w:p>
    <w:p>
      <w:pPr>
        <w:spacing w:after="0" w:line="75" w:lineRule="exact"/>
        <w:rPr>
          <w:rFonts w:ascii="Arial" w:cs="Arial" w:eastAsia="Arial" w:hAnsi="Arial"/>
          <w:sz w:val="18"/>
          <w:szCs w:val="18"/>
          <w:color w:val="auto"/>
        </w:rPr>
      </w:pPr>
    </w:p>
    <w:p>
      <w:pPr>
        <w:jc w:val="both"/>
        <w:ind w:left="1000" w:right="40" w:hanging="546"/>
        <w:spacing w:after="0" w:line="286" w:lineRule="auto"/>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Conversion. </w:t>
      </w:r>
      <w:r>
        <w:rPr>
          <w:rFonts w:ascii="Arial" w:cs="Arial" w:eastAsia="Arial" w:hAnsi="Arial"/>
          <w:sz w:val="17"/>
          <w:szCs w:val="17"/>
          <w:color w:val="auto"/>
        </w:rPr>
        <w:t>The terms, if any, upon which the offered debt securities may be converted or exchanged into or for our common shares, preferred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70" w:lineRule="exact"/>
        <w:rPr>
          <w:rFonts w:ascii="Arial" w:cs="Arial" w:eastAsia="Arial" w:hAnsi="Arial"/>
          <w:sz w:val="17"/>
          <w:szCs w:val="17"/>
          <w:color w:val="auto"/>
        </w:rPr>
      </w:pPr>
    </w:p>
    <w:p>
      <w:pPr>
        <w:ind w:left="1000" w:hanging="546"/>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130" w:lineRule="exact"/>
        <w:rPr>
          <w:rFonts w:ascii="Arial" w:cs="Arial" w:eastAsia="Arial" w:hAnsi="Arial"/>
          <w:sz w:val="18"/>
          <w:szCs w:val="18"/>
          <w:color w:val="auto"/>
        </w:rPr>
      </w:pPr>
    </w:p>
    <w:p>
      <w:pPr>
        <w:ind w:left="1000" w:right="60" w:hanging="546"/>
        <w:spacing w:after="0" w:line="342"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required or advisable under U.S. laws or regulations or advisable, as we determine, in connection with marketing of securities of the series.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Debt securities may be offered in either registered or bearer form.</w:t>
      </w:r>
    </w:p>
    <w:p>
      <w:pPr>
        <w:spacing w:after="0" w:line="131" w:lineRule="exact"/>
        <w:rPr>
          <w:sz w:val="20"/>
          <w:szCs w:val="20"/>
          <w:color w:val="auto"/>
        </w:rPr>
      </w:pPr>
    </w:p>
    <w:p>
      <w:pPr>
        <w:ind w:left="1000" w:right="240" w:hanging="546"/>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75" w:lineRule="exact"/>
        <w:rPr>
          <w:rFonts w:ascii="Arial" w:cs="Arial" w:eastAsia="Arial" w:hAnsi="Arial"/>
          <w:sz w:val="18"/>
          <w:szCs w:val="18"/>
          <w:color w:val="auto"/>
        </w:rPr>
      </w:pPr>
    </w:p>
    <w:p>
      <w:pPr>
        <w:ind w:left="1000" w:right="100" w:hanging="546"/>
        <w:spacing w:after="0" w:line="312" w:lineRule="auto"/>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Unless we say otherwise in a prospectus supplement, we will issue debt securities in denominations of:</w:t>
      </w:r>
    </w:p>
    <w:p>
      <w:pPr>
        <w:spacing w:after="0" w:line="131" w:lineRule="exact"/>
        <w:rPr>
          <w:sz w:val="20"/>
          <w:szCs w:val="20"/>
          <w:color w:val="auto"/>
        </w:rPr>
      </w:pPr>
    </w:p>
    <w:p>
      <w:pPr>
        <w:ind w:left="1000" w:hanging="546"/>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Currencies and Indexed Securities. </w:t>
      </w:r>
      <w:r>
        <w:rPr>
          <w:rFonts w:ascii="Arial" w:cs="Arial" w:eastAsia="Arial" w:hAnsi="Arial"/>
          <w:sz w:val="18"/>
          <w:szCs w:val="18"/>
          <w:color w:val="auto"/>
        </w:rPr>
        <w:t>We may offer debt securities for which:</w:t>
      </w:r>
    </w:p>
    <w:p>
      <w:pPr>
        <w:spacing w:after="0" w:line="131" w:lineRule="exact"/>
        <w:rPr>
          <w:sz w:val="20"/>
          <w:szCs w:val="20"/>
          <w:color w:val="auto"/>
        </w:rPr>
      </w:pPr>
    </w:p>
    <w:p>
      <w:pPr>
        <w:ind w:left="1000" w:hanging="546"/>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other currency may be a currency unit composed of various currencies. Payments on debt securities may also be based on an index.</w:t>
      </w:r>
    </w:p>
    <w:p>
      <w:pPr>
        <w:spacing w:after="0" w:line="237"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Payment, Transfer and Exchange. </w:t>
      </w:r>
      <w:r>
        <w:rPr>
          <w:rFonts w:ascii="Arial" w:cs="Arial" w:eastAsia="Arial" w:hAnsi="Arial"/>
          <w:sz w:val="17"/>
          <w:szCs w:val="17"/>
          <w:color w:val="auto"/>
        </w:rPr>
        <w:t>Unless we say otherwise in a prospectus supplement, the office for paying principal, interest and other amounts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debt securities is U.S. Bank National Association, 214 North Tryon Street, 27</w:t>
      </w:r>
      <w:r>
        <w:rPr>
          <w:rFonts w:ascii="Arial" w:cs="Arial" w:eastAsia="Arial" w:hAnsi="Arial"/>
          <w:sz w:val="14"/>
          <w:szCs w:val="14"/>
          <w:color w:val="auto"/>
        </w:rPr>
        <w:t>th</w:t>
      </w:r>
      <w:r>
        <w:rPr>
          <w:rFonts w:ascii="Arial" w:cs="Arial" w:eastAsia="Arial" w:hAnsi="Arial"/>
          <w:sz w:val="17"/>
          <w:szCs w:val="17"/>
          <w:color w:val="auto"/>
        </w:rPr>
        <w:t xml:space="preserve"> Floor, Charlotte, North Carolina 28202. We will notify you of any change in the office’s location. At our option, however, we may make any interest payments on debt securities issued in registered form by:</w:t>
      </w:r>
    </w:p>
    <w:p>
      <w:pPr>
        <w:spacing w:after="0" w:line="71" w:lineRule="exact"/>
        <w:rPr>
          <w:sz w:val="20"/>
          <w:szCs w:val="20"/>
          <w:color w:val="auto"/>
        </w:rPr>
      </w:pPr>
    </w:p>
    <w:p>
      <w:pPr>
        <w:ind w:left="1000" w:hanging="546"/>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series of debt securities; or</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131" w:lineRule="exact"/>
        <w:rPr>
          <w:sz w:val="20"/>
          <w:szCs w:val="20"/>
          <w:color w:val="auto"/>
        </w:rPr>
      </w:pPr>
    </w:p>
    <w:p>
      <w:pPr>
        <w:ind w:left="1000" w:hanging="546"/>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225"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b w:val="1"/>
          <w:bCs w:val="1"/>
          <w:i w:val="1"/>
          <w:iCs w:val="1"/>
          <w:color w:val="auto"/>
        </w:rPr>
        <w:t xml:space="preserve">Existence. </w:t>
      </w:r>
      <w:r>
        <w:rPr>
          <w:rFonts w:ascii="Arial" w:cs="Arial" w:eastAsia="Arial" w:hAnsi="Arial"/>
          <w:sz w:val="17"/>
          <w:szCs w:val="17"/>
          <w:color w:val="auto"/>
        </w:rPr>
        <w:t>Except as permitted under “Consolidation, Merger or Sale of Assets,” we will do or cause to be done all things necessary to preserve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66"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b w:val="1"/>
          <w:bCs w:val="1"/>
          <w:i w:val="1"/>
          <w:iCs w:val="1"/>
          <w:color w:val="auto"/>
        </w:rPr>
        <w:t xml:space="preserve">Maintenance of Properties. </w:t>
      </w:r>
      <w:r>
        <w:rPr>
          <w:rFonts w:ascii="Arial" w:cs="Arial" w:eastAsia="Arial" w:hAnsi="Arial"/>
          <w:sz w:val="17"/>
          <w:szCs w:val="17"/>
          <w:color w:val="auto"/>
        </w:rPr>
        <w:t>We will cause all of our material properties used or useful in the conduct of our business to be maintained and kept in good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of Taxes and Other Claims. </w:t>
      </w:r>
      <w:r>
        <w:rPr>
          <w:rFonts w:ascii="Arial" w:cs="Arial" w:eastAsia="Arial" w:hAnsi="Arial"/>
          <w:sz w:val="18"/>
          <w:szCs w:val="18"/>
          <w:color w:val="auto"/>
        </w:rPr>
        <w:t>We will pay or discharge or cause to be paid or discharged, before they shall become delinquent:</w:t>
      </w:r>
    </w:p>
    <w:p>
      <w:pPr>
        <w:spacing w:after="0" w:line="131" w:lineRule="exact"/>
        <w:rPr>
          <w:sz w:val="20"/>
          <w:szCs w:val="20"/>
          <w:color w:val="auto"/>
        </w:rPr>
      </w:pPr>
    </w:p>
    <w:p>
      <w:pPr>
        <w:ind w:left="1000" w:hanging="546"/>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29" w:lineRule="exact"/>
        <w:rPr>
          <w:sz w:val="20"/>
          <w:szCs w:val="20"/>
          <w:color w:val="auto"/>
        </w:rPr>
      </w:pPr>
    </w:p>
    <w:p>
      <w:pPr>
        <w:jc w:val="both"/>
        <w:ind w:left="1000" w:right="80" w:hanging="546"/>
        <w:spacing w:after="0" w:line="264"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86" w:lineRule="exact"/>
        <w:rPr>
          <w:rFonts w:ascii="Arial" w:cs="Arial" w:eastAsia="Arial" w:hAnsi="Arial"/>
          <w:sz w:val="18"/>
          <w:szCs w:val="18"/>
          <w:color w:val="auto"/>
        </w:rPr>
      </w:pPr>
    </w:p>
    <w:p>
      <w:pPr>
        <w:ind w:left="1000" w:right="160" w:hanging="546"/>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75" w:lineRule="exact"/>
        <w:rPr>
          <w:rFonts w:ascii="Arial" w:cs="Arial" w:eastAsia="Arial" w:hAnsi="Arial"/>
          <w:sz w:val="18"/>
          <w:szCs w:val="18"/>
          <w:color w:val="auto"/>
        </w:rPr>
      </w:pPr>
    </w:p>
    <w:p>
      <w:pPr>
        <w:ind w:left="1000" w:right="580" w:hanging="546"/>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121" w:lineRule="exact"/>
        <w:rPr>
          <w:sz w:val="20"/>
          <w:szCs w:val="20"/>
          <w:color w:val="auto"/>
        </w:rPr>
      </w:pPr>
    </w:p>
    <w:p>
      <w:pPr>
        <w:ind w:right="660" w:firstLine="456"/>
        <w:spacing w:after="0" w:line="34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29" w:lineRule="exact"/>
        <w:rPr>
          <w:sz w:val="20"/>
          <w:szCs w:val="20"/>
          <w:color w:val="auto"/>
        </w:rPr>
      </w:pPr>
    </w:p>
    <w:p>
      <w:pPr>
        <w:ind w:left="1000" w:hanging="546"/>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130" w:lineRule="exact"/>
        <w:rPr>
          <w:rFonts w:ascii="Arial" w:cs="Arial" w:eastAsia="Arial" w:hAnsi="Arial"/>
          <w:sz w:val="18"/>
          <w:szCs w:val="18"/>
          <w:color w:val="auto"/>
        </w:rPr>
      </w:pPr>
    </w:p>
    <w:p>
      <w:pPr>
        <w:ind w:left="1480" w:right="100" w:hanging="446"/>
        <w:spacing w:after="0" w:line="264" w:lineRule="auto"/>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86" w:lineRule="exact"/>
        <w:rPr>
          <w:rFonts w:ascii="Arial" w:cs="Arial" w:eastAsia="Arial" w:hAnsi="Arial"/>
          <w:sz w:val="18"/>
          <w:szCs w:val="18"/>
          <w:color w:val="auto"/>
        </w:rPr>
      </w:pPr>
    </w:p>
    <w:p>
      <w:pPr>
        <w:ind w:left="1000" w:right="720" w:hanging="546"/>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75" w:lineRule="exact"/>
        <w:rPr>
          <w:rFonts w:ascii="Arial" w:cs="Arial" w:eastAsia="Arial" w:hAnsi="Arial"/>
          <w:sz w:val="18"/>
          <w:szCs w:val="18"/>
          <w:color w:val="auto"/>
        </w:rPr>
      </w:pPr>
    </w:p>
    <w:p>
      <w:pPr>
        <w:ind w:left="1000" w:hanging="546"/>
        <w:spacing w:after="0" w:line="259"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b w:val="1"/>
          <w:bCs w:val="1"/>
          <w:i w:val="1"/>
          <w:iCs w:val="1"/>
          <w:color w:val="auto"/>
        </w:rPr>
        <w:t xml:space="preserve">Generally. </w:t>
      </w:r>
      <w:r>
        <w:rPr>
          <w:rFonts w:ascii="Arial" w:cs="Arial" w:eastAsia="Arial" w:hAnsi="Arial"/>
          <w:sz w:val="18"/>
          <w:szCs w:val="18"/>
          <w:color w:val="auto"/>
        </w:rPr>
        <w:t>Unless we say otherwise in a prospectus supplement, the payment of principal, premium, if any, and interest on subordinated debt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8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87" w:lineRule="exact"/>
        <w:rPr>
          <w:sz w:val="20"/>
          <w:szCs w:val="20"/>
          <w:color w:val="auto"/>
        </w:rPr>
      </w:pPr>
    </w:p>
    <w:p>
      <w:pPr>
        <w:ind w:left="1000" w:hanging="546"/>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130" w:lineRule="exact"/>
        <w:rPr>
          <w:rFonts w:ascii="Arial" w:cs="Arial" w:eastAsia="Arial" w:hAnsi="Arial"/>
          <w:sz w:val="18"/>
          <w:szCs w:val="18"/>
          <w:color w:val="auto"/>
        </w:rPr>
      </w:pPr>
    </w:p>
    <w:p>
      <w:pPr>
        <w:ind w:left="1000" w:right="80" w:hanging="546"/>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75" w:lineRule="exact"/>
        <w:rPr>
          <w:rFonts w:ascii="Arial" w:cs="Arial" w:eastAsia="Arial" w:hAnsi="Arial"/>
          <w:sz w:val="18"/>
          <w:szCs w:val="18"/>
          <w:color w:val="auto"/>
        </w:rPr>
      </w:pPr>
    </w:p>
    <w:p>
      <w:pPr>
        <w:ind w:left="1000" w:right="620" w:hanging="546"/>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obligations as lessee under leases of property whether made as part of any sale and leaseback transaction to which we are a party or otherwise;</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130" w:lineRule="exact"/>
        <w:rPr>
          <w:rFonts w:ascii="Arial" w:cs="Arial" w:eastAsia="Arial" w:hAnsi="Arial"/>
          <w:sz w:val="18"/>
          <w:szCs w:val="18"/>
          <w:color w:val="auto"/>
        </w:rPr>
      </w:pPr>
    </w:p>
    <w:p>
      <w:pPr>
        <w:ind w:left="1000" w:right="480" w:hanging="546"/>
        <w:spacing w:after="0" w:line="342" w:lineRule="auto"/>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hanging="546"/>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75" w:lineRule="exact"/>
        <w:rPr>
          <w:rFonts w:ascii="Arial" w:cs="Arial" w:eastAsia="Arial" w:hAnsi="Arial"/>
          <w:sz w:val="18"/>
          <w:szCs w:val="18"/>
          <w:color w:val="auto"/>
        </w:rPr>
      </w:pPr>
    </w:p>
    <w:p>
      <w:pPr>
        <w:ind w:left="1480" w:right="40" w:hanging="446"/>
        <w:spacing w:after="0" w:line="312" w:lineRule="auto"/>
        <w:tabs>
          <w:tab w:leader="none" w:pos="14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52" w:lineRule="exact"/>
        <w:rPr>
          <w:rFonts w:ascii="Arial" w:cs="Arial" w:eastAsia="Arial" w:hAnsi="Arial"/>
          <w:sz w:val="16"/>
          <w:szCs w:val="16"/>
          <w:color w:val="auto"/>
        </w:rPr>
      </w:pPr>
    </w:p>
    <w:p>
      <w:pPr>
        <w:ind w:left="1480" w:right="80" w:hanging="446"/>
        <w:spacing w:after="0" w:line="277" w:lineRule="auto"/>
        <w:tabs>
          <w:tab w:leader="none" w:pos="14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there will be no restrictions in any subordinated indenture upon the creation of additional senior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not:</w:t>
      </w:r>
    </w:p>
    <w:p>
      <w:pPr>
        <w:spacing w:after="0" w:line="76" w:lineRule="exact"/>
        <w:rPr>
          <w:sz w:val="20"/>
          <w:szCs w:val="20"/>
          <w:color w:val="auto"/>
        </w:rPr>
      </w:pPr>
    </w:p>
    <w:p>
      <w:pPr>
        <w:ind w:left="1000" w:hanging="546"/>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225"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We must resume payment on our subordinated debt securities, and make any payments we have missed, when one of the following has occurred:</w:t>
      </w:r>
    </w:p>
    <w:p>
      <w:pPr>
        <w:spacing w:after="0" w:line="142" w:lineRule="exact"/>
        <w:rPr>
          <w:sz w:val="20"/>
          <w:szCs w:val="20"/>
          <w:color w:val="auto"/>
        </w:rPr>
      </w:pPr>
    </w:p>
    <w:p>
      <w:pPr>
        <w:ind w:left="1000" w:hanging="546"/>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or distributing any assets if:</w:t>
      </w:r>
    </w:p>
    <w:p>
      <w:pPr>
        <w:spacing w:after="0" w:line="76" w:lineRule="exact"/>
        <w:rPr>
          <w:sz w:val="20"/>
          <w:szCs w:val="20"/>
          <w:color w:val="auto"/>
        </w:rPr>
      </w:pPr>
    </w:p>
    <w:p>
      <w:pPr>
        <w:ind w:left="1000" w:hanging="546"/>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225"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87" w:lineRule="exact"/>
        <w:rPr>
          <w:sz w:val="20"/>
          <w:szCs w:val="20"/>
          <w:color w:val="auto"/>
        </w:rPr>
      </w:pPr>
    </w:p>
    <w:p>
      <w:pPr>
        <w:ind w:left="1000" w:right="420" w:hanging="546"/>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date that is 179 days after receipt of notice (unless we have previously been required to pay all amounts owing on the applicable senior debt);</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153" w:lineRule="exact"/>
        <w:rPr>
          <w:rFonts w:ascii="Arial" w:cs="Arial" w:eastAsia="Arial" w:hAnsi="Arial"/>
          <w:sz w:val="16"/>
          <w:szCs w:val="16"/>
          <w:color w:val="auto"/>
        </w:rPr>
      </w:pPr>
    </w:p>
    <w:p>
      <w:pPr>
        <w:ind w:left="1000" w:hanging="546"/>
        <w:spacing w:after="0"/>
        <w:tabs>
          <w:tab w:leader="none" w:pos="10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153" w:lineRule="exact"/>
        <w:rPr>
          <w:rFonts w:ascii="Arial" w:cs="Arial" w:eastAsia="Arial" w:hAnsi="Arial"/>
          <w:sz w:val="16"/>
          <w:szCs w:val="16"/>
          <w:color w:val="auto"/>
        </w:rPr>
      </w:pPr>
    </w:p>
    <w:p>
      <w:pPr>
        <w:ind w:left="1000" w:right="120" w:hanging="546"/>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subordinated debt securities:</w:t>
      </w:r>
    </w:p>
    <w:p>
      <w:pPr>
        <w:spacing w:after="0" w:line="170" w:lineRule="exact"/>
        <w:rPr>
          <w:sz w:val="20"/>
          <w:szCs w:val="20"/>
          <w:color w:val="auto"/>
        </w:rPr>
      </w:pPr>
    </w:p>
    <w:p>
      <w:pPr>
        <w:ind w:right="140" w:firstLine="464"/>
        <w:spacing w:after="0" w:line="277" w:lineRule="auto"/>
        <w:tabs>
          <w:tab w:leader="none" w:pos="627"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170" w:lineRule="exact"/>
        <w:rPr>
          <w:rFonts w:ascii="Arial" w:cs="Arial" w:eastAsia="Arial" w:hAnsi="Arial"/>
          <w:sz w:val="18"/>
          <w:szCs w:val="18"/>
          <w:color w:val="auto"/>
        </w:rPr>
      </w:pPr>
    </w:p>
    <w:p>
      <w:pPr>
        <w:ind w:right="280" w:firstLine="464"/>
        <w:spacing w:after="0" w:line="277" w:lineRule="auto"/>
        <w:tabs>
          <w:tab w:leader="none" w:pos="627"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225" w:lineRule="exact"/>
        <w:rPr>
          <w:rFonts w:ascii="Arial" w:cs="Arial" w:eastAsia="Arial" w:hAnsi="Arial"/>
          <w:sz w:val="18"/>
          <w:szCs w:val="18"/>
          <w:color w:val="auto"/>
        </w:rPr>
      </w:pPr>
    </w:p>
    <w:p>
      <w:pPr>
        <w:ind w:firstLine="464"/>
        <w:spacing w:after="0" w:line="264" w:lineRule="auto"/>
        <w:tabs>
          <w:tab w:leader="none" w:pos="627"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181" w:lineRule="exact"/>
        <w:rPr>
          <w:sz w:val="20"/>
          <w:szCs w:val="20"/>
          <w:color w:val="auto"/>
        </w:rPr>
      </w:pPr>
    </w:p>
    <w:p>
      <w:pPr>
        <w:ind w:left="700" w:hanging="236"/>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us and the trustee by the holders of at least 25% in aggregate principal amount of the outstanding debt securities of the series.</w:t>
      </w:r>
    </w:p>
    <w:p>
      <w:pPr>
        <w:spacing w:after="0" w:line="225" w:lineRule="exact"/>
        <w:rPr>
          <w:sz w:val="20"/>
          <w:szCs w:val="20"/>
          <w:color w:val="auto"/>
        </w:rPr>
      </w:pPr>
    </w:p>
    <w:p>
      <w:pPr>
        <w:ind w:right="20" w:firstLine="464"/>
        <w:spacing w:after="0" w:line="271" w:lineRule="auto"/>
        <w:tabs>
          <w:tab w:leader="none" w:pos="633"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78" w:lineRule="exact"/>
        <w:rPr>
          <w:rFonts w:ascii="Arial" w:cs="Arial" w:eastAsia="Arial" w:hAnsi="Arial"/>
          <w:sz w:val="17"/>
          <w:szCs w:val="17"/>
          <w:color w:val="auto"/>
        </w:rPr>
      </w:pPr>
    </w:p>
    <w:p>
      <w:pPr>
        <w:ind w:left="640" w:hanging="17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225" w:lineRule="exact"/>
        <w:rPr>
          <w:sz w:val="20"/>
          <w:szCs w:val="20"/>
          <w:color w:val="auto"/>
        </w:rPr>
      </w:pPr>
    </w:p>
    <w:p>
      <w:pPr>
        <w:ind w:left="700" w:hanging="23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appoints a receiver in respect of us or any of our significant subsidiaries or for all or substantially all of the property of any of us; or</w:t>
      </w:r>
    </w:p>
    <w:p>
      <w:pPr>
        <w:spacing w:after="0" w:line="225" w:lineRule="exact"/>
        <w:rPr>
          <w:rFonts w:ascii="Arial" w:cs="Arial" w:eastAsia="Arial" w:hAnsi="Arial"/>
          <w:sz w:val="18"/>
          <w:szCs w:val="18"/>
          <w:color w:val="auto"/>
        </w:rPr>
      </w:pPr>
    </w:p>
    <w:p>
      <w:pPr>
        <w:jc w:val="center"/>
        <w:ind w:left="5620" w:right="240" w:hanging="5156"/>
        <w:spacing w:after="0" w:line="449" w:lineRule="auto"/>
        <w:tabs>
          <w:tab w:leader="none" w:pos="705" w:val="left"/>
        </w:tabs>
        <w:numPr>
          <w:ilvl w:val="0"/>
          <w:numId w:val="43"/>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 and the order or decree remains unstayed and in effect for 90 days. 10</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 We or any of our significant subsidiaries do any of the following:</w:t>
      </w:r>
    </w:p>
    <w:p>
      <w:pPr>
        <w:spacing w:after="0" w:line="225" w:lineRule="exact"/>
        <w:rPr>
          <w:sz w:val="20"/>
          <w:szCs w:val="20"/>
          <w:color w:val="auto"/>
        </w:rPr>
      </w:pPr>
    </w:p>
    <w:p>
      <w:pPr>
        <w:ind w:left="700" w:hanging="236"/>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225" w:lineRule="exact"/>
        <w:rPr>
          <w:rFonts w:ascii="Arial" w:cs="Arial" w:eastAsia="Arial" w:hAnsi="Arial"/>
          <w:sz w:val="18"/>
          <w:szCs w:val="18"/>
          <w:color w:val="auto"/>
        </w:rPr>
      </w:pPr>
    </w:p>
    <w:p>
      <w:pPr>
        <w:ind w:right="200" w:firstLine="464"/>
        <w:spacing w:after="0" w:line="277" w:lineRule="auto"/>
        <w:tabs>
          <w:tab w:leader="none" w:pos="7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consent to the appointment of a receiver in respect of us or any of our significant subsidiaries for all or substantially all of our or its property; or</w:t>
      </w:r>
    </w:p>
    <w:p>
      <w:pPr>
        <w:spacing w:after="0" w:line="236" w:lineRule="exact"/>
        <w:rPr>
          <w:rFonts w:ascii="Arial" w:cs="Arial" w:eastAsia="Arial" w:hAnsi="Arial"/>
          <w:sz w:val="17"/>
          <w:szCs w:val="17"/>
          <w:color w:val="auto"/>
        </w:rPr>
      </w:pPr>
    </w:p>
    <w:p>
      <w:pPr>
        <w:ind w:left="720" w:hanging="256"/>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 Any other event of default provided with respect to the debt securities of that series.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past default except for:</w:t>
      </w:r>
    </w:p>
    <w:p>
      <w:pPr>
        <w:spacing w:after="0" w:line="76" w:lineRule="exact"/>
        <w:rPr>
          <w:sz w:val="20"/>
          <w:szCs w:val="20"/>
          <w:color w:val="auto"/>
        </w:rPr>
      </w:pPr>
    </w:p>
    <w:p>
      <w:pPr>
        <w:ind w:left="1000" w:hanging="546"/>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225"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or will provide that if an event of default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occurs 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58"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b w:val="1"/>
          <w:bCs w:val="1"/>
          <w:i w:val="1"/>
          <w:iCs w:val="1"/>
          <w:color w:val="auto"/>
        </w:rPr>
        <w:t xml:space="preserve">Waiver of Acceleration. </w:t>
      </w:r>
      <w:r>
        <w:rPr>
          <w:rFonts w:ascii="Arial" w:cs="Arial" w:eastAsia="Arial" w:hAnsi="Arial"/>
          <w:sz w:val="17"/>
          <w:szCs w:val="17"/>
          <w:color w:val="auto"/>
        </w:rPr>
        <w:t>Unless we say otherwise in a prospectus supplement, each indenture provides or will provide that, after a declaration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71" w:lineRule="exact"/>
        <w:rPr>
          <w:sz w:val="20"/>
          <w:szCs w:val="20"/>
          <w:color w:val="auto"/>
        </w:rPr>
      </w:pPr>
    </w:p>
    <w:p>
      <w:pPr>
        <w:ind w:left="1000" w:hanging="546"/>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130" w:lineRule="exact"/>
        <w:rPr>
          <w:rFonts w:ascii="Arial" w:cs="Arial" w:eastAsia="Arial" w:hAnsi="Arial"/>
          <w:sz w:val="18"/>
          <w:szCs w:val="18"/>
          <w:color w:val="auto"/>
        </w:rPr>
      </w:pPr>
    </w:p>
    <w:p>
      <w:pPr>
        <w:ind w:left="1480" w:right="660" w:hanging="446"/>
        <w:spacing w:after="0" w:line="277" w:lineRule="auto"/>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overdue interest and any additional amounts payable on all outstanding debt securities of the applicable series and any related coupons,</w:t>
      </w:r>
    </w:p>
    <w:p>
      <w:pPr>
        <w:spacing w:after="0" w:line="75" w:lineRule="exact"/>
        <w:rPr>
          <w:rFonts w:ascii="Arial" w:cs="Arial" w:eastAsia="Arial" w:hAnsi="Arial"/>
          <w:sz w:val="18"/>
          <w:szCs w:val="18"/>
          <w:color w:val="auto"/>
        </w:rPr>
      </w:pPr>
    </w:p>
    <w:p>
      <w:pPr>
        <w:ind w:left="1480" w:hanging="446"/>
        <w:spacing w:after="0" w:line="277" w:lineRule="auto"/>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46"/>
        </w:numPr>
        <w:rPr>
          <w:rFonts w:ascii="Arial" w:cs="Arial" w:eastAsia="Arial" w:hAnsi="Arial"/>
          <w:sz w:val="17"/>
          <w:szCs w:val="17"/>
          <w:color w:val="auto"/>
        </w:rPr>
      </w:pPr>
      <w:r>
        <w:rPr>
          <w:rFonts w:ascii="Arial" w:cs="Arial" w:eastAsia="Arial" w:hAnsi="Arial"/>
          <w:sz w:val="17"/>
          <w:szCs w:val="17"/>
          <w:color w:val="auto"/>
        </w:rPr>
        <w:t>to the extent that payment of such interest is lawful, interest upon overdue interest at the rate borne by the debt securities, and</w:t>
      </w:r>
    </w:p>
    <w:p>
      <w:pPr>
        <w:spacing w:after="0" w:line="142" w:lineRule="exact"/>
        <w:rPr>
          <w:rFonts w:ascii="Arial" w:cs="Arial" w:eastAsia="Arial" w:hAnsi="Arial"/>
          <w:sz w:val="17"/>
          <w:szCs w:val="17"/>
          <w:color w:val="auto"/>
        </w:rPr>
      </w:pPr>
    </w:p>
    <w:p>
      <w:pPr>
        <w:ind w:left="1480" w:right="120" w:hanging="446"/>
        <w:spacing w:after="0" w:line="277" w:lineRule="auto"/>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75" w:lineRule="exact"/>
        <w:rPr>
          <w:rFonts w:ascii="Arial" w:cs="Arial" w:eastAsia="Arial" w:hAnsi="Arial"/>
          <w:sz w:val="18"/>
          <w:szCs w:val="18"/>
          <w:color w:val="auto"/>
        </w:rPr>
      </w:pPr>
    </w:p>
    <w:p>
      <w:pPr>
        <w:ind w:left="1000" w:right="600" w:hanging="546"/>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7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b w:val="1"/>
          <w:bCs w:val="1"/>
          <w:i w:val="1"/>
          <w:iCs w:val="1"/>
          <w:color w:val="auto"/>
        </w:rPr>
        <w:t xml:space="preserve">Notices of Default. </w:t>
      </w:r>
      <w:r>
        <w:rPr>
          <w:rFonts w:ascii="Arial" w:cs="Arial" w:eastAsia="Arial" w:hAnsi="Arial"/>
          <w:sz w:val="17"/>
          <w:szCs w:val="17"/>
          <w:color w:val="auto"/>
        </w:rPr>
        <w:t>Unless we say otherwise in a prospectus supplement, we are required to deliver to the trustee, on or before a date not more than 120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b w:val="1"/>
          <w:bCs w:val="1"/>
          <w:i w:val="1"/>
          <w:iCs w:val="1"/>
          <w:color w:val="auto"/>
        </w:rPr>
        <w:t xml:space="preserve">Limitation on Suits. </w:t>
      </w:r>
      <w:r>
        <w:rPr>
          <w:rFonts w:ascii="Arial" w:cs="Arial" w:eastAsia="Arial" w:hAnsi="Arial"/>
          <w:sz w:val="17"/>
          <w:szCs w:val="17"/>
          <w:color w:val="auto"/>
        </w:rPr>
        <w:t>Unless we say otherwise in a prospectus supplement, each indenture provides or will provide that no holders of debt securities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79"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b w:val="1"/>
          <w:bCs w:val="1"/>
          <w:i w:val="1"/>
          <w:iCs w:val="1"/>
          <w:color w:val="auto"/>
        </w:rPr>
        <w:t xml:space="preserve">Obligations of Trustee. </w:t>
      </w:r>
      <w:r>
        <w:rPr>
          <w:rFonts w:ascii="Arial" w:cs="Arial" w:eastAsia="Arial" w:hAnsi="Arial"/>
          <w:sz w:val="17"/>
          <w:szCs w:val="17"/>
          <w:color w:val="auto"/>
        </w:rPr>
        <w:t>Unless we say otherwise in a prospectus supplement, the trustee is under no obligation to exercise any of the rights or powers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66"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66"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12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87" w:lineRule="exact"/>
        <w:rPr>
          <w:sz w:val="20"/>
          <w:szCs w:val="20"/>
          <w:color w:val="auto"/>
        </w:rPr>
      </w:pPr>
    </w:p>
    <w:p>
      <w:pPr>
        <w:ind w:left="1000" w:right="120" w:hanging="546"/>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75" w:lineRule="exact"/>
        <w:rPr>
          <w:rFonts w:ascii="Arial" w:cs="Arial" w:eastAsia="Arial" w:hAnsi="Arial"/>
          <w:sz w:val="18"/>
          <w:szCs w:val="18"/>
          <w:color w:val="auto"/>
        </w:rPr>
      </w:pPr>
    </w:p>
    <w:p>
      <w:pPr>
        <w:ind w:left="1000" w:right="100" w:hanging="546"/>
        <w:spacing w:after="0" w:line="342" w:lineRule="auto"/>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29" w:lineRule="exact"/>
        <w:rPr>
          <w:rFonts w:ascii="Arial" w:cs="Arial" w:eastAsia="Arial" w:hAnsi="Arial"/>
          <w:sz w:val="16"/>
          <w:szCs w:val="16"/>
          <w:color w:val="auto"/>
        </w:rPr>
      </w:pPr>
    </w:p>
    <w:p>
      <w:pPr>
        <w:ind w:left="1000" w:hanging="546"/>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Unless we say otherwise in a prospectus supplement, in order to exercise either defeasance or covenant defeasance as to the outstanding debt securities of a series:</w:t>
      </w:r>
    </w:p>
    <w:p>
      <w:pPr>
        <w:spacing w:after="0" w:line="76" w:lineRule="exact"/>
        <w:rPr>
          <w:sz w:val="20"/>
          <w:szCs w:val="20"/>
          <w:color w:val="auto"/>
        </w:rPr>
      </w:pPr>
    </w:p>
    <w:p>
      <w:pPr>
        <w:ind w:left="1000" w:hanging="546"/>
        <w:spacing w:after="0"/>
        <w:tabs>
          <w:tab w:leader="none" w:pos="10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46" w:lineRule="exact"/>
        <w:rPr>
          <w:rFonts w:ascii="Arial" w:cs="Arial" w:eastAsia="Arial" w:hAnsi="Arial"/>
          <w:sz w:val="16"/>
          <w:szCs w:val="16"/>
          <w:color w:val="auto"/>
        </w:rPr>
      </w:pPr>
    </w:p>
    <w:p>
      <w:pPr>
        <w:ind w:left="1000" w:right="60"/>
        <w:spacing w:after="0" w:line="323" w:lineRule="auto"/>
        <w:rPr>
          <w:rFonts w:ascii="Arial" w:cs="Arial" w:eastAsia="Arial" w:hAnsi="Arial"/>
          <w:sz w:val="16"/>
          <w:szCs w:val="16"/>
          <w:color w:val="auto"/>
        </w:rPr>
      </w:pPr>
      <w:r>
        <w:rPr>
          <w:rFonts w:ascii="Arial" w:cs="Arial" w:eastAsia="Arial" w:hAnsi="Arial"/>
          <w:sz w:val="16"/>
          <w:szCs w:val="16"/>
          <w:color w:val="auto"/>
        </w:rPr>
        <w:t>(i) currency, currencies or currency units in which those debt securities are then specified as payable at maturity, (ii) government obligations (as defined in the applicable indenture) or (iii) any combination thereof, as will be sufficient, without consideration of reinvestment of</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87" w:lineRule="exact"/>
        <w:rPr>
          <w:sz w:val="20"/>
          <w:szCs w:val="20"/>
          <w:color w:val="auto"/>
        </w:rPr>
      </w:pPr>
    </w:p>
    <w:p>
      <w:pPr>
        <w:ind w:left="1000" w:hanging="546"/>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since the date of execution of the indenture, there has been a change in the applicable federal income tax law,</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87" w:lineRule="exact"/>
        <w:rPr>
          <w:sz w:val="20"/>
          <w:szCs w:val="20"/>
          <w:color w:val="auto"/>
        </w:rPr>
      </w:pPr>
    </w:p>
    <w:p>
      <w:pPr>
        <w:ind w:left="1000" w:right="80" w:hanging="546"/>
        <w:spacing w:after="0" w:line="259"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92" w:lineRule="exact"/>
        <w:rPr>
          <w:rFonts w:ascii="Arial" w:cs="Arial" w:eastAsia="Arial" w:hAnsi="Arial"/>
          <w:sz w:val="18"/>
          <w:szCs w:val="18"/>
          <w:color w:val="auto"/>
        </w:rPr>
      </w:pPr>
    </w:p>
    <w:p>
      <w:pPr>
        <w:ind w:left="1000" w:right="280" w:hanging="546"/>
        <w:spacing w:after="0" w:line="264"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86" w:lineRule="exact"/>
        <w:rPr>
          <w:rFonts w:ascii="Arial" w:cs="Arial" w:eastAsia="Arial" w:hAnsi="Arial"/>
          <w:sz w:val="18"/>
          <w:szCs w:val="18"/>
          <w:color w:val="auto"/>
        </w:rPr>
      </w:pPr>
    </w:p>
    <w:p>
      <w:pPr>
        <w:ind w:left="1000" w:right="520" w:hanging="546"/>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75" w:lineRule="exact"/>
        <w:rPr>
          <w:rFonts w:ascii="Arial" w:cs="Arial" w:eastAsia="Arial" w:hAnsi="Arial"/>
          <w:sz w:val="18"/>
          <w:szCs w:val="18"/>
          <w:color w:val="auto"/>
        </w:rPr>
      </w:pPr>
    </w:p>
    <w:p>
      <w:pPr>
        <w:ind w:left="1000" w:right="60" w:hanging="546"/>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75" w:lineRule="exact"/>
        <w:rPr>
          <w:rFonts w:ascii="Arial" w:cs="Arial" w:eastAsia="Arial" w:hAnsi="Arial"/>
          <w:sz w:val="18"/>
          <w:szCs w:val="18"/>
          <w:color w:val="auto"/>
        </w:rPr>
      </w:pPr>
    </w:p>
    <w:p>
      <w:pPr>
        <w:ind w:left="1000" w:right="140" w:hanging="546"/>
        <w:spacing w:after="0" w:line="312" w:lineRule="auto"/>
        <w:tabs>
          <w:tab w:leader="none" w:pos="10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12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Unless we say otherwise in a prospectus supplement, we and the trustee may modify and amend either indenture with the consent of the holders of a majority in aggregate principal amount of the outstanding debt 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52" w:lineRule="exact"/>
        <w:rPr>
          <w:sz w:val="20"/>
          <w:szCs w:val="20"/>
          <w:color w:val="auto"/>
        </w:rPr>
      </w:pPr>
    </w:p>
    <w:p>
      <w:pPr>
        <w:ind w:left="1000" w:hanging="546"/>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130" w:lineRule="exact"/>
        <w:rPr>
          <w:rFonts w:ascii="Arial" w:cs="Arial" w:eastAsia="Arial" w:hAnsi="Arial"/>
          <w:sz w:val="18"/>
          <w:szCs w:val="18"/>
          <w:color w:val="auto"/>
        </w:rPr>
      </w:pPr>
    </w:p>
    <w:p>
      <w:pPr>
        <w:ind w:left="1000" w:right="40" w:hanging="546"/>
        <w:spacing w:after="0" w:line="259"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hanging="546"/>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series of outstanding debt security;</w:t>
      </w:r>
    </w:p>
    <w:p>
      <w:pPr>
        <w:spacing w:after="0" w:line="130" w:lineRule="exact"/>
        <w:rPr>
          <w:rFonts w:ascii="Arial" w:cs="Arial" w:eastAsia="Arial" w:hAnsi="Arial"/>
          <w:sz w:val="18"/>
          <w:szCs w:val="18"/>
          <w:color w:val="auto"/>
        </w:rPr>
      </w:pPr>
    </w:p>
    <w:p>
      <w:pPr>
        <w:ind w:left="1000" w:right="240" w:hanging="546"/>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75" w:lineRule="exact"/>
        <w:rPr>
          <w:rFonts w:ascii="Arial" w:cs="Arial" w:eastAsia="Arial" w:hAnsi="Arial"/>
          <w:sz w:val="18"/>
          <w:szCs w:val="18"/>
          <w:color w:val="auto"/>
        </w:rPr>
      </w:pPr>
    </w:p>
    <w:p>
      <w:pPr>
        <w:ind w:left="1000" w:right="720" w:hanging="546"/>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75" w:lineRule="exact"/>
        <w:rPr>
          <w:rFonts w:ascii="Arial" w:cs="Arial" w:eastAsia="Arial" w:hAnsi="Arial"/>
          <w:sz w:val="18"/>
          <w:szCs w:val="18"/>
          <w:color w:val="auto"/>
        </w:rPr>
      </w:pPr>
    </w:p>
    <w:p>
      <w:pPr>
        <w:ind w:left="1000" w:right="260" w:hanging="546"/>
        <w:spacing w:after="0" w:line="264"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86" w:lineRule="exact"/>
        <w:rPr>
          <w:rFonts w:ascii="Arial" w:cs="Arial" w:eastAsia="Arial" w:hAnsi="Arial"/>
          <w:sz w:val="18"/>
          <w:szCs w:val="18"/>
          <w:color w:val="auto"/>
        </w:rPr>
      </w:pPr>
    </w:p>
    <w:p>
      <w:pPr>
        <w:ind w:left="1000" w:hanging="546"/>
        <w:spacing w:after="0" w:line="259"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76" w:lineRule="exact"/>
        <w:rPr>
          <w:sz w:val="20"/>
          <w:szCs w:val="20"/>
          <w:color w:val="auto"/>
        </w:rPr>
      </w:pPr>
    </w:p>
    <w:p>
      <w:pPr>
        <w:ind w:left="1000" w:right="20" w:hanging="546"/>
        <w:spacing w:after="0" w:line="27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130" w:lineRule="exact"/>
        <w:rPr>
          <w:rFonts w:ascii="Arial" w:cs="Arial" w:eastAsia="Arial" w:hAnsi="Arial"/>
          <w:sz w:val="18"/>
          <w:szCs w:val="18"/>
          <w:color w:val="auto"/>
        </w:rPr>
      </w:pPr>
    </w:p>
    <w:p>
      <w:pPr>
        <w:ind w:left="1000" w:right="20" w:hanging="546"/>
        <w:spacing w:after="0" w:line="25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93" w:lineRule="exact"/>
        <w:rPr>
          <w:rFonts w:ascii="Arial" w:cs="Arial" w:eastAsia="Arial" w:hAnsi="Arial"/>
          <w:sz w:val="18"/>
          <w:szCs w:val="18"/>
          <w:color w:val="auto"/>
        </w:rPr>
      </w:pPr>
    </w:p>
    <w:p>
      <w:pPr>
        <w:ind w:left="1000" w:hanging="546"/>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130" w:lineRule="exact"/>
        <w:rPr>
          <w:rFonts w:ascii="Arial" w:cs="Arial" w:eastAsia="Arial" w:hAnsi="Arial"/>
          <w:sz w:val="18"/>
          <w:szCs w:val="18"/>
          <w:color w:val="auto"/>
        </w:rPr>
      </w:pPr>
    </w:p>
    <w:p>
      <w:pPr>
        <w:ind w:left="1000" w:right="200" w:hanging="546"/>
        <w:spacing w:after="0" w:line="27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75" w:lineRule="exact"/>
        <w:rPr>
          <w:rFonts w:ascii="Arial" w:cs="Arial" w:eastAsia="Arial" w:hAnsi="Arial"/>
          <w:sz w:val="18"/>
          <w:szCs w:val="18"/>
          <w:color w:val="auto"/>
        </w:rPr>
      </w:pPr>
    </w:p>
    <w:p>
      <w:pPr>
        <w:ind w:left="1000" w:right="320" w:hanging="546"/>
        <w:spacing w:after="0" w:line="259"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92" w:lineRule="exact"/>
        <w:rPr>
          <w:rFonts w:ascii="Arial" w:cs="Arial" w:eastAsia="Arial" w:hAnsi="Arial"/>
          <w:sz w:val="18"/>
          <w:szCs w:val="18"/>
          <w:color w:val="auto"/>
        </w:rPr>
      </w:pPr>
    </w:p>
    <w:p>
      <w:pPr>
        <w:ind w:left="1000" w:right="100" w:hanging="546"/>
        <w:spacing w:after="0" w:line="264"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121"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78" w:lineRule="exact"/>
        <w:rPr>
          <w:sz w:val="20"/>
          <w:szCs w:val="20"/>
          <w:color w:val="auto"/>
        </w:rPr>
      </w:pPr>
    </w:p>
    <w:p>
      <w:pPr>
        <w:ind w:left="1000" w:hanging="546"/>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130" w:lineRule="exact"/>
        <w:rPr>
          <w:rFonts w:ascii="Arial" w:cs="Arial" w:eastAsia="Arial" w:hAnsi="Arial"/>
          <w:sz w:val="18"/>
          <w:szCs w:val="18"/>
          <w:color w:val="auto"/>
        </w:rPr>
      </w:pPr>
    </w:p>
    <w:p>
      <w:pPr>
        <w:ind w:left="1000" w:right="360" w:hanging="546"/>
        <w:spacing w:after="0" w:line="27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are a Maryland REIT. Your rights as a shareholder are governed by the Code of Maryland, including Title 8 of the Corporations and Associations Article, or Maryland REIT Law, our declaration of trust, our bylaws and the articles supplementary with respect to our Series 1 and Series C preferred shares. The following summary of the material terms, rights and preferences of the shares of beneficial interest is not complete and is subject to and qualified in its entirety by reference to the laws of the State of Maryland, including Maryland REIT law, our declaration of trust, bylaws, the articles supplementary with respect to our Series 1 preferred shares, and the articles supplementary with respect to our Series C preferred shares.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Our declaration of trust allows us to issue up to 100,000,000 common shares of beneficial interest, par value $0.01 per share, and 15,000,000 preferred shares of beneficial interest, par value $0.01 per share. As of May 4, 2018, we had issued and outstanding 73,221,458 common shares, 399,896 preferred shares, which are designated as 5.417% Series 1 Cumulative Convertible Preferred Shares, which we refer to as the Series 1 preferred shares, and 6,000 preferred shares, which are designated as 5.000% Series C Cumulative Redeemable Preferred Shares, which we refer to as the Series C preferred shares.</w:t>
      </w:r>
    </w:p>
    <w:p>
      <w:pPr>
        <w:spacing w:after="0" w:line="15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take the following actions without approval by you or any shareholder:</w:t>
      </w:r>
    </w:p>
    <w:p>
      <w:pPr>
        <w:spacing w:after="0" w:line="76" w:lineRule="exact"/>
        <w:rPr>
          <w:sz w:val="20"/>
          <w:szCs w:val="20"/>
          <w:color w:val="auto"/>
        </w:rPr>
      </w:pPr>
    </w:p>
    <w:p>
      <w:pPr>
        <w:ind w:left="1000" w:right="180" w:hanging="546"/>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and Series C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Series C preferred shares and any other shares of beneficial interest having a priority over our common shares in the event of our liquidation, dissolution or winding up. As noted above under “—Authorized Shares,” our outstanding Series 1 preferred shares and Series C preferred shares rank senior to our common shares with respect to the payment of dividends and as to the distribution of assets in the event of our liquidation, dissolution or winding up.</w:t>
      </w:r>
    </w:p>
    <w:p>
      <w:pPr>
        <w:spacing w:after="0" w:line="169"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131" w:lineRule="exact"/>
        <w:rPr>
          <w:sz w:val="20"/>
          <w:szCs w:val="20"/>
          <w:color w:val="auto"/>
        </w:rPr>
      </w:pPr>
    </w:p>
    <w:p>
      <w:pPr>
        <w:ind w:left="1000" w:hanging="546"/>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87" w:lineRule="exact"/>
        <w:rPr>
          <w:sz w:val="20"/>
          <w:szCs w:val="20"/>
          <w:color w:val="auto"/>
        </w:rPr>
      </w:pPr>
    </w:p>
    <w:p>
      <w:pPr>
        <w:jc w:val="both"/>
        <w:ind w:left="1000" w:right="20" w:hanging="546"/>
        <w:spacing w:after="0" w:line="259"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right="40" w:hanging="546"/>
        <w:spacing w:after="0" w:line="259"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92" w:lineRule="exact"/>
        <w:rPr>
          <w:rFonts w:ascii="Arial" w:cs="Arial" w:eastAsia="Arial" w:hAnsi="Arial"/>
          <w:sz w:val="18"/>
          <w:szCs w:val="18"/>
          <w:color w:val="auto"/>
        </w:rPr>
      </w:pPr>
    </w:p>
    <w:p>
      <w:pPr>
        <w:jc w:val="both"/>
        <w:ind w:left="1000" w:right="240" w:hanging="546"/>
        <w:spacing w:after="0" w:line="312" w:lineRule="auto"/>
        <w:tabs>
          <w:tab w:leader="none" w:pos="10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52" w:lineRule="exact"/>
        <w:rPr>
          <w:rFonts w:ascii="Arial" w:cs="Arial" w:eastAsia="Arial" w:hAnsi="Arial"/>
          <w:sz w:val="16"/>
          <w:szCs w:val="16"/>
          <w:color w:val="auto"/>
        </w:rPr>
      </w:pPr>
    </w:p>
    <w:p>
      <w:pPr>
        <w:ind w:left="1000" w:right="720" w:hanging="546"/>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75" w:lineRule="exact"/>
        <w:rPr>
          <w:rFonts w:ascii="Arial" w:cs="Arial" w:eastAsia="Arial" w:hAnsi="Arial"/>
          <w:sz w:val="18"/>
          <w:szCs w:val="18"/>
          <w:color w:val="auto"/>
        </w:rPr>
      </w:pPr>
    </w:p>
    <w:p>
      <w:pPr>
        <w:ind w:left="1000" w:right="280" w:hanging="546"/>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92" w:lineRule="exact"/>
        <w:rPr>
          <w:sz w:val="20"/>
          <w:szCs w:val="20"/>
          <w:color w:val="auto"/>
        </w:rPr>
      </w:pPr>
    </w:p>
    <w:p>
      <w:pPr>
        <w:ind w:left="1000" w:hanging="546"/>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81" w:lineRule="exact"/>
        <w:rPr>
          <w:sz w:val="20"/>
          <w:szCs w:val="20"/>
          <w:color w:val="auto"/>
        </w:rPr>
      </w:pPr>
    </w:p>
    <w:p>
      <w:pPr>
        <w:jc w:val="both"/>
        <w:ind w:right="240" w:firstLine="456"/>
        <w:spacing w:after="0" w:line="286" w:lineRule="auto"/>
        <w:rPr>
          <w:sz w:val="20"/>
          <w:szCs w:val="20"/>
          <w:color w:val="auto"/>
        </w:rPr>
      </w:pPr>
      <w:r>
        <w:rPr>
          <w:rFonts w:ascii="Arial" w:cs="Arial" w:eastAsia="Arial" w:hAnsi="Arial"/>
          <w:sz w:val="17"/>
          <w:szCs w:val="17"/>
          <w:b w:val="1"/>
          <w:bCs w:val="1"/>
          <w:i w:val="1"/>
          <w:iCs w:val="1"/>
          <w:color w:val="auto"/>
        </w:rPr>
        <w:t xml:space="preserve">Preemptive Rights. </w:t>
      </w:r>
      <w:r>
        <w:rPr>
          <w:rFonts w:ascii="Arial" w:cs="Arial" w:eastAsia="Arial" w:hAnsi="Arial"/>
          <w:sz w:val="17"/>
          <w:szCs w:val="17"/>
          <w:color w:val="auto"/>
        </w:rPr>
        <w:t>Under the declaration of trust, no holder of shares of beneficial interest has any preemptive rights to subscribe to any issuance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common shares is American Stock Transfer &amp; Trust Company, LLC,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1 Preferred Shares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8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The Series 1 preferred shares rank pari pasu with the Series C preferred shares and senior to the common shares with respect to the payment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dividends and the distribution of assets upon our 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93"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Each Series 1 preferred share is entitled to receive, when, as and if authorized by our Board of Trustees out of funds legally available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purpose, cumulative preferential dividends payable in cash at a rate of 5.417% of the liquidation price of $25, which is equivalent to $1.35425 per annum.</w:t>
      </w:r>
    </w:p>
    <w:p>
      <w:pPr>
        <w:spacing w:after="0" w:line="124"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In the event of our liquidation, dissolution or winding up, the holders of Series 1 preferred shares shall be entitled to receive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$25 per share, plus all accrued and unpaid dividends, before any distribution shall be made with respect to the common shares.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1 preferred shares shall have no voting rights.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Subject to other applicable provisions within the articles supplementary for the Series 1 preferred shares, from the date of issuance,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Series 1 preferred shares shall be convertible, at the option of each holder, into a number of fully paid and nonassessable common shares determined by dividing (A) the product obtained by multiplying (i) the number of Series 1 preferred shares being converted by (ii) liquidation price; by (B) the option conversion price as in effect immediately prior to the close of business on the option conversion date.</w:t>
      </w:r>
    </w:p>
    <w:p>
      <w:pPr>
        <w:spacing w:after="0" w:line="18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 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C Preferred Shares</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September 2017, we issued 6,000 Series C preferred shares and we filed articles supplementary to our declaration of trust setting forth the terms of the Series C preferred shares. Below is a brief description of the terms of the Series C preferred shares, which is subject to and qualified in its entirety by reference to the articles supplementary.</w:t>
      </w:r>
    </w:p>
    <w:p>
      <w:pPr>
        <w:spacing w:after="0" w:line="18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Rank. </w:t>
      </w:r>
      <w:r>
        <w:rPr>
          <w:rFonts w:ascii="Arial" w:cs="Arial" w:eastAsia="Arial" w:hAnsi="Arial"/>
          <w:sz w:val="16"/>
          <w:szCs w:val="16"/>
          <w:color w:val="auto"/>
        </w:rPr>
        <w:t>The Series C preferred shares rank pari pasu with the Series 1 preferred shares and senior to the common shares with respect to the payment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dividends and the distribution of assets upon our liquidation, dissolution or winding up. Our declaration of trust provides that, unless full cumulative dividends on all outstanding Series C preferred shares and any other class or series of our shares of beneficial interest ranking, as to the payment of dividends and the distribution of assets upon liquidation, dissolution or winding up, on parity with the Series C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C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6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Each Series C preferred share is entitled to receive, when, as and if authorized by our Board of Trustees out of funds legally available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purpose, cumulative preferential dividends payable in cash at a rate of 5.000% of the liquidation price of $25,000, which is equivalent to $1,250 per annum.</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In the event of our liquidation, dissolution or winding up, the holders of Series C preferred shares shall be entitled to receive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$25,000 per share, plus all accrued and unpaid dividends, before any distribution shall be made with respect to the common shares.</w:t>
      </w:r>
    </w:p>
    <w:p>
      <w:pPr>
        <w:spacing w:after="0" w:line="14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C preferred shares generally have no voting rights. However, if and whenever dividends payable on the Series C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are in arrears for six or more dividend periods, whether or not declared or consecutive, holders of the depositary shares representing Series C preferred shares (voting together as a class with holders of any other classes or series of preferred shares upon which like voting rights have been conferred and are exercisable) will be entitled to elect two additional trustees to serve on our board of trustees until we pay all accrued and unpaid dividends on the Series C preferred shares to which the holders thereof are entitled.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Series C preferred shares have no conversion rights.</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Redemption by the Trust. </w:t>
      </w:r>
      <w:r>
        <w:rPr>
          <w:rFonts w:ascii="Arial" w:cs="Arial" w:eastAsia="Arial" w:hAnsi="Arial"/>
          <w:sz w:val="18"/>
          <w:szCs w:val="18"/>
          <w:color w:val="auto"/>
        </w:rPr>
        <w:t>The Series C preferred shares may be redeemed for cash, in whole or from time to time in part, on any date on or after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29, 2022 at the option of the Trust at a price per share equal to $25,000.00 plus accrued and unpaid dividends thereon, if any, to, but excluding, the redemption date.</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 xml:space="preserve">Depositary Shares. </w:t>
      </w:r>
      <w:r>
        <w:rPr>
          <w:rFonts w:ascii="Arial" w:cs="Arial" w:eastAsia="Arial" w:hAnsi="Arial"/>
          <w:sz w:val="16"/>
          <w:szCs w:val="16"/>
          <w:color w:val="auto"/>
        </w:rPr>
        <w:t>Interests in the Series C preferred shares are represented by depositary shares, which we refer to as the Series C depositary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Series C depositary share represents a 1/1000th fractional interest in a Series C preferred share. The Series C preferred shares have been deposited with American Stock Transfer &amp; Trust Company, LLC, as depositary, under a deposit agreement between us, the depositary and the holders from time to time of the depositary receipts issued by the depositary thereunder. The depositary receipts evidence the Series C depositary shares. Subject to the terms of the deposit agreement, each holder of a depositary receipt representing a Series C depositary share will be entitled to all the rights and preferences of a fractional interest in a Series C preferred share (including dividends, voting, redemption and liquidation rights and preferences).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 xml:space="preserve">Stock Exchange Listing. </w:t>
      </w:r>
      <w:r>
        <w:rPr>
          <w:rFonts w:ascii="Arial" w:cs="Arial" w:eastAsia="Arial" w:hAnsi="Arial"/>
          <w:sz w:val="17"/>
          <w:szCs w:val="17"/>
          <w:color w:val="auto"/>
        </w:rPr>
        <w:t>The Series C depositary shares are traded on the New York Stock Exchange under the trading symbol “FRTPRC.”</w:t>
      </w:r>
    </w:p>
    <w:p>
      <w:pPr>
        <w:spacing w:after="0" w:line="23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C preferred shares is American Stock Transfer &amp; Trust Company,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 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In addition to the Series 1 preferred shares and Series C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147"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Preferred shares may be offered and sold from time to time, in one or more series, as authorized by the Board of Trustees.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Terms. </w:t>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154" w:lineRule="exact"/>
        <w:rPr>
          <w:sz w:val="20"/>
          <w:szCs w:val="20"/>
          <w:color w:val="auto"/>
        </w:rPr>
      </w:pPr>
    </w:p>
    <w:p>
      <w:pPr>
        <w:ind w:left="1000" w:hanging="546"/>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130" w:lineRule="exact"/>
        <w:rPr>
          <w:rFonts w:ascii="Arial" w:cs="Arial" w:eastAsia="Arial" w:hAnsi="Arial"/>
          <w:sz w:val="18"/>
          <w:szCs w:val="18"/>
          <w:color w:val="auto"/>
        </w:rPr>
      </w:pPr>
    </w:p>
    <w:p>
      <w:pPr>
        <w:ind w:left="1000" w:right="240" w:hanging="546"/>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dividend rate(s), period(s), amounts and/or payment date(s) or method(s) of calculation of any of those terms that apply to those preferred shares;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hanging="546"/>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130" w:lineRule="exact"/>
        <w:rPr>
          <w:rFonts w:ascii="Arial" w:cs="Arial" w:eastAsia="Arial" w:hAnsi="Arial"/>
          <w:sz w:val="18"/>
          <w:szCs w:val="18"/>
          <w:color w:val="auto"/>
        </w:rPr>
      </w:pPr>
    </w:p>
    <w:p>
      <w:pPr>
        <w:ind w:left="1000" w:right="40" w:hanging="546"/>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75" w:lineRule="exact"/>
        <w:rPr>
          <w:rFonts w:ascii="Arial" w:cs="Arial" w:eastAsia="Arial" w:hAnsi="Arial"/>
          <w:sz w:val="18"/>
          <w:szCs w:val="18"/>
          <w:color w:val="auto"/>
        </w:rPr>
      </w:pPr>
    </w:p>
    <w:p>
      <w:pPr>
        <w:ind w:left="1000" w:right="180" w:hanging="546"/>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1000" w:right="240" w:hanging="546"/>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130" w:lineRule="exact"/>
        <w:rPr>
          <w:rFonts w:ascii="Arial" w:cs="Arial" w:eastAsia="Arial" w:hAnsi="Arial"/>
          <w:sz w:val="18"/>
          <w:szCs w:val="18"/>
          <w:color w:val="auto"/>
        </w:rPr>
      </w:pPr>
    </w:p>
    <w:p>
      <w:pPr>
        <w:ind w:left="1000" w:hanging="546"/>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7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7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rights upon our liquidation, dissolution or winding up, rank:</w:t>
      </w:r>
    </w:p>
    <w:p>
      <w:pPr>
        <w:spacing w:after="0" w:line="76" w:lineRule="exact"/>
        <w:rPr>
          <w:sz w:val="20"/>
          <w:szCs w:val="20"/>
          <w:color w:val="auto"/>
        </w:rPr>
      </w:pPr>
    </w:p>
    <w:p>
      <w:pPr>
        <w:ind w:left="1000" w:hanging="546"/>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Subject to any preferential rights of any outstanding shares or series of shares and to the provisions of our declaration of trust regarding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As to any liquidation preference applicable to preferred shares offered through this prospectus, the applicable supplement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187"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Unless otherwise indicated in the applicable supplement, holders of preferred shares we issue in the future will not have any voting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rights, except as may be required by applicable law or any applicable rules and regulations of the New York Stock Exchange.</w:t>
      </w:r>
    </w:p>
    <w:p>
      <w:pPr>
        <w:spacing w:after="0" w:line="14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prospectus supplement relating to the offering of those preferred shares. These terms typically will include:</w:t>
      </w:r>
    </w:p>
    <w:p>
      <w:pPr>
        <w:spacing w:after="0" w:line="76" w:lineRule="exact"/>
        <w:rPr>
          <w:sz w:val="20"/>
          <w:szCs w:val="20"/>
          <w:color w:val="auto"/>
        </w:rPr>
      </w:pPr>
    </w:p>
    <w:p>
      <w:pPr>
        <w:ind w:left="1000" w:hanging="546"/>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225"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in a prospectus supplement.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12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We may issue receipts for depositary shares, each of which will represent a fractional interest of a share of a particular series of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 As of May 4, 2018, we had 6,000,000 depositary shares issued and outstanding, each representing a 1/1000th fractional interest in a Series C preferred share. See “—Series C Preferred Shares.”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8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54"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8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Voting the Preferred Shares. </w:t>
      </w:r>
      <w:r>
        <w:rPr>
          <w:rFonts w:ascii="Arial" w:cs="Arial" w:eastAsia="Arial" w:hAnsi="Arial"/>
          <w:sz w:val="18"/>
          <w:szCs w:val="18"/>
          <w:color w:val="auto"/>
        </w:rPr>
        <w:t>When the depositary receives notice of any meeting at which the holders of preferred shares are entitled to vote,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will mail information contained in the notice to you as a record holder of the depositary shares relating to the preferred shares. As a record holder of the depositary shares on the</w:t>
      </w:r>
    </w:p>
    <w:p>
      <w:pPr>
        <w:ind w:right="40"/>
        <w:spacing w:after="0" w:line="295" w:lineRule="auto"/>
        <w:rPr>
          <w:sz w:val="20"/>
          <w:szCs w:val="20"/>
          <w:color w:val="auto"/>
        </w:rPr>
      </w:pPr>
      <w:r>
        <w:rPr>
          <w:rFonts w:ascii="Arial" w:cs="Arial" w:eastAsia="Arial" w:hAnsi="Arial"/>
          <w:sz w:val="16"/>
          <w:szCs w:val="16"/>
          <w:color w:val="auto"/>
        </w:rPr>
        <w:t>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62"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Liquidation Preference. </w:t>
      </w:r>
      <w:r>
        <w:rPr>
          <w:rFonts w:ascii="Arial" w:cs="Arial" w:eastAsia="Arial" w:hAnsi="Arial"/>
          <w:sz w:val="18"/>
          <w:szCs w:val="18"/>
          <w:color w:val="auto"/>
        </w:rPr>
        <w:t>In the event of our liquidation, dissolution or winding up, whether voluntary or involuntary, you will be entitled, as a record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of depositary shares, to the fraction of the liquidation preference accorded each applicable preferred share, as has been set forth in a prospectus supplement.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Amendment and Termination of the Deposit Agreement. </w:t>
      </w:r>
      <w:r>
        <w:rPr>
          <w:rFonts w:ascii="Arial" w:cs="Arial" w:eastAsia="Arial" w:hAnsi="Arial"/>
          <w:sz w:val="18"/>
          <w:szCs w:val="18"/>
          <w:color w:val="auto"/>
        </w:rPr>
        <w:t>We and the depositary may amend the form of depositary receipt and any provision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92" w:lineRule="exact"/>
        <w:rPr>
          <w:sz w:val="20"/>
          <w:szCs w:val="20"/>
          <w:color w:val="auto"/>
        </w:rPr>
      </w:pPr>
    </w:p>
    <w:p>
      <w:pPr>
        <w:ind w:left="1000" w:hanging="546"/>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130" w:lineRule="exact"/>
        <w:rPr>
          <w:rFonts w:ascii="Arial" w:cs="Arial" w:eastAsia="Arial" w:hAnsi="Arial"/>
          <w:sz w:val="18"/>
          <w:szCs w:val="18"/>
          <w:color w:val="auto"/>
        </w:rPr>
      </w:pPr>
    </w:p>
    <w:p>
      <w:pPr>
        <w:ind w:left="1000" w:right="60" w:hanging="546"/>
        <w:spacing w:after="0" w:line="308" w:lineRule="auto"/>
        <w:tabs>
          <w:tab w:leader="none" w:pos="10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51" w:lineRule="exact"/>
        <w:rPr>
          <w:rFonts w:ascii="Arial" w:cs="Arial" w:eastAsia="Arial" w:hAnsi="Arial"/>
          <w:sz w:val="17"/>
          <w:szCs w:val="17"/>
          <w:color w:val="auto"/>
        </w:rPr>
      </w:pPr>
    </w:p>
    <w:p>
      <w:pPr>
        <w:ind w:left="1000" w:right="640" w:hanging="546"/>
        <w:spacing w:after="0" w:line="277"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70"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5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Charges of Depositary. </w:t>
      </w:r>
      <w:r>
        <w:rPr>
          <w:rFonts w:ascii="Arial" w:cs="Arial" w:eastAsia="Arial" w:hAnsi="Arial"/>
          <w:sz w:val="18"/>
          <w:szCs w:val="18"/>
          <w:color w:val="auto"/>
        </w:rPr>
        <w:t>We will pay all transfer and other taxes and governmental charges arising solely from the existence of the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8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right="360" w:hanging="546"/>
        <w:spacing w:after="0" w:line="259"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92" w:lineRule="exact"/>
        <w:rPr>
          <w:rFonts w:ascii="Arial" w:cs="Arial" w:eastAsia="Arial" w:hAnsi="Arial"/>
          <w:sz w:val="18"/>
          <w:szCs w:val="18"/>
          <w:color w:val="auto"/>
        </w:rPr>
      </w:pPr>
    </w:p>
    <w:p>
      <w:pPr>
        <w:ind w:left="1000" w:right="80" w:hanging="546"/>
        <w:spacing w:after="0" w:line="27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75" w:lineRule="exact"/>
        <w:rPr>
          <w:rFonts w:ascii="Arial" w:cs="Arial" w:eastAsia="Arial" w:hAnsi="Arial"/>
          <w:sz w:val="18"/>
          <w:szCs w:val="18"/>
          <w:color w:val="auto"/>
        </w:rPr>
      </w:pPr>
    </w:p>
    <w:p>
      <w:pPr>
        <w:ind w:left="1000" w:right="100" w:hanging="546"/>
        <w:spacing w:after="0" w:line="27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131" w:lineRule="exact"/>
        <w:rPr>
          <w:sz w:val="20"/>
          <w:szCs w:val="20"/>
          <w:color w:val="auto"/>
        </w:rPr>
      </w:pPr>
    </w:p>
    <w:p>
      <w:pPr>
        <w:ind w:left="1000" w:hanging="546"/>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130" w:lineRule="exact"/>
        <w:rPr>
          <w:rFonts w:ascii="Arial" w:cs="Arial" w:eastAsia="Arial" w:hAnsi="Arial"/>
          <w:sz w:val="18"/>
          <w:szCs w:val="18"/>
          <w:color w:val="auto"/>
        </w:rPr>
      </w:pPr>
    </w:p>
    <w:p>
      <w:pPr>
        <w:ind w:left="1000" w:right="420" w:hanging="546"/>
        <w:spacing w:after="0" w:line="277"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22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certain exceptions described below, if any purported transfer of shares would violate any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5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7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71" w:lineRule="exact"/>
        <w:rPr>
          <w:sz w:val="20"/>
          <w:szCs w:val="20"/>
          <w:color w:val="auto"/>
        </w:rPr>
      </w:pPr>
    </w:p>
    <w:p>
      <w:pPr>
        <w:ind w:left="1000" w:hanging="546"/>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130" w:lineRule="exact"/>
        <w:rPr>
          <w:rFonts w:ascii="Arial" w:cs="Arial" w:eastAsia="Arial" w:hAnsi="Arial"/>
          <w:sz w:val="18"/>
          <w:szCs w:val="18"/>
          <w:color w:val="auto"/>
        </w:rPr>
      </w:pPr>
    </w:p>
    <w:p>
      <w:pPr>
        <w:ind w:left="1480" w:right="580" w:hanging="446"/>
        <w:spacing w:after="0" w:line="277" w:lineRule="auto"/>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8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8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w:t>
      </w:r>
    </w:p>
    <w:p>
      <w:pPr>
        <w:spacing w:after="0" w:line="19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15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17" w:lineRule="exact"/>
        <w:rPr>
          <w:sz w:val="20"/>
          <w:szCs w:val="20"/>
          <w:color w:val="auto"/>
        </w:rPr>
      </w:pPr>
    </w:p>
    <w:p>
      <w:pPr>
        <w:ind w:right="60" w:firstLine="456"/>
        <w:spacing w:after="0" w:line="281" w:lineRule="auto"/>
        <w:rPr>
          <w:sz w:val="20"/>
          <w:szCs w:val="20"/>
          <w:color w:val="auto"/>
        </w:rPr>
      </w:pPr>
      <w:r>
        <w:rPr>
          <w:rFonts w:ascii="Arial" w:cs="Arial" w:eastAsia="Arial" w:hAnsi="Arial"/>
          <w:sz w:val="17"/>
          <w:szCs w:val="17"/>
          <w:b w:val="1"/>
          <w:bCs w:val="1"/>
          <w:i w:val="1"/>
          <w:iCs w:val="1"/>
          <w:color w:val="auto"/>
        </w:rPr>
        <w:t>Warrants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may issue warrants for the purchase of common or preferred shares. If we offer warrants, we will describe the terms in a prospectus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131" w:lineRule="exact"/>
        <w:rPr>
          <w:sz w:val="20"/>
          <w:szCs w:val="20"/>
          <w:color w:val="auto"/>
        </w:rPr>
      </w:pPr>
    </w:p>
    <w:p>
      <w:pPr>
        <w:ind w:left="1000" w:hanging="546"/>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85" w:lineRule="exact"/>
        <w:rPr>
          <w:sz w:val="20"/>
          <w:szCs w:val="20"/>
          <w:color w:val="auto"/>
        </w:rPr>
      </w:pPr>
    </w:p>
    <w:p>
      <w:pPr>
        <w:ind w:right="140" w:firstLine="456"/>
        <w:spacing w:after="0" w:line="261"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90" w:lineRule="exact"/>
        <w:rPr>
          <w:sz w:val="20"/>
          <w:szCs w:val="20"/>
          <w:color w:val="auto"/>
        </w:rPr>
      </w:pPr>
    </w:p>
    <w:p>
      <w:pPr>
        <w:ind w:left="1000" w:hanging="546"/>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w:t>
      </w:r>
    </w:p>
    <w:p>
      <w:pPr>
        <w:spacing w:after="0" w:line="130" w:lineRule="exact"/>
        <w:rPr>
          <w:rFonts w:ascii="Arial" w:cs="Arial" w:eastAsia="Arial" w:hAnsi="Arial"/>
          <w:sz w:val="18"/>
          <w:szCs w:val="18"/>
          <w:color w:val="auto"/>
        </w:rPr>
      </w:pPr>
    </w:p>
    <w:p>
      <w:pPr>
        <w:ind w:left="1000" w:hanging="546"/>
        <w:spacing w:after="0" w:line="277"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76" w:lineRule="exact"/>
        <w:rPr>
          <w:sz w:val="20"/>
          <w:szCs w:val="20"/>
          <w:color w:val="auto"/>
        </w:rPr>
      </w:pPr>
    </w:p>
    <w:p>
      <w:pPr>
        <w:ind w:left="1000" w:hanging="546"/>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Control Share Acquisitions. </w:t>
      </w:r>
      <w:r>
        <w:rPr>
          <w:rFonts w:ascii="Arial" w:cs="Arial" w:eastAsia="Arial" w:hAnsi="Arial"/>
          <w:sz w:val="18"/>
          <w:szCs w:val="18"/>
          <w:color w:val="auto"/>
        </w:rPr>
        <w:t>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8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76" w:lineRule="exact"/>
        <w:rPr>
          <w:sz w:val="20"/>
          <w:szCs w:val="20"/>
          <w:color w:val="auto"/>
        </w:rPr>
      </w:pPr>
    </w:p>
    <w:p>
      <w:pPr>
        <w:ind w:left="1000" w:hanging="546"/>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70"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77"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to or affecting an acquisition or a potential acquisition of control is not subject under Maryland law to a higher duty or greater scrutiny than is applied to any other act of a trustee.</w:t>
      </w:r>
    </w:p>
    <w:p>
      <w:pPr>
        <w:spacing w:after="0" w:line="18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b w:val="1"/>
          <w:bCs w:val="1"/>
          <w:i w:val="1"/>
          <w:iCs w:val="1"/>
          <w:color w:val="auto"/>
        </w:rPr>
        <w:t xml:space="preserve">Number of Trustees. </w:t>
      </w:r>
      <w:r>
        <w:rPr>
          <w:rFonts w:ascii="Arial" w:cs="Arial" w:eastAsia="Arial" w:hAnsi="Arial"/>
          <w:sz w:val="18"/>
          <w:szCs w:val="18"/>
          <w:color w:val="auto"/>
        </w:rPr>
        <w:t>The number of trustees may be increased or decreased pursuant to the bylaws, provided that the total number of trustees may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less than five or more than 10. Under Maryland law and our declaration of trust, trustees are elected for one-year terms.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defined in our declaration of trust, by the vote of all the other trustees or the shareholders may remove a trustee, with or without cause, at any meeting of shareholders called for that purpose, either by:</w:t>
      </w:r>
    </w:p>
    <w:p>
      <w:pPr>
        <w:spacing w:after="0" w:line="86" w:lineRule="exact"/>
        <w:rPr>
          <w:sz w:val="20"/>
          <w:szCs w:val="20"/>
          <w:color w:val="auto"/>
        </w:rPr>
      </w:pPr>
    </w:p>
    <w:p>
      <w:pPr>
        <w:ind w:left="1000" w:right="640" w:hanging="546"/>
        <w:spacing w:after="0" w:line="277"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75" w:lineRule="exact"/>
        <w:rPr>
          <w:rFonts w:ascii="Arial" w:cs="Arial" w:eastAsia="Arial" w:hAnsi="Arial"/>
          <w:sz w:val="18"/>
          <w:szCs w:val="18"/>
          <w:color w:val="auto"/>
        </w:rPr>
      </w:pPr>
    </w:p>
    <w:p>
      <w:pPr>
        <w:ind w:left="1000" w:right="540" w:hanging="546"/>
        <w:spacing w:after="0" w:line="277"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66"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80" w:lineRule="exact"/>
        <w:rPr>
          <w:sz w:val="20"/>
          <w:szCs w:val="20"/>
          <w:color w:val="auto"/>
        </w:rPr>
      </w:pPr>
    </w:p>
    <w:p>
      <w:pPr>
        <w:ind w:right="160" w:firstLine="456"/>
        <w:spacing w:after="0" w:line="281" w:lineRule="auto"/>
        <w:rPr>
          <w:sz w:val="20"/>
          <w:szCs w:val="20"/>
          <w:color w:val="auto"/>
        </w:rPr>
      </w:pPr>
      <w:r>
        <w:rPr>
          <w:rFonts w:ascii="Arial" w:cs="Arial" w:eastAsia="Arial" w:hAnsi="Arial"/>
          <w:sz w:val="17"/>
          <w:szCs w:val="17"/>
          <w:b w:val="1"/>
          <w:bCs w:val="1"/>
          <w:i w:val="1"/>
          <w:iCs w:val="1"/>
          <w:color w:val="auto"/>
        </w:rPr>
        <w:t>Meetings of Shareholders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bylaws provide for an annual meeting of shareholders, to be held in May after delivery of the annual report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69"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require advance written notice for shareholders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5"/>
          <w:szCs w:val="15"/>
          <w:color w:val="auto"/>
        </w:rPr>
        <w:t>th</w:t>
      </w:r>
      <w:r>
        <w:rPr>
          <w:rFonts w:ascii="Arial" w:cs="Arial" w:eastAsia="Arial" w:hAnsi="Arial"/>
          <w:sz w:val="18"/>
          <w:szCs w:val="18"/>
          <w:color w:val="auto"/>
        </w:rPr>
        <w:t>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92"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For a special meeting, to nominate a trustee, a shareholder must deliver notice to our Secretary not earlier that the close of business on the 120</w:t>
      </w:r>
      <w:r>
        <w:rPr>
          <w:rFonts w:ascii="Arial" w:cs="Arial" w:eastAsia="Arial" w:hAnsi="Arial"/>
          <w:sz w:val="14"/>
          <w:szCs w:val="14"/>
          <w:color w:val="auto"/>
        </w:rPr>
        <w:t>th</w:t>
      </w:r>
      <w:r>
        <w:rPr>
          <w:rFonts w:ascii="Arial" w:cs="Arial" w:eastAsia="Arial" w:hAnsi="Arial"/>
          <w:sz w:val="17"/>
          <w:szCs w:val="17"/>
          <w:color w:val="auto"/>
        </w:rPr>
        <w:t xml:space="preserve"> day prior to the special meeting and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the special meeting or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78"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b w:val="1"/>
          <w:bCs w:val="1"/>
          <w:i w:val="1"/>
          <w:iCs w:val="1"/>
          <w:color w:val="auto"/>
        </w:rPr>
        <w:t xml:space="preserve">Shareholder Liability and Indemnification. </w:t>
      </w:r>
      <w:r>
        <w:rPr>
          <w:rFonts w:ascii="Arial" w:cs="Arial" w:eastAsia="Arial" w:hAnsi="Arial"/>
          <w:sz w:val="17"/>
          <w:szCs w:val="17"/>
          <w:color w:val="auto"/>
        </w:rPr>
        <w:t>Under Maryland law, you will not be personally liable for any obligation of ours solely because you are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4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Limitation of Liability of Trustees and Officers. </w:t>
      </w:r>
      <w:r>
        <w:rPr>
          <w:rFonts w:ascii="Arial" w:cs="Arial" w:eastAsia="Arial" w:hAnsi="Arial"/>
          <w:sz w:val="18"/>
          <w:szCs w:val="18"/>
          <w:color w:val="auto"/>
        </w:rPr>
        <w:t>Our declaration of trust, to the maximum extent permitted under Maryland law in effect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92" w:lineRule="exact"/>
        <w:rPr>
          <w:sz w:val="20"/>
          <w:szCs w:val="20"/>
          <w:color w:val="auto"/>
        </w:rPr>
      </w:pPr>
    </w:p>
    <w:p>
      <w:pPr>
        <w:ind w:left="1000" w:hanging="546"/>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130" w:lineRule="exact"/>
        <w:rPr>
          <w:rFonts w:ascii="Arial" w:cs="Arial" w:eastAsia="Arial" w:hAnsi="Arial"/>
          <w:sz w:val="18"/>
          <w:szCs w:val="18"/>
          <w:color w:val="auto"/>
        </w:rPr>
      </w:pPr>
    </w:p>
    <w:p>
      <w:pPr>
        <w:ind w:left="1000" w:right="180" w:hanging="546"/>
        <w:spacing w:after="0" w:line="277"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7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Indemnification of Directors and Officers. </w:t>
      </w:r>
      <w:r>
        <w:rPr>
          <w:rFonts w:ascii="Arial" w:cs="Arial" w:eastAsia="Arial" w:hAnsi="Arial"/>
          <w:sz w:val="18"/>
          <w:szCs w:val="18"/>
          <w:color w:val="auto"/>
        </w:rPr>
        <w:t>Our declaration of trust permits us to indemnify and advance expenses to, to the maximum extent permitted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 (iii) 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229"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The following section summarizes the material federal income tax issues that you may consider relevant relating to our taxation as a REIT under the Code, and the acquisition, ownership, and disposition of our common, preferred, and depositary shares. If we offer one or more additional series of common shares or preferred shares, debt securities, depositary shares, or warrants to purchase debt or equity securities, the prospectus supplement would include information about additional material U.S. federal income tax considerations to holders of any of the offered securities.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the discussion of the tax treatment of our shareholders addresses only common or preferred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72"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8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PROSPECTIVE INVESTORS SHOULD CONSULT THEIR TAX ADVISORS REGARDING THE SPECIFIC FEDERAL, STATE, LOCAL, FOREIGN AND OTHER TAX CONSEQUENCES TO THEM OF THE ACQUISITION, OWNERSHIP AND DISPOSITION OF OUR COMMON OR PREFERRED SHARES, OUR ELECTION TO BE TAXED AS A REIT AND THE EFFECT OF POTENTIAL CHANGES IN APPLICABLE TAX LAWS.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121"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24"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We elected to be taxed as a REIT under the federal income tax laws when we filed our 1962 federal income tax return. We have been organized and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8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In the opinion of our tax counsel, Pillsbury Winthrop Shaw Pittman LLP, (i) we qualified as a REIT under Sections 856 through 860 of the Code with respect to each of our taxable years ended through December 31, 2017;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6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as a result of a deduction we receive for such distributions (the “dividends paid deduction”).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92" w:lineRule="exact"/>
        <w:rPr>
          <w:sz w:val="20"/>
          <w:szCs w:val="20"/>
          <w:color w:val="auto"/>
        </w:rPr>
      </w:pPr>
    </w:p>
    <w:p>
      <w:pPr>
        <w:ind w:left="1000" w:right="240" w:hanging="546"/>
        <w:spacing w:after="0" w:line="277"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75" w:lineRule="exact"/>
        <w:rPr>
          <w:rFonts w:ascii="Arial" w:cs="Arial" w:eastAsia="Arial" w:hAnsi="Arial"/>
          <w:sz w:val="18"/>
          <w:szCs w:val="18"/>
          <w:color w:val="auto"/>
        </w:rPr>
      </w:pPr>
    </w:p>
    <w:p>
      <w:pPr>
        <w:ind w:left="1000" w:right="660" w:hanging="546"/>
        <w:spacing w:after="0" w:line="277"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for our taxable years ending on or prior to December 31, 2017, we may be subject to the “alternative minimum tax” on any items of tax preference that we do not distribute or allocate to our shareholders;</w:t>
      </w:r>
    </w:p>
    <w:p>
      <w:pPr>
        <w:spacing w:after="0" w:line="75" w:lineRule="exact"/>
        <w:rPr>
          <w:rFonts w:ascii="Arial" w:cs="Arial" w:eastAsia="Arial" w:hAnsi="Arial"/>
          <w:sz w:val="18"/>
          <w:szCs w:val="18"/>
          <w:color w:val="auto"/>
        </w:rPr>
      </w:pPr>
    </w:p>
    <w:p>
      <w:pPr>
        <w:ind w:left="1000" w:hanging="546"/>
        <w:spacing w:after="0" w:line="286" w:lineRule="auto"/>
        <w:tabs>
          <w:tab w:leader="none" w:pos="10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70" w:lineRule="exact"/>
        <w:rPr>
          <w:rFonts w:ascii="Arial" w:cs="Arial" w:eastAsia="Arial" w:hAnsi="Arial"/>
          <w:sz w:val="17"/>
          <w:szCs w:val="17"/>
          <w:color w:val="auto"/>
        </w:rPr>
      </w:pPr>
    </w:p>
    <w:p>
      <w:pPr>
        <w:ind w:left="1000" w:right="640" w:hanging="546"/>
        <w:spacing w:after="0" w:line="277"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75" w:lineRule="exact"/>
        <w:rPr>
          <w:rFonts w:ascii="Arial" w:cs="Arial" w:eastAsia="Arial" w:hAnsi="Arial"/>
          <w:sz w:val="18"/>
          <w:szCs w:val="18"/>
          <w:color w:val="auto"/>
        </w:rPr>
      </w:pPr>
    </w:p>
    <w:p>
      <w:pPr>
        <w:ind w:left="1000" w:right="200" w:hanging="546"/>
        <w:spacing w:after="0" w:line="277"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will pay a 100% excise tax on transactions with a “taxable REIT subsidiary” that are not conducted on an arm’s-length basis;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“—Requirements for REIT Qualification</w:t>
      </w:r>
    </w:p>
    <w:p>
      <w:pPr>
        <w:spacing w:after="0" w:line="46" w:lineRule="exact"/>
        <w:rPr>
          <w:rFonts w:ascii="Arial" w:cs="Arial" w:eastAsia="Arial" w:hAnsi="Arial"/>
          <w:sz w:val="16"/>
          <w:szCs w:val="16"/>
          <w:color w:val="auto"/>
        </w:rPr>
      </w:pPr>
    </w:p>
    <w:p>
      <w:pPr>
        <w:ind w:left="1000" w:right="4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95" w:lineRule="exact"/>
        <w:rPr>
          <w:rFonts w:ascii="Arial" w:cs="Arial" w:eastAsia="Arial" w:hAnsi="Arial"/>
          <w:sz w:val="16"/>
          <w:szCs w:val="16"/>
          <w:color w:val="auto"/>
        </w:rPr>
      </w:pPr>
    </w:p>
    <w:p>
      <w:pPr>
        <w:ind w:left="1000" w:right="120" w:hanging="546"/>
        <w:spacing w:after="0" w:line="279" w:lineRule="auto"/>
        <w:tabs>
          <w:tab w:leader="none" w:pos="10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76" w:lineRule="exact"/>
        <w:rPr>
          <w:rFonts w:ascii="Arial" w:cs="Arial" w:eastAsia="Arial" w:hAnsi="Arial"/>
          <w:sz w:val="17"/>
          <w:szCs w:val="17"/>
          <w:color w:val="auto"/>
        </w:rPr>
      </w:pPr>
    </w:p>
    <w:p>
      <w:pPr>
        <w:ind w:left="1000" w:right="60" w:hanging="546"/>
        <w:spacing w:after="0" w:line="286" w:lineRule="auto"/>
        <w:tabs>
          <w:tab w:leader="none" w:pos="10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right="20" w:hanging="546"/>
        <w:spacing w:after="0" w:line="259"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92" w:lineRule="exact"/>
        <w:rPr>
          <w:rFonts w:ascii="Arial" w:cs="Arial" w:eastAsia="Arial" w:hAnsi="Arial"/>
          <w:sz w:val="18"/>
          <w:szCs w:val="18"/>
          <w:color w:val="auto"/>
        </w:rPr>
      </w:pPr>
    </w:p>
    <w:p>
      <w:pPr>
        <w:ind w:left="1000" w:right="280" w:hanging="546"/>
        <w:spacing w:after="0" w:line="277"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130" w:lineRule="exact"/>
        <w:rPr>
          <w:rFonts w:ascii="Arial" w:cs="Arial" w:eastAsia="Arial" w:hAnsi="Arial"/>
          <w:sz w:val="18"/>
          <w:szCs w:val="18"/>
          <w:color w:val="auto"/>
        </w:rPr>
      </w:pPr>
    </w:p>
    <w:p>
      <w:pPr>
        <w:ind w:left="1000" w:hanging="546"/>
        <w:spacing w:after="0" w:line="255"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5-year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131" w:lineRule="exact"/>
        <w:rPr>
          <w:sz w:val="20"/>
          <w:szCs w:val="20"/>
          <w:color w:val="auto"/>
        </w:rPr>
      </w:pPr>
    </w:p>
    <w:p>
      <w:pPr>
        <w:ind w:left="1020" w:hanging="566"/>
        <w:spacing w:after="0"/>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130" w:lineRule="exact"/>
        <w:rPr>
          <w:rFonts w:ascii="Arial" w:cs="Arial" w:eastAsia="Arial" w:hAnsi="Arial"/>
          <w:sz w:val="18"/>
          <w:szCs w:val="18"/>
          <w:color w:val="auto"/>
        </w:rPr>
      </w:pPr>
    </w:p>
    <w:p>
      <w:pPr>
        <w:ind w:left="1020" w:hanging="566"/>
        <w:spacing w:after="0"/>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130" w:lineRule="exact"/>
        <w:rPr>
          <w:rFonts w:ascii="Arial" w:cs="Arial" w:eastAsia="Arial" w:hAnsi="Arial"/>
          <w:sz w:val="18"/>
          <w:szCs w:val="18"/>
          <w:color w:val="auto"/>
        </w:rPr>
      </w:pPr>
    </w:p>
    <w:p>
      <w:pPr>
        <w:ind w:left="1020" w:hanging="566"/>
        <w:spacing w:after="0"/>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130" w:lineRule="exact"/>
        <w:rPr>
          <w:rFonts w:ascii="Arial" w:cs="Arial" w:eastAsia="Arial" w:hAnsi="Arial"/>
          <w:sz w:val="18"/>
          <w:szCs w:val="18"/>
          <w:color w:val="auto"/>
        </w:rPr>
      </w:pPr>
    </w:p>
    <w:p>
      <w:pPr>
        <w:ind w:left="1020" w:hanging="566"/>
        <w:spacing w:after="0"/>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130" w:lineRule="exact"/>
        <w:rPr>
          <w:rFonts w:ascii="Arial" w:cs="Arial" w:eastAsia="Arial" w:hAnsi="Arial"/>
          <w:sz w:val="18"/>
          <w:szCs w:val="18"/>
          <w:color w:val="auto"/>
        </w:rPr>
      </w:pPr>
    </w:p>
    <w:p>
      <w:pPr>
        <w:ind w:left="1020" w:hanging="566"/>
        <w:spacing w:after="0"/>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130" w:lineRule="exact"/>
        <w:rPr>
          <w:rFonts w:ascii="Arial" w:cs="Arial" w:eastAsia="Arial" w:hAnsi="Arial"/>
          <w:sz w:val="18"/>
          <w:szCs w:val="18"/>
          <w:color w:val="auto"/>
        </w:rPr>
      </w:pPr>
    </w:p>
    <w:p>
      <w:pPr>
        <w:ind w:left="1020" w:right="40" w:hanging="566"/>
        <w:spacing w:after="0" w:line="277" w:lineRule="auto"/>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75" w:lineRule="exact"/>
        <w:rPr>
          <w:rFonts w:ascii="Arial" w:cs="Arial" w:eastAsia="Arial" w:hAnsi="Arial"/>
          <w:sz w:val="18"/>
          <w:szCs w:val="18"/>
          <w:color w:val="auto"/>
        </w:rPr>
      </w:pPr>
    </w:p>
    <w:p>
      <w:pPr>
        <w:ind w:left="1020" w:right="760" w:hanging="566"/>
        <w:spacing w:after="0" w:line="277" w:lineRule="auto"/>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75" w:lineRule="exact"/>
        <w:rPr>
          <w:rFonts w:ascii="Arial" w:cs="Arial" w:eastAsia="Arial" w:hAnsi="Arial"/>
          <w:sz w:val="18"/>
          <w:szCs w:val="18"/>
          <w:color w:val="auto"/>
        </w:rPr>
      </w:pPr>
    </w:p>
    <w:p>
      <w:pPr>
        <w:ind w:left="1020" w:right="760" w:hanging="566"/>
        <w:spacing w:after="0" w:line="277" w:lineRule="auto"/>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75" w:lineRule="exact"/>
        <w:rPr>
          <w:rFonts w:ascii="Arial" w:cs="Arial" w:eastAsia="Arial" w:hAnsi="Arial"/>
          <w:sz w:val="18"/>
          <w:szCs w:val="18"/>
          <w:color w:val="auto"/>
        </w:rPr>
      </w:pPr>
    </w:p>
    <w:p>
      <w:pPr>
        <w:ind w:left="1020" w:right="60" w:hanging="566"/>
        <w:spacing w:after="0" w:line="277" w:lineRule="auto"/>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7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459" w:right="3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all of our direct corporate subsidiaries are qualified REIT subsidiaries, except for those that would qualify as taxable REIT subsidiaries or subsidiary REITs. Accordingly, our qualified REIT subsidiaries are not subject to federal corporate income taxation, though they may be subject to state and local taxation.</w:t>
      </w:r>
    </w:p>
    <w:p>
      <w:pPr>
        <w:spacing w:after="0" w:line="18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An unincorporated domestic entity, such as a partnership or a limited liability company, with two or more beneficial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 Under partnership audit changes enacted in 2015 and generally effective for audits in 2018 and later, a partnership (and not the partners) must pay any “imputed underpayments,” consisting of delinquent taxes, interest, and penalties deemed to arise out of an audit of the partnership, unless certain alternative methods are available and the partnership elects to utilize them. The IRS has proposed regulations providing details on some of these provisions, but the timing and content of final regulations remains uncertain. Accordingly, it is possible that in the future, we and/or any partnership in which we are a partner could be subject to, or otherwise bear the economic burden of, federal income tax, interest, and penalties resulting from a federal income tax audit.</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Income Tests. </w:t>
      </w:r>
      <w:r>
        <w:rPr>
          <w:rFonts w:ascii="Arial" w:cs="Arial" w:eastAsia="Arial" w:hAnsi="Arial"/>
          <w:sz w:val="18"/>
          <w:szCs w:val="18"/>
          <w:color w:val="auto"/>
        </w:rPr>
        <w:t>We must satisfy two gross income tests annually to maintain our qualification as a REIT:</w:t>
      </w:r>
    </w:p>
    <w:p>
      <w:pPr>
        <w:spacing w:after="0" w:line="131" w:lineRule="exact"/>
        <w:rPr>
          <w:sz w:val="20"/>
          <w:szCs w:val="20"/>
          <w:color w:val="auto"/>
        </w:rPr>
      </w:pPr>
    </w:p>
    <w:p>
      <w:pPr>
        <w:ind w:left="1000" w:hanging="546"/>
        <w:spacing w:after="0" w:line="271" w:lineRule="auto"/>
        <w:tabs>
          <w:tab w:leader="none" w:pos="10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other than debt instruments of “publicly offered” REITs (REITs that are required to file annual and periodic reports with the Securities and Exchange Commission under the Securities Exchange Act of 1934) that qualify as real estate assets solely for that reason, and dividends or other distributions on and gain from the sale of shares in other REITs; and</w:t>
      </w:r>
    </w:p>
    <w:p>
      <w:pPr>
        <w:spacing w:after="0" w:line="84" w:lineRule="exact"/>
        <w:rPr>
          <w:rFonts w:ascii="Arial" w:cs="Arial" w:eastAsia="Arial" w:hAnsi="Arial"/>
          <w:sz w:val="17"/>
          <w:szCs w:val="17"/>
          <w:color w:val="auto"/>
        </w:rPr>
      </w:pPr>
    </w:p>
    <w:p>
      <w:pPr>
        <w:ind w:left="1000" w:hanging="546"/>
        <w:spacing w:after="0" w:line="279" w:lineRule="auto"/>
        <w:tabs>
          <w:tab w:leader="none" w:pos="10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 under the REIT tax rules:</w:t>
      </w:r>
    </w:p>
    <w:p>
      <w:pPr>
        <w:spacing w:after="0" w:line="87" w:lineRule="exact"/>
        <w:rPr>
          <w:sz w:val="20"/>
          <w:szCs w:val="20"/>
          <w:color w:val="auto"/>
        </w:rPr>
      </w:pPr>
    </w:p>
    <w:p>
      <w:pPr>
        <w:ind w:left="1000" w:right="160" w:hanging="546"/>
        <w:spacing w:after="0" w:line="255" w:lineRule="auto"/>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the rent is based, in whole or in part, on the income or profits of any person although, generally, rent may be based on a fixed percentage or percentages of receipts or sales, the rent will not qualify as “rents from real property.” Our leases provide for either fixed rent, sometimes with scheduled escalations, or a fixed minimum rent and a percentage of gross receipts in excess of some threshold.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98" w:lineRule="exact"/>
        <w:rPr>
          <w:rFonts w:ascii="Arial" w:cs="Arial" w:eastAsia="Arial" w:hAnsi="Arial"/>
          <w:sz w:val="18"/>
          <w:szCs w:val="18"/>
          <w:color w:val="auto"/>
        </w:rPr>
      </w:pPr>
    </w:p>
    <w:p>
      <w:pPr>
        <w:ind w:left="1000" w:hanging="546"/>
        <w:spacing w:after="0" w:line="287" w:lineRule="auto"/>
        <w:tabs>
          <w:tab w:leader="none" w:pos="10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where we may rent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74" w:lineRule="exact"/>
        <w:rPr>
          <w:rFonts w:ascii="Arial" w:cs="Arial" w:eastAsia="Arial" w:hAnsi="Arial"/>
          <w:sz w:val="16"/>
          <w:szCs w:val="16"/>
          <w:color w:val="auto"/>
        </w:rPr>
      </w:pPr>
    </w:p>
    <w:p>
      <w:pPr>
        <w:ind w:left="1000" w:right="40" w:hanging="546"/>
        <w:spacing w:after="0" w:line="273" w:lineRule="auto"/>
        <w:tabs>
          <w:tab w:leader="none" w:pos="10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On an ongoing basis we use and will use our best efforts to ensure that all space leased to our taxable REIT subsidiaries meets these conditions, unless we determine in our discretion that the related party rent received from a taxable REIT subsidiary will not jeopardize our status as a REIT;</w:t>
      </w:r>
    </w:p>
    <w:p>
      <w:pPr>
        <w:spacing w:after="0" w:line="83" w:lineRule="exact"/>
        <w:rPr>
          <w:rFonts w:ascii="Arial" w:cs="Arial" w:eastAsia="Arial" w:hAnsi="Arial"/>
          <w:sz w:val="17"/>
          <w:szCs w:val="17"/>
          <w:color w:val="auto"/>
        </w:rPr>
      </w:pPr>
    </w:p>
    <w:p>
      <w:pPr>
        <w:ind w:left="1000" w:right="40" w:hanging="546"/>
        <w:spacing w:after="0" w:line="270" w:lineRule="auto"/>
        <w:tabs>
          <w:tab w:leader="none" w:pos="10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If the rent attributable to personal property leased in connection with a lease of real property is 15% or less of the total rent received under the lease, then the rent attributable to personal property will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hanging="546"/>
        <w:spacing w:after="0" w:line="270" w:lineRule="auto"/>
        <w:tabs>
          <w:tab w:leader="none" w:pos="10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In general,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 unless, in either instance, we have determined or we determine in our discretion that the amount of disqualified rent resulting from such services will not jeopardize our status as a REIT.</w:t>
      </w:r>
    </w:p>
    <w:p>
      <w:pPr>
        <w:spacing w:after="0" w:line="17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8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b w:val="1"/>
          <w:bCs w:val="1"/>
          <w:i w:val="1"/>
          <w:iCs w:val="1"/>
          <w:color w:val="auto"/>
        </w:rPr>
        <w:t xml:space="preserve">Interest. </w:t>
      </w:r>
      <w:r>
        <w:rPr>
          <w:rFonts w:ascii="Arial" w:cs="Arial" w:eastAsia="Arial" w:hAnsi="Arial"/>
          <w:sz w:val="17"/>
          <w:szCs w:val="17"/>
          <w:color w:val="auto"/>
        </w:rPr>
        <w:t>For purposes of the gross income tests, the term “interest” generally does not include any amount received or accrued, directly or indirectly,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78"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Interest on, and gains from the sale or other disposition of, debt secured by a mortgage on both real and personal property is qualifying income for purposes of both the 95% and 75% gross income tests if the fair market value of the personal property securing the debt does not exceed 15% of the total fair market value of all property securing the debt. However, in the case of acquisition of an existing loan secured by both real property and other property that does not meet the requirements of the previous sentence, if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 — that is, the amount by which the loan principal exceeds the value of the real estate that is security for the loan as of the date we agreed to acquire the loan.</w:t>
      </w:r>
    </w:p>
    <w:p>
      <w:pPr>
        <w:spacing w:after="0" w:line="173"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Our share of any dividends received from any corporation (including any taxable REIT subsidiary, but excluding any REIT) in which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 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66"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b w:val="1"/>
          <w:bCs w:val="1"/>
          <w:i w:val="1"/>
          <w:iCs w:val="1"/>
          <w:color w:val="auto"/>
        </w:rPr>
        <w:t xml:space="preserve">Tax on Income From Property Acquired in Foreclosure. </w:t>
      </w:r>
      <w:r>
        <w:rPr>
          <w:rFonts w:ascii="Arial" w:cs="Arial" w:eastAsia="Arial" w:hAnsi="Arial"/>
          <w:sz w:val="16"/>
          <w:szCs w:val="16"/>
          <w:color w:val="auto"/>
        </w:rPr>
        <w:t>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“Foreclosure property” is any real property (including interests in real property) and any personal property incident to such real property:</w:t>
      </w:r>
    </w:p>
    <w:p>
      <w:pPr>
        <w:spacing w:after="0" w:line="131" w:lineRule="exact"/>
        <w:rPr>
          <w:sz w:val="20"/>
          <w:szCs w:val="20"/>
          <w:color w:val="auto"/>
        </w:rPr>
      </w:pPr>
    </w:p>
    <w:p>
      <w:pPr>
        <w:ind w:left="1000" w:right="40" w:hanging="546"/>
        <w:spacing w:after="0" w:line="308" w:lineRule="auto"/>
        <w:tabs>
          <w:tab w:leader="none" w:pos="10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51" w:lineRule="exact"/>
        <w:rPr>
          <w:rFonts w:ascii="Arial" w:cs="Arial" w:eastAsia="Arial" w:hAnsi="Arial"/>
          <w:sz w:val="17"/>
          <w:szCs w:val="17"/>
          <w:color w:val="auto"/>
        </w:rPr>
      </w:pPr>
    </w:p>
    <w:p>
      <w:pPr>
        <w:ind w:left="1000" w:hanging="546"/>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22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7" w:lineRule="exact"/>
        <w:rPr>
          <w:sz w:val="20"/>
          <w:szCs w:val="20"/>
          <w:color w:val="auto"/>
        </w:rPr>
      </w:pPr>
    </w:p>
    <w:p>
      <w:pPr>
        <w:ind w:left="1000" w:right="100" w:hanging="546"/>
        <w:spacing w:after="0" w:line="277" w:lineRule="auto"/>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75" w:lineRule="exact"/>
        <w:rPr>
          <w:rFonts w:ascii="Arial" w:cs="Arial" w:eastAsia="Arial" w:hAnsi="Arial"/>
          <w:sz w:val="18"/>
          <w:szCs w:val="18"/>
          <w:color w:val="auto"/>
        </w:rPr>
      </w:pPr>
    </w:p>
    <w:p>
      <w:pPr>
        <w:jc w:val="both"/>
        <w:ind w:left="1000" w:right="100" w:hanging="546"/>
        <w:spacing w:after="0" w:line="264" w:lineRule="auto"/>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86" w:lineRule="exact"/>
        <w:rPr>
          <w:rFonts w:ascii="Arial" w:cs="Arial" w:eastAsia="Arial" w:hAnsi="Arial"/>
          <w:sz w:val="18"/>
          <w:szCs w:val="18"/>
          <w:color w:val="auto"/>
        </w:rPr>
      </w:pPr>
    </w:p>
    <w:p>
      <w:pPr>
        <w:ind w:left="1000" w:right="360" w:hanging="546"/>
        <w:spacing w:after="0" w:line="308" w:lineRule="auto"/>
        <w:tabs>
          <w:tab w:leader="none" w:pos="10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51" w:lineRule="exact"/>
        <w:rPr>
          <w:rFonts w:ascii="Arial" w:cs="Arial" w:eastAsia="Arial" w:hAnsi="Arial"/>
          <w:sz w:val="17"/>
          <w:szCs w:val="17"/>
          <w:color w:val="auto"/>
        </w:rPr>
      </w:pPr>
    </w:p>
    <w:p>
      <w:pPr>
        <w:ind w:left="1000" w:right="40" w:hanging="546"/>
        <w:spacing w:after="0" w:line="264" w:lineRule="auto"/>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 or through a taxable REIT subsidiary).</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Tax on Prohibited Transactions. </w:t>
      </w:r>
      <w:r>
        <w:rPr>
          <w:rFonts w:ascii="Arial" w:cs="Arial" w:eastAsia="Arial" w:hAnsi="Arial"/>
          <w:sz w:val="18"/>
          <w:szCs w:val="18"/>
          <w:color w:val="auto"/>
        </w:rPr>
        <w:t>A REIT will incur a 100% tax on net income (taking into account foreign currency gains and losses) derived from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89"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Code provides a safe harbor that, if met by us,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With respect to clause (iii) above, if we rely on one of the alternative percentage tests rather than the</w:t>
      </w:r>
    </w:p>
    <w:p>
      <w:pPr>
        <w:spacing w:after="0" w:line="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7-sale limitation, (A) we are permitted to sell properties with an aggregate adjusted basis (or fair market value) of up to 20% of the aggregate bases in (or fair market value of) our assets as long as the 10% standard is satisfied on average over the three-year period comprised of the taxable year at issue and the two immediately preceding taxable years, and (B) substantially all of the marketing and development expenditures with respect to the property must be made through a taxable REIT subsidiary or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Tax and Deduction Limits on Certain Transactions with Taxable REIT Subsidiaries. </w:t>
      </w:r>
      <w:r>
        <w:rPr>
          <w:rFonts w:ascii="Arial" w:cs="Arial" w:eastAsia="Arial" w:hAnsi="Arial"/>
          <w:sz w:val="18"/>
          <w:szCs w:val="18"/>
          <w:color w:val="auto"/>
        </w:rPr>
        <w:t>A REIT will incur a 100% tax on certain transactions between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but recent changes to the interest deduction rules may affect interest deductions of our taxable REIT subsidiaries under some circumstances.</w:t>
      </w:r>
    </w:p>
    <w:p>
      <w:pPr>
        <w:spacing w:after="0" w:line="18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b w:val="1"/>
          <w:bCs w:val="1"/>
          <w:i w:val="1"/>
          <w:iCs w:val="1"/>
          <w:color w:val="auto"/>
        </w:rPr>
        <w:t xml:space="preserve">Hedging Transactions. </w:t>
      </w:r>
      <w:r>
        <w:rPr>
          <w:rFonts w:ascii="Arial" w:cs="Arial" w:eastAsia="Arial" w:hAnsi="Arial"/>
          <w:sz w:val="18"/>
          <w:szCs w:val="18"/>
          <w:color w:val="auto"/>
        </w:rPr>
        <w:t>Except to the extent provided by Treasury regulations, any income we derive from a hedging transaction (which may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entering into interest rate swaps, caps, and floors, options to purchase these items, and futures and forward contracts) which (i) is clearly identified as such as specified in the Code and Treasury regulations, and (ii) hedges indebtedness incurred or to be incurred by us to acquire or carry real estate assets or is entered into primarily to manage the risk of foreign currency fluctuations with respect to qualifying income under the 75% or 95% gross income test, including gain from the sale or disposition of such a transaction and certain income from hedging transactions entered into to hedge existing hedging positions after any portion of the hedged indebtedness or property is disposed of, will not constitute gross income for purposes of either the 75% or 95% gross income test, and therefore will be exempt from these tests. Income from any hedging transaction not described above will likely be treated as nonqualifying for both the 75% and 95% gross income tests.</w:t>
      </w:r>
    </w:p>
    <w:p>
      <w:pPr>
        <w:spacing w:after="0" w:line="192"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b w:val="1"/>
          <w:bCs w:val="1"/>
          <w:i w:val="1"/>
          <w:iCs w:val="1"/>
          <w:color w:val="auto"/>
        </w:rPr>
        <w:t xml:space="preserve">Like-Kind Exchanges. </w:t>
      </w:r>
      <w:r>
        <w:rPr>
          <w:rFonts w:ascii="Arial" w:cs="Arial" w:eastAsia="Arial" w:hAnsi="Arial"/>
          <w:sz w:val="17"/>
          <w:szCs w:val="17"/>
          <w:color w:val="auto"/>
        </w:rPr>
        <w:t>We may dispose of properties in transactions intended to qualify as like-kind exchanges under the Code. Such like-kind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 Recent legislative changes eliminate like-kind exchanges for most personal property.</w:t>
      </w:r>
    </w:p>
    <w:p>
      <w:pPr>
        <w:spacing w:after="0" w:line="171"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w:t>
      </w:r>
    </w:p>
    <w:p>
      <w:pPr>
        <w:spacing w:after="0" w:line="2"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Asset Tests. </w:t>
      </w:r>
      <w:r>
        <w:rPr>
          <w:rFonts w:ascii="Arial" w:cs="Arial" w:eastAsia="Arial" w:hAnsi="Arial"/>
          <w:sz w:val="16"/>
          <w:szCs w:val="16"/>
          <w:color w:val="auto"/>
        </w:rPr>
        <w:t>To maintain our qualification as a REIT, we also must satisfy the following asset tests at the close of each quarter of each taxable year:</w:t>
      </w:r>
    </w:p>
    <w:p>
      <w:pPr>
        <w:spacing w:after="0" w:line="154" w:lineRule="exact"/>
        <w:rPr>
          <w:sz w:val="20"/>
          <w:szCs w:val="20"/>
          <w:color w:val="auto"/>
        </w:rPr>
      </w:pPr>
    </w:p>
    <w:p>
      <w:pPr>
        <w:ind w:left="1000" w:right="320" w:hanging="546"/>
        <w:spacing w:after="0" w:line="277"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75" w:lineRule="exact"/>
        <w:rPr>
          <w:rFonts w:ascii="Arial" w:cs="Arial" w:eastAsia="Arial" w:hAnsi="Arial"/>
          <w:sz w:val="18"/>
          <w:szCs w:val="18"/>
          <w:color w:val="auto"/>
        </w:rPr>
      </w:pPr>
    </w:p>
    <w:p>
      <w:pPr>
        <w:ind w:left="1480" w:right="40" w:hanging="446"/>
        <w:spacing w:after="0" w:line="259" w:lineRule="auto"/>
        <w:tabs>
          <w:tab w:leader="none" w:pos="14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on interests in real property, stock in other REITs, and debt instruments of publicly offered REITs. Real estate assets also include personal property to the extent that rent attributable to such personal property qualifies as rents from real property because it does not exceed 15% of the total rent received under the lease. We believe that our properties qualify as real estate assets.</w:t>
      </w:r>
    </w:p>
    <w:p>
      <w:pPr>
        <w:spacing w:after="0" w:line="92" w:lineRule="exact"/>
        <w:rPr>
          <w:rFonts w:ascii="Arial" w:cs="Arial" w:eastAsia="Arial" w:hAnsi="Arial"/>
          <w:sz w:val="18"/>
          <w:szCs w:val="18"/>
          <w:color w:val="auto"/>
        </w:rPr>
      </w:pPr>
    </w:p>
    <w:p>
      <w:pPr>
        <w:jc w:val="both"/>
        <w:ind w:left="1480" w:right="80" w:hanging="446"/>
        <w:spacing w:after="0" w:line="264" w:lineRule="auto"/>
        <w:tabs>
          <w:tab w:leader="none" w:pos="14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86" w:lineRule="exact"/>
        <w:rPr>
          <w:rFonts w:ascii="Arial" w:cs="Arial" w:eastAsia="Arial" w:hAnsi="Arial"/>
          <w:sz w:val="18"/>
          <w:szCs w:val="18"/>
          <w:color w:val="auto"/>
        </w:rPr>
      </w:pPr>
    </w:p>
    <w:p>
      <w:pPr>
        <w:ind w:left="1480" w:right="200" w:hanging="446"/>
        <w:spacing w:after="0" w:line="277" w:lineRule="auto"/>
        <w:tabs>
          <w:tab w:leader="none" w:pos="14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right="40" w:hanging="546"/>
        <w:spacing w:after="0" w:line="286" w:lineRule="auto"/>
        <w:tabs>
          <w:tab w:leader="none" w:pos="10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in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and</w:t>
      </w:r>
    </w:p>
    <w:p>
      <w:pPr>
        <w:spacing w:after="0" w:line="1" w:lineRule="exact"/>
        <w:rPr>
          <w:rFonts w:ascii="Arial" w:cs="Arial" w:eastAsia="Arial" w:hAnsi="Arial"/>
          <w:sz w:val="16"/>
          <w:szCs w:val="16"/>
          <w:color w:val="auto"/>
        </w:rPr>
      </w:pPr>
    </w:p>
    <w:p>
      <w:pPr>
        <w:ind w:left="1000" w:right="40"/>
        <w:spacing w:after="0" w:line="287" w:lineRule="auto"/>
        <w:rPr>
          <w:rFonts w:ascii="Arial" w:cs="Arial" w:eastAsia="Arial" w:hAnsi="Arial"/>
          <w:sz w:val="16"/>
          <w:szCs w:val="16"/>
          <w:color w:val="auto"/>
        </w:rPr>
      </w:pPr>
      <w:r>
        <w:rPr>
          <w:rFonts w:ascii="Arial" w:cs="Arial" w:eastAsia="Arial" w:hAnsi="Arial"/>
          <w:sz w:val="16"/>
          <w:szCs w:val="16"/>
          <w:color w:val="auto"/>
        </w:rPr>
        <w:t>(C) no more than 25% of the value of our total assets may consist of the securities of taxable REIT subsidiaries (unless they would otherwise be treated as real estate assets) and our assets that are not qualifying assets for purposes of the 75% asset test.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75" w:lineRule="exact"/>
        <w:rPr>
          <w:rFonts w:ascii="Arial" w:cs="Arial" w:eastAsia="Arial" w:hAnsi="Arial"/>
          <w:sz w:val="16"/>
          <w:szCs w:val="16"/>
          <w:color w:val="auto"/>
        </w:rPr>
      </w:pPr>
    </w:p>
    <w:p>
      <w:pPr>
        <w:ind w:left="1000" w:right="480" w:hanging="546"/>
        <w:spacing w:after="0" w:line="277" w:lineRule="auto"/>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value of our securities in one or more taxable REIT subsidiaries (unless they would otherwise be treated as real estate assets) may not exceed 20% of the value of our total assets.</w:t>
      </w:r>
    </w:p>
    <w:p>
      <w:pPr>
        <w:spacing w:after="0" w:line="75" w:lineRule="exact"/>
        <w:rPr>
          <w:rFonts w:ascii="Arial" w:cs="Arial" w:eastAsia="Arial" w:hAnsi="Arial"/>
          <w:sz w:val="18"/>
          <w:szCs w:val="18"/>
          <w:color w:val="auto"/>
        </w:rPr>
      </w:pPr>
    </w:p>
    <w:p>
      <w:pPr>
        <w:ind w:left="1000" w:right="220" w:hanging="546"/>
        <w:spacing w:after="0" w:line="277" w:lineRule="auto"/>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value of our holdings in debt instruments of publicly offered REITs (unless they would otherwise be treated as real estate assets) may not exceed 25% of the value of our total assets.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22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described above, we may from time to time hold mortgage debt. Mortgage loans will generally qualify as real estate assets for purposes of the 75% asset test to the extent that they are secured by real property. Further, a loan secured by a mortgage on both real and personal property qualifies as a real estate asset for purposes of the 75% asset test if the fair market value of the personal property securing the loan does not exceed 15% of the total fair market value of all property securing the loan. However, for a loan secured by both real property and other property that does not meet the requirements of the previous sentence, if the highest principal amount of the loan outstanding during a taxable year exceeds the fair market value of the real property securing the loan as of the date we agreed to acquire the loan, then a portion of such loan likely will not be a qualifying real estate asset. Under Revenue Procedure 2014-51,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real property on the date the REIT acquires the loan, or (ii) the current fair market value of the loan.</w:t>
      </w:r>
    </w:p>
    <w:p>
      <w:pPr>
        <w:spacing w:after="0" w:line="167" w:lineRule="exact"/>
        <w:rPr>
          <w:sz w:val="20"/>
          <w:szCs w:val="20"/>
          <w:color w:val="auto"/>
        </w:rPr>
      </w:pPr>
    </w:p>
    <w:p>
      <w:pPr>
        <w:jc w:val="both"/>
        <w:ind w:right="80" w:firstLine="456"/>
        <w:spacing w:after="0" w:line="288" w:lineRule="auto"/>
        <w:rPr>
          <w:sz w:val="20"/>
          <w:szCs w:val="20"/>
          <w:color w:val="auto"/>
        </w:rPr>
      </w:pPr>
      <w:r>
        <w:rPr>
          <w:rFonts w:ascii="Arial" w:cs="Arial" w:eastAsia="Arial" w:hAnsi="Arial"/>
          <w:sz w:val="16"/>
          <w:szCs w:val="16"/>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w:t>
      </w:r>
    </w:p>
    <w:p>
      <w:pPr>
        <w:ind w:right="300" w:firstLine="8"/>
        <w:spacing w:after="0" w:line="261" w:lineRule="auto"/>
        <w:tabs>
          <w:tab w:leader="none" w:pos="265" w:val="left"/>
        </w:tabs>
        <w:numPr>
          <w:ilvl w:val="0"/>
          <w:numId w:val="86"/>
        </w:numPr>
        <w:rPr>
          <w:rFonts w:ascii="Arial" w:cs="Arial" w:eastAsia="Arial" w:hAnsi="Arial"/>
          <w:sz w:val="18"/>
          <w:szCs w:val="18"/>
          <w:color w:val="auto"/>
        </w:rPr>
      </w:pPr>
      <w:r>
        <w:rPr>
          <w:rFonts w:ascii="Arial" w:cs="Arial" w:eastAsia="Arial" w:hAnsi="Arial"/>
          <w:sz w:val="18"/>
          <w:szCs w:val="18"/>
          <w:color w:val="auto"/>
        </w:rPr>
        <w:t>of the preceding sentence, we still could avoid disqualification as a REIT by eliminating any discrepancy within 30 days after the close of the calendar quarter in which the discrepancy arose.</w:t>
      </w:r>
    </w:p>
    <w:p>
      <w:pPr>
        <w:spacing w:after="0" w:line="18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Asset Tests. </w:t>
      </w:r>
      <w:r>
        <w:rPr>
          <w:rFonts w:ascii="Arial" w:cs="Arial" w:eastAsia="Arial" w:hAnsi="Arial"/>
          <w:sz w:val="16"/>
          <w:szCs w:val="16"/>
          <w:color w:val="auto"/>
        </w:rPr>
        <w:t>If we fail to satisfy one or more of the asset tests for any quarter of a taxable year,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w:t>
      </w:r>
    </w:p>
    <w:p>
      <w:pPr>
        <w:ind w:right="20"/>
        <w:spacing w:after="0" w:line="277" w:lineRule="auto"/>
        <w:rPr>
          <w:sz w:val="20"/>
          <w:szCs w:val="20"/>
          <w:color w:val="auto"/>
        </w:rPr>
      </w:pPr>
      <w:r>
        <w:rPr>
          <w:rFonts w:ascii="Arial" w:cs="Arial" w:eastAsia="Arial" w:hAnsi="Arial"/>
          <w:sz w:val="17"/>
          <w:szCs w:val="17"/>
          <w:color w:val="auto"/>
        </w:rPr>
        <w:t>$10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5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8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7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Further, with respect to our 2014 and prior taxable years, in order for distributions to have been counted as satisfying the annual distribution requirements for REITs and to provide us with a dividends paid deduction, our distributions must not have been “preferential dividends.” A dividend is not a preferential dividend if that distribution is (1) pro rata among all outstanding shares within a particular class and (2) in accordance with the preferences among different classes of shares as set forth in our organizational documents. For taxable years beginning after December 31, 2014, the preferential dividend rule does not apply to publicly offered REITs. We are a publicly offered REIT. Thus, so long as we continue to qualify as a publicly offered REIT, the preferential dividend rule does not apply to our 2015 and subsequent taxable years.</w:t>
      </w:r>
    </w:p>
    <w:p>
      <w:pPr>
        <w:spacing w:after="0" w:line="178"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9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additional preferred or common shares to raise the cash necessary to make required distributions or, if possible, pay taxable dividends of our shares or debt securities.</w:t>
      </w:r>
    </w:p>
    <w:p>
      <w:pPr>
        <w:spacing w:after="0" w:line="16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The IRS has also issued a revenue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procedure applicable to publicly offered REITs that will treat distributions that, at the election of each shareholder, are paid partly in cash and partly in shares as dividends that satisfy the REIT annual distribution requirement and qualify for the dividends paid deduction for federal income tax purposes, provided certain conditions are satisfied. We have no current intention to make such an elective cash/shares distribution or a distribution of debt securities, but in the event of an elective cash/shares distribution we expect to structure it so as to comply with the revenue procedure.</w:t>
      </w:r>
    </w:p>
    <w:p>
      <w:pPr>
        <w:spacing w:after="0" w:line="17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Record Keeping Requirements. </w:t>
      </w:r>
      <w:r>
        <w:rPr>
          <w:rFonts w:ascii="Arial" w:cs="Arial" w:eastAsia="Arial" w:hAnsi="Arial"/>
          <w:sz w:val="18"/>
          <w:szCs w:val="18"/>
          <w:color w:val="auto"/>
        </w:rPr>
        <w:t>We must maintain certain records in order to qualify as a REIT. In addition, to avoid a monetary penalty, we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 on an annual basis certain information from our shareholders designed to disclose the actual ownership of our outstanding shares. We have complied, and intend to continue to comply, with such requirements.</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i w:val="1"/>
          <w:iCs w:val="1"/>
          <w:color w:val="auto"/>
        </w:rPr>
        <w:t xml:space="preserve">Failure to Qualify. </w:t>
      </w:r>
      <w:r>
        <w:rPr>
          <w:rFonts w:ascii="Arial" w:cs="Arial" w:eastAsia="Arial" w:hAnsi="Arial"/>
          <w:sz w:val="17"/>
          <w:szCs w:val="17"/>
          <w:color w:val="auto"/>
        </w:rPr>
        <w:t>If we fail to qualify as a REIT in any taxable year, and no relief provision applied, we would be subject to federal income tax on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76" w:lineRule="exact"/>
        <w:rPr>
          <w:sz w:val="20"/>
          <w:szCs w:val="20"/>
          <w:color w:val="auto"/>
        </w:rPr>
      </w:pPr>
    </w:p>
    <w:p>
      <w:pPr>
        <w:ind w:left="1000" w:hanging="546"/>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1000" w:right="420" w:hanging="546"/>
        <w:spacing w:after="0" w:line="277" w:lineRule="auto"/>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30" w:lineRule="exact"/>
        <w:rPr>
          <w:rFonts w:ascii="Arial" w:cs="Arial" w:eastAsia="Arial" w:hAnsi="Arial"/>
          <w:sz w:val="18"/>
          <w:szCs w:val="18"/>
          <w:color w:val="auto"/>
        </w:rPr>
      </w:pPr>
    </w:p>
    <w:p>
      <w:pPr>
        <w:ind w:left="1000" w:right="300" w:hanging="546"/>
        <w:spacing w:after="0" w:line="308" w:lineRule="auto"/>
        <w:tabs>
          <w:tab w:leader="none" w:pos="10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14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 However, for taxable years after 2017 and prior to 2026, generally non-corporate shareholders are allowed to deduct 20% of the aggregate amount of ordinary dividends distributed by us, subject to certain limitations.</w:t>
      </w:r>
    </w:p>
    <w:p>
      <w:pPr>
        <w:spacing w:after="0" w:line="19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78" w:lineRule="exact"/>
        <w:rPr>
          <w:sz w:val="20"/>
          <w:szCs w:val="20"/>
          <w:color w:val="auto"/>
        </w:rPr>
      </w:pPr>
    </w:p>
    <w:p>
      <w:pPr>
        <w:jc w:val="both"/>
        <w:ind w:right="80" w:firstLine="456"/>
        <w:spacing w:after="0" w:line="257"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or preferred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8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6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b w:val="1"/>
          <w:bCs w:val="1"/>
          <w:i w:val="1"/>
          <w:iCs w:val="1"/>
          <w:color w:val="auto"/>
        </w:rPr>
        <w:t xml:space="preserve">Taxation of Taxable U.S. Shareholders on the Disposition of Our Shares. </w:t>
      </w:r>
      <w:r>
        <w:rPr>
          <w:rFonts w:ascii="Arial" w:cs="Arial" w:eastAsia="Arial" w:hAnsi="Arial"/>
          <w:sz w:val="17"/>
          <w:szCs w:val="17"/>
          <w:color w:val="auto"/>
        </w:rPr>
        <w:t>In general, a taxable U.S. shareholder must treat any gain or loss realized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a taxable disposition of our common or preferred shares as long-term capital gain or loss if the taxable U.S. shareholder has held the shares for more than one year and otherwise as short-term capital gain or loss. In general, a taxable U.S. shareholder will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 xml:space="preserve">Capital Gains and Losses. </w:t>
      </w:r>
      <w:r>
        <w:rPr>
          <w:rFonts w:ascii="Arial" w:cs="Arial" w:eastAsia="Arial" w:hAnsi="Arial"/>
          <w:sz w:val="17"/>
          <w:szCs w:val="17"/>
          <w:color w:val="auto"/>
        </w:rPr>
        <w:t>A taxpayer generally must hold a capital asset for more than one year for gain or loss derived from its sale or exchange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8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w:t>
      </w:r>
    </w:p>
    <w:p>
      <w:pPr>
        <w:spacing w:after="0" w:line="2" w:lineRule="exact"/>
        <w:rPr>
          <w:sz w:val="20"/>
          <w:szCs w:val="20"/>
          <w:color w:val="auto"/>
        </w:rPr>
      </w:pPr>
    </w:p>
    <w:p>
      <w:pPr>
        <w:ind w:firstLine="8"/>
        <w:spacing w:after="0" w:line="269" w:lineRule="auto"/>
        <w:tabs>
          <w:tab w:leader="none" w:pos="215" w:val="left"/>
        </w:tabs>
        <w:numPr>
          <w:ilvl w:val="0"/>
          <w:numId w:val="88"/>
        </w:numPr>
        <w:rPr>
          <w:rFonts w:ascii="Arial" w:cs="Arial" w:eastAsia="Arial" w:hAnsi="Arial"/>
          <w:sz w:val="17"/>
          <w:szCs w:val="17"/>
          <w:color w:val="auto"/>
        </w:rPr>
      </w:pPr>
      <w:r>
        <w:rPr>
          <w:rFonts w:ascii="Arial" w:cs="Arial" w:eastAsia="Arial" w:hAnsi="Arial"/>
          <w:sz w:val="17"/>
          <w:szCs w:val="17"/>
          <w:color w:val="auto"/>
        </w:rPr>
        <w:t>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8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66"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Under proposed Treasury regulations, if any portion of the amount received by a taxable U.S. shareholder on a redemption of our preferred shares is treated as a distribution with respect to our shares but not as a taxable dividend, then such portion will be allocated to all shares held by the taxable U.S. shareholder just before the redemption on a pro rata, share-by-share, basis. The amount applied to each share will first reduce the taxable U.S.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shareholder’s basis in that share and any excess after the basis is reduced to zero will result in taxable gain. If the holder has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The proposed Treasury regulations would be effective for transactions that occur after the date the regulations are published as final Treasury regulations. There can, however, be no assurance as to whether, when and in what particular form such proposed Treasury regulations will ultimately be finalized. We urge you to consult your tax advisor concerning the treatment of a cash redemption of our preferred shares.</w:t>
      </w:r>
    </w:p>
    <w:p>
      <w:pPr>
        <w:spacing w:after="0" w:line="18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U.S. federal income tax purposes upon the redemption or conversion of our preferred shares at the option of the holder solely into common shares. The basis that a taxable U.S. shareholder will have for U.S. federal income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6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12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pursuant to the terms of a class of preferred shares, a taxable U.S. shareholder receives alternative consideration such as cash, securities or other property or assets (including any combination thereof) in lieu of common shares in connection with the conversion of the taxable U.S. shareholder’s preferred shares, the tax treatment of the receipt of any such other consideration will depend on the nature of the consideration and the structure of the transaction that gives rise to the right to receive such alternative consideration, and it may be a taxable exchange. Taxable U.S. shareholders converting their preferred shares should consult their tax advisors regarding the U.S. federal income tax consequences of any such conversion and of the ownership and disposition of the consideration received upon any such conversion.</w:t>
      </w:r>
    </w:p>
    <w:p>
      <w:pPr>
        <w:spacing w:after="0" w:line="193"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distribution 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In such a case, if a nonqualifying adjustment were made, the holders of preferred shares might be deemed to have received a taxable stock dividend.</w:t>
      </w:r>
    </w:p>
    <w:p>
      <w:pPr>
        <w:spacing w:after="0" w:line="16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b w:val="1"/>
          <w:bCs w:val="1"/>
          <w:i w:val="1"/>
          <w:iCs w:val="1"/>
          <w:color w:val="auto"/>
        </w:rPr>
        <w:t xml:space="preserve">Passive Activity and Investment Income Limitations. </w:t>
      </w:r>
      <w:r>
        <w:rPr>
          <w:rFonts w:ascii="Arial" w:cs="Arial" w:eastAsia="Arial" w:hAnsi="Arial"/>
          <w:sz w:val="16"/>
          <w:szCs w:val="16"/>
          <w:color w:val="auto"/>
        </w:rPr>
        <w:t>Distributions from us and gain from the disposition of our common or preferred shares will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5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Medicare Tax on Unearned Income. </w:t>
      </w:r>
      <w:r>
        <w:rPr>
          <w:rFonts w:ascii="Arial" w:cs="Arial" w:eastAsia="Arial" w:hAnsi="Arial"/>
          <w:sz w:val="18"/>
          <w:szCs w:val="18"/>
          <w:color w:val="auto"/>
        </w:rPr>
        <w:t>Certain taxable U.S. shareholders who are individuals, estates or trusts are subject to a 3.8% Medicare tax on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 portion of their “net investment income,” which may include all or 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81"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b w:val="1"/>
          <w:bCs w:val="1"/>
          <w:i w:val="1"/>
          <w:iCs w:val="1"/>
          <w:color w:val="auto"/>
        </w:rPr>
        <w:t xml:space="preserve">Current Tax Rates. </w:t>
      </w:r>
      <w:r>
        <w:rPr>
          <w:rFonts w:ascii="Arial" w:cs="Arial" w:eastAsia="Arial" w:hAnsi="Arial"/>
          <w:sz w:val="17"/>
          <w:szCs w:val="17"/>
          <w:color w:val="auto"/>
        </w:rPr>
        <w:t>The maximum tax rate on the long-term capital gains of domestic non-corporate taxpayers is 20%. The maximum tax rate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for taxable years after 2017 and prior to 2026, generally non-corporate shareholders are allowed to deduct 20% of the aggregate amount of ordinary dividends distributed by us, subject to certain limitations. Further, with respect to non-corporate taxpayers, the lower qualified dividend income/capital gains tax rate (at a maximum of 20%) does generally apply to:</w:t>
      </w:r>
    </w:p>
    <w:p>
      <w:pPr>
        <w:spacing w:after="0" w:line="83" w:lineRule="exact"/>
        <w:rPr>
          <w:sz w:val="20"/>
          <w:szCs w:val="20"/>
          <w:color w:val="auto"/>
        </w:rPr>
      </w:pPr>
    </w:p>
    <w:p>
      <w:pPr>
        <w:ind w:left="1000" w:hanging="546"/>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130" w:lineRule="exact"/>
        <w:rPr>
          <w:rFonts w:ascii="Arial" w:cs="Arial" w:eastAsia="Arial" w:hAnsi="Arial"/>
          <w:sz w:val="18"/>
          <w:szCs w:val="18"/>
          <w:color w:val="auto"/>
        </w:rPr>
      </w:pPr>
    </w:p>
    <w:p>
      <w:pPr>
        <w:ind w:left="1000" w:right="280" w:hanging="546"/>
        <w:spacing w:after="0" w:line="277"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130" w:lineRule="exact"/>
        <w:rPr>
          <w:rFonts w:ascii="Arial" w:cs="Arial" w:eastAsia="Arial" w:hAnsi="Arial"/>
          <w:sz w:val="18"/>
          <w:szCs w:val="18"/>
          <w:color w:val="auto"/>
        </w:rPr>
      </w:pPr>
    </w:p>
    <w:p>
      <w:pPr>
        <w:ind w:left="1000" w:right="180" w:hanging="546"/>
        <w:spacing w:after="0" w:line="277"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7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7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i w:val="1"/>
          <w:iCs w:val="1"/>
          <w:color w:val="auto"/>
        </w:rPr>
        <w:t xml:space="preserve">Information Reporting and Backup Withholding. </w:t>
      </w:r>
      <w:r>
        <w:rPr>
          <w:rFonts w:ascii="Arial" w:cs="Arial" w:eastAsia="Arial" w:hAnsi="Arial"/>
          <w:sz w:val="17"/>
          <w:szCs w:val="17"/>
          <w:color w:val="auto"/>
        </w:rPr>
        <w:t>Taxable U.S. shareholders that are “exempt recipients” (such as corporations) generally will not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24%)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2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459" w:right="3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95" w:lineRule="exact"/>
        <w:rPr>
          <w:sz w:val="20"/>
          <w:szCs w:val="20"/>
          <w:color w:val="auto"/>
        </w:rPr>
      </w:pPr>
    </w:p>
    <w:p>
      <w:pPr>
        <w:ind w:left="1000" w:hanging="546"/>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130" w:lineRule="exact"/>
        <w:rPr>
          <w:rFonts w:ascii="Arial" w:cs="Arial" w:eastAsia="Arial" w:hAnsi="Arial"/>
          <w:sz w:val="18"/>
          <w:szCs w:val="18"/>
          <w:color w:val="auto"/>
        </w:rPr>
      </w:pPr>
    </w:p>
    <w:p>
      <w:pPr>
        <w:ind w:left="1000" w:hanging="546"/>
        <w:spacing w:after="0" w:line="277"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75" w:lineRule="exact"/>
        <w:rPr>
          <w:rFonts w:ascii="Arial" w:cs="Arial" w:eastAsia="Arial" w:hAnsi="Arial"/>
          <w:sz w:val="18"/>
          <w:szCs w:val="18"/>
          <w:color w:val="auto"/>
        </w:rPr>
      </w:pPr>
    </w:p>
    <w:p>
      <w:pPr>
        <w:ind w:left="1000" w:right="140" w:hanging="546"/>
        <w:spacing w:after="0" w:line="308" w:lineRule="auto"/>
        <w:tabs>
          <w:tab w:leader="none" w:pos="10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4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88"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b w:val="1"/>
          <w:bCs w:val="1"/>
          <w:i w:val="1"/>
          <w:iCs w:val="1"/>
          <w:color w:val="auto"/>
        </w:rPr>
        <w:t xml:space="preserve">Ordinary Dividends. </w:t>
      </w:r>
      <w:r>
        <w:rPr>
          <w:rFonts w:ascii="Arial" w:cs="Arial" w:eastAsia="Arial" w:hAnsi="Arial"/>
          <w:sz w:val="17"/>
          <w:szCs w:val="17"/>
          <w:color w:val="auto"/>
        </w:rPr>
        <w:t>A non-U.S. shareholder that receives a distribution that is not attributable to gain from our sale or exchange of “U.S. real property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88"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b w:val="1"/>
          <w:bCs w:val="1"/>
          <w:i w:val="1"/>
          <w:iCs w:val="1"/>
          <w:color w:val="auto"/>
        </w:rPr>
        <w:t>Return of Capital</w:t>
      </w:r>
      <w:r>
        <w:rPr>
          <w:rFonts w:ascii="Arial" w:cs="Arial" w:eastAsia="Arial" w:hAnsi="Arial"/>
          <w:sz w:val="17"/>
          <w:szCs w:val="17"/>
          <w:color w:val="auto"/>
        </w:rPr>
        <w:t>. A non-U.S. shareholder will not incur tax on a distribution to the extent it exceeds our current and accumulated earnings and profits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71"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color w:val="auto"/>
        </w:rPr>
        <w:t>If we are treated as a “United States real property holding corporation,” we will be required to withhold 15% of any distribution that exceeds our current and accumulated earnings and profits, unless the non-U.S. shareholder is a “qualified foreign pension fund” (or is wholly-owned by one or more qualified foreign pension funds) or a non-U.S. shareholder that is publicly-traded and meets certain record-keeping and other requirements (a “qualified shareholder”), each as defined in the Code. Consequently, although we intend to withhold at a rate of 30% on the entire amount of any distribution, to the extent we do not do so, we may withhold at a rate of 15% on any portion of a distribution not subject to withholding at a rate of 30% that is not made to a qualified foreign pension fund or a qualified shareholder.</w:t>
      </w:r>
    </w:p>
    <w:p>
      <w:pPr>
        <w:spacing w:after="0" w:line="1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Non-U.S. shareholders are urged to consult their tax advisors as to their qualification as a “qualified foreign pension fund” or a “qualified shareholder.” The qualified shareholder provisions do not apply to the extent owners of such qualified shareholders that are not also qualified shareholders own, actually or constructively, more than 10% of the class of shares of the REIT held by the qualified shareholders (“applicable investors”). To the extent distributions not allocable to an applicable investor exceed both our current and accumulated earnings and profits and the adjusted basis of the qualified shareholder’s shares, or result from certain redemptions or liquidating distributions, such distributions are treated as ordinary dividends taxable as described above under “— Ordinary Dividends.”</w:t>
      </w:r>
    </w:p>
    <w:p>
      <w:pPr>
        <w:spacing w:after="0" w:line="193"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b w:val="1"/>
          <w:bCs w:val="1"/>
          <w:i w:val="1"/>
          <w:iCs w:val="1"/>
          <w:color w:val="auto"/>
        </w:rPr>
        <w:t xml:space="preserve">Capital Gain Dividends. </w:t>
      </w:r>
      <w:r>
        <w:rPr>
          <w:rFonts w:ascii="Arial" w:cs="Arial" w:eastAsia="Arial" w:hAnsi="Arial"/>
          <w:sz w:val="17"/>
          <w:szCs w:val="17"/>
          <w:color w:val="auto"/>
        </w:rPr>
        <w:t>Provided that a particular class of our shares is “regularly traded” on an established securities market in the United States,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non-U.S. shareholder does not own more than 10%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If the foregoing exception does not apply, for example because the non-U.S. shareholder owns more than 10%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FIRPTA rules described in this paragraph do not apply to such distributions to a qualified foreign pension fund or a qualified shareholder (other than distributions allocable to an applicable investor), although such distributions to a qualified shareholder not allocable to an applicable investor are treated as ordinary dividends taxable as described above under “— Ordinary Dividends.”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21%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 up the 21% FIRPTA withholding from distributions made after the designation, until the amount of distributions withheld at 21% equals the amount of the distribution designated as a capital gain dividend. A non-U.S. shareholder may receive a credit against its FIRPTA tax liability for the amount we withhold.</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b w:val="1"/>
          <w:bCs w:val="1"/>
          <w:i w:val="1"/>
          <w:iCs w:val="1"/>
          <w:color w:val="auto"/>
        </w:rPr>
        <w:t xml:space="preserve">Retention of Net Capital Gains. </w:t>
      </w:r>
      <w:r>
        <w:rPr>
          <w:rFonts w:ascii="Arial" w:cs="Arial" w:eastAsia="Arial" w:hAnsi="Arial"/>
          <w:sz w:val="17"/>
          <w:szCs w:val="17"/>
          <w:color w:val="auto"/>
        </w:rPr>
        <w:t>Although the law is not clear on the matter, it appears that amounts we designate as retained capital gains in respect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78"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b w:val="1"/>
          <w:bCs w:val="1"/>
          <w:i w:val="1"/>
          <w:iCs w:val="1"/>
          <w:color w:val="auto"/>
        </w:rPr>
        <w:t>Sale of Shares</w:t>
      </w:r>
      <w:r>
        <w:rPr>
          <w:rFonts w:ascii="Arial" w:cs="Arial" w:eastAsia="Arial" w:hAnsi="Arial"/>
          <w:sz w:val="17"/>
          <w:szCs w:val="17"/>
          <w:color w:val="auto"/>
        </w:rPr>
        <w:t>. A non-U.S. shareholder generally will not incur tax under FIRPTA on gain from the sale of its common or preferred shares as long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a “domestically controlled REIT.” A “domestically controlled REIT” is a REIT in which at all times during a specified testing period non-U.S. persons held, directly or indirectly, less than 50% in value of our shares (after applying specified presumptions regarding the ownership of our shares). We anticipate that we will continue to be a domestically controlled REIT, but there is no assurance that we will continue to be so. However, even if we are not, or cease to be, a domestically controlled REIT, a non-U.S. shareholder that owns, actually or constructively, 10% or less of a class of our outstanding shares at all times during a specified testing period will not incur tax under FIRPTA on a sale of such shares if shares of such class are “regularly traded” on an established securities market. If neither of these exceptions were to apply, a non-U.S. shareholder that is not a qualified foreign pension fund or a qualified shareholder (other than with respect to an applicable investor) would be taxed under FIRPTA on the gain on the sale of the shares, in which case such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15% of the purchase price.</w:t>
      </w:r>
    </w:p>
    <w:p>
      <w:pPr>
        <w:spacing w:after="0" w:line="18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 the non-U.S. shareholder),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or preferred shares avoids a taxable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93"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i w:val="1"/>
          <w:iCs w:val="1"/>
          <w:color w:val="auto"/>
        </w:rPr>
        <w:t xml:space="preserve">Conversion of Preferred Shares to Common Shares. </w:t>
      </w:r>
      <w:r>
        <w:rPr>
          <w:rFonts w:ascii="Arial" w:cs="Arial" w:eastAsia="Arial" w:hAnsi="Arial"/>
          <w:sz w:val="16"/>
          <w:szCs w:val="16"/>
          <w:color w:val="auto"/>
        </w:rPr>
        <w:t>The conversion of preferred shares into our common shares may be a taxable exchange for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non-U.S. shareholder if our preferred shares constitute a U.S. real property interest under FIRPTA. Even if our preferred shares constitute a U.S. real property interest, provided our common shares also constitute a U.S. real property interest, a non-U.S. shareholder generally will not recognize gain or loss upon a conversion of preferred shares into our common shares so long as certain FIRPTA-related reporting requirements are satisfied. If our preferred shares constitute a U.S. real property interest and such requirements are not satisfied, however, a conversion will be treated as a taxable exchange of preferred shares for our common shares. Such a deemed taxable exchange will be subject to tax under FIRPTA at the rate of tax, including any applicable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capital gains rates, that would apply to a taxable U.S. shareholder of the same type (e.g., a corporate or a non-corporate shareholder, as the case may be) on the excess, if any, of the fair market value of such non-U.S. shareholder’s common shares received over such non-U.S. shareholder’s adjusted basis in its preferred shares.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Non-U.S. shareholders should consult with their tax advisors regarding the federal income tax consequences of any transaction by which such non-U.S.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shareholder exchanges our common shares received on a conversion of preferred shares for cash or other property.</w:t>
      </w:r>
    </w:p>
    <w:p>
      <w:pPr>
        <w:spacing w:after="0" w:line="21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We must report annually to the IRS and to each non-U.S. shareholder the amount of distributions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7"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Backup withholding (currently at the rate of 24%)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70" w:lineRule="exact"/>
        <w:rPr>
          <w:sz w:val="20"/>
          <w:szCs w:val="20"/>
          <w:color w:val="auto"/>
        </w:rPr>
      </w:pPr>
    </w:p>
    <w:p>
      <w:pPr>
        <w:ind w:left="1000" w:hanging="546"/>
        <w:spacing w:after="0"/>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30" w:lineRule="exact"/>
        <w:rPr>
          <w:rFonts w:ascii="Arial" w:cs="Arial" w:eastAsia="Arial" w:hAnsi="Arial"/>
          <w:sz w:val="18"/>
          <w:szCs w:val="18"/>
          <w:color w:val="auto"/>
        </w:rPr>
      </w:pPr>
    </w:p>
    <w:p>
      <w:pPr>
        <w:ind w:left="1000" w:right="300" w:hanging="546"/>
        <w:spacing w:after="0" w:line="277" w:lineRule="auto"/>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75" w:lineRule="exact"/>
        <w:rPr>
          <w:rFonts w:ascii="Arial" w:cs="Arial" w:eastAsia="Arial" w:hAnsi="Arial"/>
          <w:sz w:val="18"/>
          <w:szCs w:val="18"/>
          <w:color w:val="auto"/>
        </w:rPr>
      </w:pPr>
    </w:p>
    <w:p>
      <w:pPr>
        <w:ind w:left="1000" w:right="40" w:hanging="546"/>
        <w:spacing w:after="0" w:line="277" w:lineRule="auto"/>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193"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b w:val="1"/>
          <w:bCs w:val="1"/>
          <w:i w:val="1"/>
          <w:iCs w:val="1"/>
          <w:color w:val="auto"/>
        </w:rPr>
        <w:t xml:space="preserve">Reporting and Withholding on Foreign Financial Accounts. </w:t>
      </w:r>
      <w:r>
        <w:rPr>
          <w:rFonts w:ascii="Arial" w:cs="Arial" w:eastAsia="Arial" w:hAnsi="Arial"/>
          <w:sz w:val="16"/>
          <w:szCs w:val="16"/>
          <w:color w:val="auto"/>
        </w:rPr>
        <w:t>Certain foreign financial institutions and non-financial foreign entities are subject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 U.S. federal withholding tax on dividends on our common or preferred shares unless (i) in the case of a foreign financial institution (which term generally includes investment funds), such institution enters into an agreement with the U.S. government (unless alternative procedures apply pursuant to an applicable intergovernmental agreement between the United States and the relevant foreign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any direct and indirect U.S. owners of the entity. In addition, if such disclosure requirements are not satisfied, withholding at a 30% rate on gross proceeds from the sale or other disposition of our common or preferred shares by such foreign financial institutions and non-financial foreign entities will generally begin after December 31, 2018 (or such other date as may be specified in guidance issued by the U.S. Treasury Department).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or preferred shares. We will not pay any additional amounts in respect of any amounts withheld.</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12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b w:val="1"/>
          <w:bCs w:val="1"/>
          <w:i w:val="1"/>
          <w:iCs w:val="1"/>
          <w:color w:val="auto"/>
        </w:rPr>
        <w:t xml:space="preserve">State and Local Taxes. </w:t>
      </w:r>
      <w:r>
        <w:rPr>
          <w:rFonts w:ascii="Arial" w:cs="Arial" w:eastAsia="Arial" w:hAnsi="Arial"/>
          <w:sz w:val="16"/>
          <w:szCs w:val="16"/>
          <w:color w:val="auto"/>
        </w:rPr>
        <w:t>We and/or you may be subject to state and local tax in various states and localities, including those states and localities in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14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b w:val="1"/>
          <w:bCs w:val="1"/>
          <w:i w:val="1"/>
          <w:iCs w:val="1"/>
          <w:color w:val="auto"/>
        </w:rPr>
        <w:t xml:space="preserve">Changes to Tax Laws and Regulations. </w:t>
      </w:r>
      <w:r>
        <w:rPr>
          <w:rFonts w:ascii="Arial" w:cs="Arial" w:eastAsia="Arial" w:hAnsi="Arial"/>
          <w:sz w:val="16"/>
          <w:szCs w:val="16"/>
          <w:color w:val="auto"/>
        </w:rPr>
        <w:t>The rules dealing with federal income taxation are subject to revision by the U.S. Congress, the IRS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 Department of the Treasury, and statutory changes, new regulations, revisions to existing regulations and revised interpretations of established concepts are issued frequently. In particular, technical corrections legislation and implementing regulations may be enacted or promulgated in response to the substantial December 2017 amendments to the Code. No prediction can be made as to the likelihood of passage of new tax legislation or other provisions, or the direct or indirect effect on us and our shareholders. Revisions to tax laws and interpretations of these laws could adversely affect our ability to qualify and be taxed as a REIT, as well as the tax or other consequences of an investment in our common or preferred shares.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sell the securities being offered by this prospectus in one or more of the following ways from time to time: (1) through underwriters or dealers;</w:t>
      </w:r>
    </w:p>
    <w:p>
      <w:pPr>
        <w:spacing w:after="0" w:line="46" w:lineRule="exact"/>
        <w:rPr>
          <w:sz w:val="20"/>
          <w:szCs w:val="20"/>
          <w:color w:val="auto"/>
        </w:rPr>
      </w:pPr>
    </w:p>
    <w:p>
      <w:pPr>
        <w:ind w:left="260" w:hanging="252"/>
        <w:spacing w:after="0"/>
        <w:tabs>
          <w:tab w:leader="none" w:pos="2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through agents; (3) in “at the market offerings” to or through a market maker or into an existing trading market or securities exchange or otherwise;</w:t>
      </w:r>
    </w:p>
    <w:p>
      <w:pPr>
        <w:spacing w:after="0" w:line="20" w:lineRule="exact"/>
        <w:rPr>
          <w:rFonts w:ascii="Arial" w:cs="Arial" w:eastAsia="Arial" w:hAnsi="Arial"/>
          <w:sz w:val="17"/>
          <w:szCs w:val="17"/>
          <w:color w:val="auto"/>
        </w:rPr>
      </w:pPr>
    </w:p>
    <w:p>
      <w:pPr>
        <w:ind w:right="20" w:firstLine="8"/>
        <w:spacing w:after="0" w:line="273" w:lineRule="auto"/>
        <w:tabs>
          <w:tab w:leader="none" w:pos="255" w:val="left"/>
        </w:tabs>
        <w:numPr>
          <w:ilvl w:val="0"/>
          <w:numId w:val="93"/>
        </w:numPr>
        <w:rPr>
          <w:rFonts w:ascii="Arial" w:cs="Arial" w:eastAsia="Arial" w:hAnsi="Arial"/>
          <w:sz w:val="17"/>
          <w:szCs w:val="17"/>
          <w:color w:val="auto"/>
        </w:rPr>
      </w:pPr>
      <w:r>
        <w:rPr>
          <w:rFonts w:ascii="Arial" w:cs="Arial" w:eastAsia="Arial" w:hAnsi="Arial"/>
          <w:sz w:val="17"/>
          <w:szCs w:val="17"/>
          <w:color w:val="auto"/>
        </w:rPr>
        <w:t>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131" w:lineRule="exact"/>
        <w:rPr>
          <w:sz w:val="20"/>
          <w:szCs w:val="20"/>
          <w:color w:val="auto"/>
        </w:rPr>
      </w:pPr>
    </w:p>
    <w:p>
      <w:pPr>
        <w:ind w:left="1000" w:right="100" w:hanging="546"/>
        <w:spacing w:after="0" w:line="277" w:lineRule="auto"/>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purchases by a dealer as principal and resale by such dealer for its account pursuant to this prospectus or any prospectus supplement;</w:t>
      </w:r>
    </w:p>
    <w:p>
      <w:pPr>
        <w:spacing w:after="0" w:line="142" w:lineRule="exact"/>
        <w:rPr>
          <w:rFonts w:ascii="Arial" w:cs="Arial" w:eastAsia="Arial" w:hAnsi="Arial"/>
          <w:sz w:val="17"/>
          <w:szCs w:val="17"/>
          <w:color w:val="auto"/>
        </w:rPr>
      </w:pPr>
    </w:p>
    <w:p>
      <w:pPr>
        <w:ind w:left="1000" w:hanging="546"/>
        <w:spacing w:after="0"/>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225"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7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79"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72"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audited consolidated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right="200" w:firstLine="456"/>
        <w:spacing w:after="0" w:line="25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87" w:lineRule="exact"/>
        <w:rPr>
          <w:sz w:val="20"/>
          <w:szCs w:val="20"/>
          <w:color w:val="auto"/>
        </w:rPr>
      </w:pPr>
    </w:p>
    <w:p>
      <w:pPr>
        <w:ind w:left="1000" w:hanging="546"/>
        <w:spacing w:after="0"/>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02">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2017, filed with the SEC on February 13, 2018;</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Our Definitive </w:t>
      </w:r>
      <w:hyperlink r:id="rId103">
        <w:r>
          <w:rPr>
            <w:rFonts w:ascii="Arial" w:cs="Arial" w:eastAsia="Arial" w:hAnsi="Arial"/>
            <w:sz w:val="18"/>
            <w:szCs w:val="18"/>
            <w:u w:val="single" w:color="auto"/>
            <w:color w:val="0000EE"/>
          </w:rPr>
          <w:t>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our 2018 Annual Meeting of Shareholders, filed with the SEC on March 23, 2018;</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104">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quarter ended March 31, 2018, filed with the SEC on May 2, 2018;</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Our Current Report on </w:t>
      </w:r>
      <w:hyperlink r:id="rId105">
        <w:r>
          <w:rPr>
            <w:rFonts w:ascii="Arial" w:cs="Arial" w:eastAsia="Arial" w:hAnsi="Arial"/>
            <w:sz w:val="18"/>
            <w:szCs w:val="18"/>
            <w:u w:val="single" w:color="auto"/>
            <w:color w:val="0000EE"/>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May 4, 2018;</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Description of our common shares contained in the Registration Statement on </w:t>
      </w:r>
      <w:hyperlink r:id="rId106">
        <w:r>
          <w:rPr>
            <w:rFonts w:ascii="Arial" w:cs="Arial" w:eastAsia="Arial" w:hAnsi="Arial"/>
            <w:sz w:val="17"/>
            <w:szCs w:val="17"/>
            <w:u w:val="single" w:color="auto"/>
            <w:color w:val="0000EE"/>
          </w:rPr>
          <w:t>Form 8-A/A</w:t>
        </w:r>
      </w:hyperlink>
      <w:r>
        <w:rPr>
          <w:rFonts w:ascii="Arial" w:cs="Arial" w:eastAsia="Arial" w:hAnsi="Arial"/>
          <w:sz w:val="17"/>
          <w:szCs w:val="17"/>
          <w:color w:val="auto"/>
        </w:rPr>
        <w:t>, filed with the SEC on June 6, 2002; and</w:t>
      </w:r>
    </w:p>
    <w:p>
      <w:pPr>
        <w:spacing w:after="0" w:line="142" w:lineRule="exact"/>
        <w:rPr>
          <w:rFonts w:ascii="Arial" w:cs="Arial" w:eastAsia="Arial" w:hAnsi="Arial"/>
          <w:sz w:val="17"/>
          <w:szCs w:val="17"/>
          <w:color w:val="auto"/>
        </w:rPr>
      </w:pPr>
    </w:p>
    <w:p>
      <w:pPr>
        <w:ind w:left="1000" w:hanging="546"/>
        <w:spacing w:after="0"/>
        <w:tabs>
          <w:tab w:leader="none" w:pos="10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Description of our Series C preferred shares contained in the Registration Statement on </w:t>
      </w:r>
      <w:hyperlink r:id="rId107">
        <w:r>
          <w:rPr>
            <w:rFonts w:ascii="Arial" w:cs="Arial" w:eastAsia="Arial" w:hAnsi="Arial"/>
            <w:sz w:val="16"/>
            <w:szCs w:val="16"/>
            <w:u w:val="single" w:color="auto"/>
            <w:color w:val="0000EE"/>
          </w:rPr>
          <w:t>Form 8-A</w:t>
        </w:r>
      </w:hyperlink>
      <w:r>
        <w:rPr>
          <w:rFonts w:ascii="Arial" w:cs="Arial" w:eastAsia="Arial" w:hAnsi="Arial"/>
          <w:sz w:val="16"/>
          <w:szCs w:val="16"/>
          <w:color w:val="auto"/>
        </w:rPr>
        <w:t>, filed with the SEC on September 29, 2017.</w:t>
      </w:r>
    </w:p>
    <w:p>
      <w:pPr>
        <w:spacing w:after="0" w:line="248" w:lineRule="exact"/>
        <w:rPr>
          <w:rFonts w:ascii="Arial" w:cs="Arial" w:eastAsia="Arial" w:hAnsi="Arial"/>
          <w:sz w:val="17"/>
          <w:szCs w:val="17"/>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22" w:lineRule="exact"/>
        <w:rPr>
          <w:rFonts w:ascii="Arial" w:cs="Arial" w:eastAsia="Arial" w:hAnsi="Arial"/>
          <w:sz w:val="17"/>
          <w:szCs w:val="17"/>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Copies of our SEC filings are available at no cost at our website, </w:t>
      </w:r>
      <w:r>
        <w:rPr>
          <w:rFonts w:ascii="Arial" w:cs="Arial" w:eastAsia="Arial" w:hAnsi="Arial"/>
          <w:sz w:val="17"/>
          <w:szCs w:val="17"/>
          <w:i w:val="1"/>
          <w:iCs w:val="1"/>
          <w:color w:val="auto"/>
        </w:rPr>
        <w:t>www.federalrealty.com</w:t>
      </w:r>
      <w:r>
        <w:rPr>
          <w:rFonts w:ascii="Arial" w:cs="Arial" w:eastAsia="Arial" w:hAnsi="Arial"/>
          <w:sz w:val="17"/>
          <w:szCs w:val="17"/>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21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228600</wp:posOffset>
            </wp:positionV>
            <wp:extent cx="6997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271780</wp:posOffset>
            </wp:positionV>
            <wp:extent cx="6997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60"/>
        <w:spacing w:after="0"/>
        <w:rPr>
          <w:sz w:val="20"/>
          <w:szCs w:val="20"/>
          <w:color w:val="auto"/>
        </w:rPr>
      </w:pPr>
      <w:r>
        <w:rPr>
          <w:rFonts w:ascii="Arial" w:cs="Arial" w:eastAsia="Arial" w:hAnsi="Arial"/>
          <w:sz w:val="29"/>
          <w:szCs w:val="29"/>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340360</wp:posOffset>
            </wp:positionV>
            <wp:extent cx="2178050" cy="8750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217805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520"/>
        <w:spacing w:after="0"/>
        <w:rPr>
          <w:sz w:val="20"/>
          <w:szCs w:val="20"/>
          <w:color w:val="auto"/>
        </w:rPr>
      </w:pPr>
      <w:r>
        <w:rPr>
          <w:rFonts w:ascii="Arial" w:cs="Arial" w:eastAsia="Arial" w:hAnsi="Arial"/>
          <w:sz w:val="25"/>
          <w:szCs w:val="25"/>
          <w:b w:val="1"/>
          <w:bCs w:val="1"/>
          <w:color w:val="auto"/>
        </w:rPr>
        <w:t>3.20%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415290</wp:posOffset>
            </wp:positionV>
            <wp:extent cx="146621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240"/>
        <w:spacing w:after="0"/>
        <w:rPr>
          <w:sz w:val="20"/>
          <w:szCs w:val="20"/>
          <w:color w:val="auto"/>
        </w:rPr>
      </w:pPr>
      <w:r>
        <w:rPr>
          <w:rFonts w:ascii="Arial" w:cs="Arial" w:eastAsia="Arial" w:hAnsi="Arial"/>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241300</wp:posOffset>
            </wp:positionV>
            <wp:extent cx="146621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BofA Merrill Lynch</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Jefferies</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7"/>
          <w:szCs w:val="27"/>
          <w:b w:val="1"/>
          <w:bCs w:val="1"/>
          <w:color w:val="auto"/>
        </w:rPr>
        <w:t>Wells Fargo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423545</wp:posOffset>
            </wp:positionV>
            <wp:extent cx="14662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120"/>
        <w:spacing w:after="0"/>
        <w:tabs>
          <w:tab w:leader="none" w:pos="5840" w:val="left"/>
        </w:tabs>
        <w:rPr>
          <w:sz w:val="20"/>
          <w:szCs w:val="20"/>
          <w:color w:val="auto"/>
        </w:rPr>
      </w:pPr>
      <w:r>
        <w:rPr>
          <w:rFonts w:ascii="Arial" w:cs="Arial" w:eastAsia="Arial" w:hAnsi="Arial"/>
          <w:sz w:val="18"/>
          <w:szCs w:val="18"/>
          <w:b w:val="1"/>
          <w:bCs w:val="1"/>
          <w:color w:val="auto"/>
        </w:rPr>
        <w:t>August</w:t>
      </w:r>
      <w:r>
        <w:rPr>
          <w:sz w:val="20"/>
          <w:szCs w:val="20"/>
          <w:color w:val="auto"/>
        </w:rPr>
        <w:tab/>
      </w:r>
      <w:r>
        <w:rPr>
          <w:rFonts w:ascii="Arial" w:cs="Arial" w:eastAsia="Arial" w:hAnsi="Arial"/>
          <w:sz w:val="15"/>
          <w:szCs w:val="15"/>
          <w:b w:val="1"/>
          <w:bCs w:val="1"/>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429260</wp:posOffset>
            </wp:positionV>
            <wp:extent cx="6997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471805</wp:posOffset>
            </wp:positionV>
            <wp:extent cx="6997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644A45C"/>
    <w:multiLevelType w:val="hybridMultilevel"/>
    <w:lvl w:ilvl="0">
      <w:lvlJc w:val="left"/>
      <w:lvlText w:val="(%1)"/>
      <w:numFmt w:val="decimal"/>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lvl w:ilvl="1">
      <w:lvlJc w:val="left"/>
      <w:lvlText w:val="•"/>
      <w:numFmt w:val="bullet"/>
      <w:start w:val="1"/>
    </w:lvl>
  </w:abstractNum>
  <w:abstractNum w:abstractNumId="3">
    <w:nsid w:val="579478FE"/>
    <w:multiLevelType w:val="hybridMultilevel"/>
    <w:lvl w:ilvl="0">
      <w:lvlJc w:val="left"/>
      <w:lvlText w:val="(%1)"/>
      <w:numFmt w:val="decimal"/>
      <w:start w:val="30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1)"/>
      <w:numFmt w:val="decimal"/>
      <w:start w:val="4"/>
    </w:lvl>
  </w:abstractNum>
  <w:abstractNum w:abstractNumId="6">
    <w:nsid w:val="1BA026FA"/>
    <w:multiLevelType w:val="hybridMultilevel"/>
    <w:lvl w:ilvl="0">
      <w:lvlJc w:val="left"/>
      <w:lvlText w:val="%1."/>
      <w:numFmt w:val="decimal"/>
      <w:start w:val="1"/>
    </w:lvl>
  </w:abstractNum>
  <w:abstractNum w:abstractNumId="7">
    <w:nsid w:val="79A1DEAA"/>
    <w:multiLevelType w:val="hybridMultilevel"/>
    <w:lvl w:ilvl="0">
      <w:lvlJc w:val="left"/>
      <w:lvlText w:val="(%1)"/>
      <w:numFmt w:val="lowerLetter"/>
      <w:start w:val="1"/>
    </w:lvl>
  </w:abstractNum>
  <w:abstractNum w:abstractNumId="8">
    <w:nsid w:val="75C6C33A"/>
    <w:multiLevelType w:val="hybridMultilevel"/>
    <w:lvl w:ilvl="0">
      <w:lvlJc w:val="left"/>
      <w:lvlText w:val="%1."/>
      <w:numFmt w:val="decimal"/>
      <w:start w:val="5"/>
    </w:lvl>
  </w:abstractNum>
  <w:abstractNum w:abstractNumId="9">
    <w:nsid w:val="12E685FB"/>
    <w:multiLevelType w:val="hybridMultilevel"/>
    <w:lvl w:ilvl="0">
      <w:lvlJc w:val="left"/>
      <w:lvlText w:val="(%1)"/>
      <w:numFmt w:val="lowerLetter"/>
      <w:start w:val="1"/>
    </w:lvl>
  </w:abstractNum>
  <w:abstractNum w:abstractNumId="10">
    <w:nsid w:val="70C6A529"/>
    <w:multiLevelType w:val="hybridMultilevel"/>
    <w:lvl w:ilvl="0">
      <w:lvlJc w:val="left"/>
      <w:lvlText w:val="(%1)"/>
      <w:numFmt w:val="lowerLetter"/>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lvl w:ilvl="1">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1)"/>
      <w:numFmt w:val="lowerLetter"/>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
      <w:numFmt w:val="bullet"/>
      <w:start w:val="1"/>
    </w:lvl>
    <w:lvl w:ilvl="1">
      <w:lvlJc w:val="left"/>
      <w:lvlText w:val="•"/>
      <w:numFmt w:val="bullet"/>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
      <w:numFmt w:val="bullet"/>
      <w:start w:val="1"/>
    </w:lvl>
    <w:lvl w:ilvl="1">
      <w:lvlJc w:val="left"/>
      <w:lvlText w:val="•"/>
      <w:numFmt w:val="bullet"/>
      <w:start w:val="1"/>
    </w:lvl>
  </w:abstractNum>
  <w:abstractNum w:abstractNumId="35">
    <w:nsid w:val="25A70BF7"/>
    <w:multiLevelType w:val="hybridMultilevel"/>
    <w:lvl w:ilvl="0">
      <w:lvlJc w:val="left"/>
      <w:lvlText w:val="•"/>
      <w:numFmt w:val="bullet"/>
      <w:start w:val="1"/>
    </w:lvl>
  </w:abstractNum>
  <w:abstractNum w:abstractNumId="36">
    <w:nsid w:val="1DBABF00"/>
    <w:multiLevelType w:val="hybridMultilevel"/>
    <w:lvl w:ilvl="0">
      <w:lvlJc w:val="left"/>
      <w:lvlText w:val="•"/>
      <w:numFmt w:val="bullet"/>
      <w:start w:val="1"/>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1."/>
      <w:numFmt w:val="decimal"/>
      <w:start w:val="1"/>
    </w:lvl>
  </w:abstractNum>
  <w:abstractNum w:abstractNumId="40">
    <w:nsid w:val="5DB70AE5"/>
    <w:multiLevelType w:val="hybridMultilevel"/>
    <w:lvl w:ilvl="0">
      <w:lvlJc w:val="left"/>
      <w:lvlText w:val="(%1)"/>
      <w:numFmt w:val="lowerLetter"/>
      <w:start w:val="1"/>
    </w:lvl>
  </w:abstractNum>
  <w:abstractNum w:abstractNumId="41">
    <w:nsid w:val="100F8FCA"/>
    <w:multiLevelType w:val="hybridMultilevel"/>
    <w:lvl w:ilvl="0">
      <w:lvlJc w:val="left"/>
      <w:lvlText w:val="%1."/>
      <w:numFmt w:val="decimal"/>
      <w:start w:val="5"/>
    </w:lvl>
  </w:abstractNum>
  <w:abstractNum w:abstractNumId="42">
    <w:nsid w:val="6590700B"/>
    <w:multiLevelType w:val="hybridMultilevel"/>
    <w:lvl w:ilvl="0">
      <w:lvlJc w:val="left"/>
      <w:lvlText w:val="(%1)"/>
      <w:numFmt w:val="lowerLetter"/>
      <w:start w:val="1"/>
    </w:lvl>
  </w:abstractNum>
  <w:abstractNum w:abstractNumId="43">
    <w:nsid w:val="15014ACB"/>
    <w:multiLevelType w:val="hybridMultilevel"/>
    <w:lvl w:ilvl="0">
      <w:lvlJc w:val="left"/>
      <w:lvlText w:val="(%1)"/>
      <w:numFmt w:val="lowerLetter"/>
      <w:start w:val="1"/>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
      <w:numFmt w:val="bullet"/>
      <w:start w:val="1"/>
    </w:lvl>
    <w:lvl w:ilvl="1">
      <w:lvlJc w:val="left"/>
      <w:lvlText w:val="•"/>
      <w:numFmt w:val="bullet"/>
      <w:start w:val="1"/>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
      <w:numFmt w:val="bullet"/>
      <w:start w:val="1"/>
    </w:lvl>
  </w:abstractNum>
  <w:abstractNum w:abstractNumId="48">
    <w:nsid w:val="42C296BD"/>
    <w:multiLevelType w:val="hybridMultilevel"/>
    <w:lvl w:ilvl="0">
      <w:lvlJc w:val="left"/>
      <w:lvlText w:val="•"/>
      <w:numFmt w:val="bullet"/>
      <w:start w:val="1"/>
    </w:lvl>
    <w:lvl w:ilvl="1">
      <w:lvlJc w:val="left"/>
      <w:lvlText w:val="•"/>
      <w:numFmt w:val="bullet"/>
      <w:start w:val="1"/>
    </w:lvl>
  </w:abstractNum>
  <w:abstractNum w:abstractNumId="49">
    <w:nsid w:val="168E121F"/>
    <w:multiLevelType w:val="hybridMultilevel"/>
    <w:lvl w:ilvl="0">
      <w:lvlJc w:val="left"/>
      <w:lvlText w:val="•"/>
      <w:numFmt w:val="bullet"/>
      <w:start w:val="1"/>
    </w:lvl>
  </w:abstractNum>
  <w:abstractNum w:abstractNumId="50">
    <w:nsid w:val="1EBA5D23"/>
    <w:multiLevelType w:val="hybridMultilevel"/>
    <w:lvl w:ilvl="0">
      <w:lvlJc w:val="left"/>
      <w:lvlText w:val="•"/>
      <w:numFmt w:val="bullet"/>
      <w:start w:val="1"/>
    </w:lvl>
  </w:abstractNum>
  <w:abstractNum w:abstractNumId="51">
    <w:nsid w:val="661E3F1E"/>
    <w:multiLevelType w:val="hybridMultilevel"/>
    <w:lvl w:ilvl="0">
      <w:lvlJc w:val="left"/>
      <w:lvlText w:val="•"/>
      <w:numFmt w:val="bullet"/>
      <w:start w:val="1"/>
    </w:lvl>
  </w:abstractNum>
  <w:abstractNum w:abstractNumId="52">
    <w:nsid w:val="5DC79EA8"/>
    <w:multiLevelType w:val="hybridMultilevel"/>
    <w:lvl w:ilvl="0">
      <w:lvlJc w:val="left"/>
      <w:lvlText w:val="•"/>
      <w:numFmt w:val="bullet"/>
      <w:start w:val="1"/>
    </w:lvl>
  </w:abstractNum>
  <w:abstractNum w:abstractNumId="53">
    <w:nsid w:val="540A471C"/>
    <w:multiLevelType w:val="hybridMultilevel"/>
    <w:lvl w:ilvl="0">
      <w:lvlJc w:val="left"/>
      <w:lvlText w:val="•"/>
      <w:numFmt w:val="bullet"/>
      <w:start w:val="1"/>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
      <w:numFmt w:val="bullet"/>
      <w:start w:val="1"/>
    </w:lvl>
  </w:abstractNum>
  <w:abstractNum w:abstractNumId="56">
    <w:nsid w:val="613EFDC5"/>
    <w:multiLevelType w:val="hybridMultilevel"/>
    <w:lvl w:ilvl="0">
      <w:lvlJc w:val="left"/>
      <w:lvlText w:val="•"/>
      <w:numFmt w:val="bullet"/>
      <w:start w:val="1"/>
    </w:lvl>
  </w:abstractNum>
  <w:abstractNum w:abstractNumId="57">
    <w:nsid w:val="BF72B14"/>
    <w:multiLevelType w:val="hybridMultilevel"/>
    <w:lvl w:ilvl="0">
      <w:lvlJc w:val="left"/>
      <w:lvlText w:val="•"/>
      <w:numFmt w:val="bullet"/>
      <w:start w:val="1"/>
    </w:lvl>
  </w:abstractNum>
  <w:abstractNum w:abstractNumId="58">
    <w:nsid w:val="11447B73"/>
    <w:multiLevelType w:val="hybridMultilevel"/>
    <w:lvl w:ilvl="0">
      <w:lvlJc w:val="left"/>
      <w:lvlText w:val="•"/>
      <w:numFmt w:val="bullet"/>
      <w:start w:val="1"/>
    </w:lvl>
  </w:abstractNum>
  <w:abstractNum w:abstractNumId="59">
    <w:nsid w:val="42963E5A"/>
    <w:multiLevelType w:val="hybridMultilevel"/>
    <w:lvl w:ilvl="0">
      <w:lvlJc w:val="left"/>
      <w:lvlText w:val="•"/>
      <w:numFmt w:val="bullet"/>
      <w:start w:val="1"/>
    </w:lvl>
  </w:abstractNum>
  <w:abstractNum w:abstractNumId="60">
    <w:nsid w:val="A0382C5"/>
    <w:multiLevelType w:val="hybridMultilevel"/>
    <w:lvl w:ilvl="0">
      <w:lvlJc w:val="left"/>
      <w:lvlText w:val="•"/>
      <w:numFmt w:val="bullet"/>
      <w:start w:val="1"/>
    </w:lvl>
  </w:abstractNum>
  <w:abstractNum w:abstractNumId="61">
    <w:nsid w:val="8F2B15E"/>
    <w:multiLevelType w:val="hybridMultilevel"/>
    <w:lvl w:ilvl="0">
      <w:lvlJc w:val="left"/>
      <w:lvlText w:val="•"/>
      <w:numFmt w:val="bullet"/>
      <w:start w:val="1"/>
    </w:lvl>
  </w:abstractNum>
  <w:abstractNum w:abstractNumId="62">
    <w:nsid w:val="1A32234B"/>
    <w:multiLevelType w:val="hybridMultilevel"/>
    <w:lvl w:ilvl="0">
      <w:lvlJc w:val="left"/>
      <w:lvlText w:val="•"/>
      <w:numFmt w:val="bullet"/>
      <w:start w:val="1"/>
    </w:lvl>
  </w:abstractNum>
  <w:abstractNum w:abstractNumId="63">
    <w:nsid w:val="3B0FD379"/>
    <w:multiLevelType w:val="hybridMultilevel"/>
    <w:lvl w:ilvl="0">
      <w:lvlJc w:val="left"/>
      <w:lvlText w:val="•"/>
      <w:numFmt w:val="bullet"/>
      <w:start w:val="1"/>
    </w:lvl>
  </w:abstractNum>
  <w:abstractNum w:abstractNumId="64">
    <w:nsid w:val="68EB2F63"/>
    <w:multiLevelType w:val="hybridMultilevel"/>
    <w:lvl w:ilvl="0">
      <w:lvlJc w:val="left"/>
      <w:lvlText w:val="•"/>
      <w:numFmt w:val="bullet"/>
      <w:start w:val="1"/>
    </w:lvl>
  </w:abstractNum>
  <w:abstractNum w:abstractNumId="65">
    <w:nsid w:val="4962813B"/>
    <w:multiLevelType w:val="hybridMultilevel"/>
    <w:lvl w:ilvl="0">
      <w:lvlJc w:val="left"/>
      <w:lvlText w:val="•"/>
      <w:numFmt w:val="bullet"/>
      <w:start w:val="1"/>
    </w:lvl>
  </w:abstractNum>
  <w:abstractNum w:abstractNumId="66">
    <w:nsid w:val="60B6DF70"/>
    <w:multiLevelType w:val="hybridMultilevel"/>
    <w:lvl w:ilvl="0">
      <w:lvlJc w:val="left"/>
      <w:lvlText w:val="•"/>
      <w:numFmt w:val="bullet"/>
      <w:start w:val="1"/>
    </w:lvl>
    <w:lvl w:ilvl="1">
      <w:lvlJc w:val="left"/>
      <w:lvlText w:val="•"/>
      <w:numFmt w:val="bullet"/>
      <w:start w:val="1"/>
    </w:lvl>
  </w:abstractNum>
  <w:abstractNum w:abstractNumId="67">
    <w:nsid w:val="6A5EE64"/>
    <w:multiLevelType w:val="hybridMultilevel"/>
    <w:lvl w:ilvl="0">
      <w:lvlJc w:val="left"/>
      <w:lvlText w:val="•"/>
      <w:numFmt w:val="bullet"/>
      <w:start w:val="1"/>
    </w:lvl>
  </w:abstractNum>
  <w:abstractNum w:abstractNumId="68">
    <w:nsid w:val="14330624"/>
    <w:multiLevelType w:val="hybridMultilevel"/>
    <w:lvl w:ilvl="0">
      <w:lvlJc w:val="left"/>
      <w:lvlText w:val="•"/>
      <w:numFmt w:val="bullet"/>
      <w:start w:val="1"/>
    </w:lvl>
  </w:abstractNum>
  <w:abstractNum w:abstractNumId="69">
    <w:nsid w:val="7FFFCA11"/>
    <w:multiLevelType w:val="hybridMultilevel"/>
    <w:lvl w:ilvl="0">
      <w:lvlJc w:val="left"/>
      <w:lvlText w:val="•"/>
      <w:numFmt w:val="bullet"/>
      <w:start w:val="1"/>
    </w:lvl>
  </w:abstractNum>
  <w:abstractNum w:abstractNumId="70">
    <w:nsid w:val="1A27709E"/>
    <w:multiLevelType w:val="hybridMultilevel"/>
    <w:lvl w:ilvl="0">
      <w:lvlJc w:val="left"/>
      <w:lvlText w:val="•"/>
      <w:numFmt w:val="bullet"/>
      <w:start w:val="1"/>
    </w:lvl>
    <w:lvl w:ilvl="1">
      <w:lvlJc w:val="left"/>
      <w:lvlText w:val="•"/>
      <w:numFmt w:val="bullet"/>
      <w:start w:val="1"/>
    </w:lvl>
  </w:abstractNum>
  <w:abstractNum w:abstractNumId="71">
    <w:nsid w:val="71EA1109"/>
    <w:multiLevelType w:val="hybridMultilevel"/>
    <w:lvl w:ilvl="0">
      <w:lvlJc w:val="left"/>
      <w:lvlText w:val="•"/>
      <w:numFmt w:val="bullet"/>
      <w:start w:val="1"/>
    </w:lvl>
  </w:abstractNum>
  <w:abstractNum w:abstractNumId="72">
    <w:nsid w:val="100F59DC"/>
    <w:multiLevelType w:val="hybridMultilevel"/>
    <w:lvl w:ilvl="0">
      <w:lvlJc w:val="left"/>
      <w:lvlText w:val="•"/>
      <w:numFmt w:val="bullet"/>
      <w:start w:val="1"/>
    </w:lvl>
  </w:abstractNum>
  <w:abstractNum w:abstractNumId="73">
    <w:nsid w:val="7FB7E0AA"/>
    <w:multiLevelType w:val="hybridMultilevel"/>
    <w:lvl w:ilvl="0">
      <w:lvlJc w:val="left"/>
      <w:lvlText w:val="•"/>
      <w:numFmt w:val="bullet"/>
      <w:start w:val="1"/>
    </w:lvl>
  </w:abstractNum>
  <w:abstractNum w:abstractNumId="74">
    <w:nsid w:val="6EB5BD4"/>
    <w:multiLevelType w:val="hybridMultilevel"/>
    <w:lvl w:ilvl="0">
      <w:lvlJc w:val="left"/>
      <w:lvlText w:val="•"/>
      <w:numFmt w:val="bullet"/>
      <w:start w:val="1"/>
    </w:lvl>
  </w:abstractNum>
  <w:abstractNum w:abstractNumId="75">
    <w:nsid w:val="6F6DD9AC"/>
    <w:multiLevelType w:val="hybridMultilevel"/>
    <w:lvl w:ilvl="0">
      <w:lvlJc w:val="left"/>
      <w:lvlText w:val="•"/>
      <w:numFmt w:val="bullet"/>
      <w:start w:val="1"/>
    </w:lvl>
  </w:abstractNum>
  <w:abstractNum w:abstractNumId="76">
    <w:nsid w:val="94211F2"/>
    <w:multiLevelType w:val="hybridMultilevel"/>
    <w:lvl w:ilvl="0">
      <w:lvlJc w:val="left"/>
      <w:lvlText w:val="%1."/>
      <w:numFmt w:val="decimal"/>
      <w:start w:val="1"/>
    </w:lvl>
  </w:abstractNum>
  <w:abstractNum w:abstractNumId="77">
    <w:nsid w:val="885E1B"/>
    <w:multiLevelType w:val="hybridMultilevel"/>
    <w:lvl w:ilvl="0">
      <w:lvlJc w:val="left"/>
      <w:lvlText w:val="•"/>
      <w:numFmt w:val="bullet"/>
      <w:start w:val="1"/>
    </w:lvl>
  </w:abstractNum>
  <w:abstractNum w:abstractNumId="78">
    <w:nsid w:val="76272110"/>
    <w:multiLevelType w:val="hybridMultilevel"/>
    <w:lvl w:ilvl="0">
      <w:lvlJc w:val="left"/>
      <w:lvlText w:val="•"/>
      <w:numFmt w:val="bullet"/>
      <w:start w:val="1"/>
    </w:lvl>
  </w:abstractNum>
  <w:abstractNum w:abstractNumId="79">
    <w:nsid w:val="4C04A8AF"/>
    <w:multiLevelType w:val="hybridMultilevel"/>
    <w:lvl w:ilvl="0">
      <w:lvlJc w:val="left"/>
      <w:lvlText w:val="•"/>
      <w:numFmt w:val="bullet"/>
      <w:start w:val="1"/>
    </w:lvl>
  </w:abstractNum>
  <w:abstractNum w:abstractNumId="80">
    <w:nsid w:val="1716703B"/>
    <w:multiLevelType w:val="hybridMultilevel"/>
    <w:lvl w:ilvl="0">
      <w:lvlJc w:val="left"/>
      <w:lvlText w:val="•"/>
      <w:numFmt w:val="bullet"/>
      <w:start w:val="1"/>
    </w:lvl>
  </w:abstractNum>
  <w:abstractNum w:abstractNumId="81">
    <w:nsid w:val="14E17E33"/>
    <w:multiLevelType w:val="hybridMultilevel"/>
    <w:lvl w:ilvl="0">
      <w:lvlJc w:val="left"/>
      <w:lvlText w:val="•"/>
      <w:numFmt w:val="bullet"/>
      <w:start w:val="1"/>
    </w:lvl>
  </w:abstractNum>
  <w:abstractNum w:abstractNumId="82">
    <w:nsid w:val="3222E7CD"/>
    <w:multiLevelType w:val="hybridMultilevel"/>
    <w:lvl w:ilvl="0">
      <w:lvlJc w:val="left"/>
      <w:lvlText w:val="\emdash "/>
      <w:numFmt w:val="bullet"/>
      <w:start w:val="1"/>
    </w:lvl>
  </w:abstractNum>
  <w:abstractNum w:abstractNumId="83">
    <w:nsid w:val="74DE0EE3"/>
    <w:multiLevelType w:val="hybridMultilevel"/>
    <w:lvl w:ilvl="0">
      <w:lvlJc w:val="left"/>
      <w:lvlText w:val="•"/>
      <w:numFmt w:val="bullet"/>
      <w:start w:val="1"/>
    </w:lvl>
    <w:lvl w:ilvl="1">
      <w:lvlJc w:val="left"/>
      <w:lvlText w:val="•"/>
      <w:numFmt w:val="bullet"/>
      <w:start w:val="1"/>
    </w:lvl>
  </w:abstractNum>
  <w:abstractNum w:abstractNumId="84">
    <w:nsid w:val="68EBC550"/>
    <w:multiLevelType w:val="hybridMultilevel"/>
    <w:lvl w:ilvl="0">
      <w:lvlJc w:val="left"/>
      <w:lvlText w:val="•"/>
      <w:numFmt w:val="bullet"/>
      <w:start w:val="1"/>
    </w:lvl>
  </w:abstractNum>
  <w:abstractNum w:abstractNumId="85">
    <w:nsid w:val="2DF6D648"/>
    <w:multiLevelType w:val="hybridMultilevel"/>
    <w:lvl w:ilvl="0">
      <w:lvlJc w:val="left"/>
      <w:lvlText w:val="(%1)"/>
      <w:numFmt w:val="lowerRoman"/>
      <w:start w:val="2"/>
    </w:lvl>
  </w:abstractNum>
  <w:abstractNum w:abstractNumId="86">
    <w:nsid w:val="46B7D447"/>
    <w:multiLevelType w:val="hybridMultilevel"/>
    <w:lvl w:ilvl="0">
      <w:lvlJc w:val="left"/>
      <w:lvlText w:val="•"/>
      <w:numFmt w:val="bullet"/>
      <w:start w:val="1"/>
    </w:lvl>
  </w:abstractNum>
  <w:abstractNum w:abstractNumId="87">
    <w:nsid w:val="4A2AC315"/>
    <w:multiLevelType w:val="hybridMultilevel"/>
    <w:lvl w:ilvl="0">
      <w:lvlJc w:val="left"/>
      <w:lvlText w:val="(%1)"/>
      <w:numFmt w:val="lowerRoman"/>
      <w:start w:val="1"/>
    </w:lvl>
  </w:abstractNum>
  <w:abstractNum w:abstractNumId="88">
    <w:nsid w:val="39EE015C"/>
    <w:multiLevelType w:val="hybridMultilevel"/>
    <w:lvl w:ilvl="0">
      <w:lvlJc w:val="left"/>
      <w:lvlText w:val="•"/>
      <w:numFmt w:val="bullet"/>
      <w:start w:val="1"/>
    </w:lvl>
  </w:abstractNum>
  <w:abstractNum w:abstractNumId="89">
    <w:nsid w:val="57FC4FBB"/>
    <w:multiLevelType w:val="hybridMultilevel"/>
    <w:lvl w:ilvl="0">
      <w:lvlJc w:val="left"/>
      <w:lvlText w:val="•"/>
      <w:numFmt w:val="bullet"/>
      <w:start w:val="1"/>
    </w:lvl>
  </w:abstractNum>
  <w:abstractNum w:abstractNumId="90">
    <w:nsid w:val="CC1016F"/>
    <w:multiLevelType w:val="hybridMultilevel"/>
    <w:lvl w:ilvl="0">
      <w:lvlJc w:val="left"/>
      <w:lvlText w:val="•"/>
      <w:numFmt w:val="bullet"/>
      <w:start w:val="1"/>
    </w:lvl>
  </w:abstractNum>
  <w:abstractNum w:abstractNumId="91">
    <w:nsid w:val="43F18422"/>
    <w:multiLevelType w:val="hybridMultilevel"/>
    <w:lvl w:ilvl="0">
      <w:lvlJc w:val="left"/>
      <w:lvlText w:val="(%1)"/>
      <w:numFmt w:val="decimal"/>
      <w:start w:val="2"/>
    </w:lvl>
  </w:abstractNum>
  <w:abstractNum w:abstractNumId="92">
    <w:nsid w:val="60EF0119"/>
    <w:multiLevelType w:val="hybridMultilevel"/>
    <w:lvl w:ilvl="0">
      <w:lvlJc w:val="left"/>
      <w:lvlText w:val="(%1)"/>
      <w:numFmt w:val="decimal"/>
      <w:start w:val="4"/>
    </w:lvl>
  </w:abstractNum>
  <w:abstractNum w:abstractNumId="93">
    <w:nsid w:val="26F324BA"/>
    <w:multiLevelType w:val="hybridMultilevel"/>
    <w:lvl w:ilvl="0">
      <w:lvlJc w:val="left"/>
      <w:lvlText w:val="•"/>
      <w:numFmt w:val="bullet"/>
      <w:start w:val="1"/>
    </w:lvl>
  </w:abstractNum>
  <w:abstractNum w:abstractNumId="94">
    <w:nsid w:val="7F01579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jpe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02" Type="http://schemas.openxmlformats.org/officeDocument/2006/relationships/hyperlink" Target="http://www.sec.gov/Archives/edgar/data/34903/000003490318000009/frt-1231201710k.htm" TargetMode="External"/><Relationship Id="rId103" Type="http://schemas.openxmlformats.org/officeDocument/2006/relationships/hyperlink" Target="http://www.sec.gov/Archives/edgar/data/34903/000119312518093016/d501572ddef14a.htm" TargetMode="External"/><Relationship Id="rId104" Type="http://schemas.openxmlformats.org/officeDocument/2006/relationships/hyperlink" Target="http://www.sec.gov/Archives/edgar/data/34903/000003490318000016/frt-03312018x10q.htm" TargetMode="External"/><Relationship Id="rId105" Type="http://schemas.openxmlformats.org/officeDocument/2006/relationships/hyperlink" Target="http://www.sec.gov/Archives/edgar/data/34903/000003490318000018/frt-050420188kdocument.htm" TargetMode="External"/><Relationship Id="rId106" Type="http://schemas.openxmlformats.org/officeDocument/2006/relationships/hyperlink" Target="http://www.sec.gov/Archives/edgar/data/34903/000092838502002234/d8a12ba.txt" TargetMode="External"/><Relationship Id="rId107" Type="http://schemas.openxmlformats.org/officeDocument/2006/relationships/hyperlink" Target="http://www.sec.gov/Archives/edgar/data/34903/000119312517299279/d453589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2019-12-21T01:25:12Z</dcterms:created>
  <dcterms:modified xsi:type="dcterms:W3CDTF">2019-12-21T01:25:12Z</dcterms:modified>
</cp:coreProperties>
</file>