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bidi w:val="0"/>
        <w:spacing w:lineRule="auto" w:line="288" w:before="18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180" w:after="283"/>
        <w:jc w:val="center"/>
        <w:rPr>
          <w:rFonts w:ascii="Times New Roman;sans-serif" w:hAnsi="Times New Roman;sans-serif"/>
          <w:b/>
          <w:color w:val="000000"/>
          <w:sz w:val="26"/>
        </w:rPr>
      </w:pPr>
      <w:r>
        <w:rPr>
          <w:rFonts w:ascii="Times New Roman;sans-serif" w:hAnsi="Times New Roman;sans-serif"/>
          <w:b/>
          <w:color w:val="000000"/>
          <w:sz w:val="26"/>
        </w:rPr>
        <w:t xml:space="preserve">CURRENT REPORT </w:t>
      </w:r>
    </w:p>
    <w:p>
      <w:pPr>
        <w:pStyle w:val="TextBody"/>
        <w:bidi w:val="0"/>
        <w:spacing w:lineRule="auto" w:line="288" w:before="180" w:after="283"/>
        <w:jc w:val="center"/>
        <w:rPr>
          <w:rFonts w:ascii="Times New Roman;sans-serif" w:hAnsi="Times New Roman;sans-serif"/>
          <w:b/>
          <w:color w:val="000000"/>
          <w:sz w:val="22"/>
        </w:rPr>
      </w:pPr>
      <w:r>
        <w:rPr>
          <w:rFonts w:ascii="Times New Roman;sans-serif" w:hAnsi="Times New Roman;sans-serif"/>
          <w:b/>
          <w:color w:val="000000"/>
          <w:sz w:val="22"/>
        </w:rPr>
        <w:t xml:space="preserve">Pursuant to Section 13 or 15(d) of the Securities Exchange Act of 1934 </w:t>
      </w:r>
    </w:p>
    <w:p>
      <w:pPr>
        <w:pStyle w:val="TextBody"/>
        <w:bidi w:val="0"/>
        <w:spacing w:lineRule="auto" w:line="288" w:before="180" w:after="283"/>
        <w:jc w:val="center"/>
        <w:rPr/>
      </w:pPr>
      <w:r>
        <w:rPr>
          <w:rFonts w:ascii="Times New Roman;sans-serif" w:hAnsi="Times New Roman;sans-serif"/>
          <w:b/>
          <w:color w:val="000000"/>
          <w:sz w:val="22"/>
        </w:rPr>
        <w:t>Date of Report (Date of earliest event reported) August 2, 2023</w:t>
      </w:r>
      <w:r>
        <w:rPr>
          <w:color w:val="000000"/>
        </w:rPr>
        <w:t xml:space="preserve"> </w:t>
      </w:r>
    </w:p>
    <w:p>
      <w:pPr>
        <w:pStyle w:val="TextBody"/>
        <w:bidi w:val="0"/>
        <w:spacing w:lineRule="auto" w:line="288" w:before="180" w:after="283"/>
        <w:jc w:val="center"/>
        <w:rPr>
          <w:rFonts w:ascii="Times New Roman;sans-serif" w:hAnsi="Times New Roman;sans-serif"/>
          <w:b/>
          <w:color w:val="000000"/>
          <w:sz w:val="48"/>
        </w:rPr>
      </w:pPr>
      <w:r>
        <w:rPr>
          <w:rFonts w:ascii="Times New Roman;sans-serif" w:hAnsi="Times New Roman;sans-serif"/>
          <w:b/>
          <w:color w:val="000000"/>
          <w:sz w:val="48"/>
        </w:rPr>
        <w:t>Federal Realty Investment Trust</w:t>
      </w:r>
    </w:p>
    <w:p>
      <w:pPr>
        <w:pStyle w:val="TextBody"/>
        <w:bidi w:val="0"/>
        <w:spacing w:lineRule="auto" w:line="288" w:before="180" w:after="283"/>
        <w:jc w:val="center"/>
        <w:rPr>
          <w:rFonts w:ascii="Times New Roman;sans-serif" w:hAnsi="Times New Roman;sans-serif"/>
          <w:b/>
          <w:color w:val="000000"/>
          <w:sz w:val="48"/>
        </w:rPr>
      </w:pPr>
      <w:r>
        <w:rPr>
          <w:rFonts w:ascii="Times New Roman;sans-serif" w:hAnsi="Times New Roman;sans-serif"/>
          <w:b/>
          <w:color w:val="000000"/>
          <w:sz w:val="48"/>
        </w:rPr>
        <w:t xml:space="preserve">Federal Realty OP LP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p>
      <w:pPr>
        <w:pStyle w:val="TextBody"/>
        <w:bidi w:val="0"/>
        <w:spacing w:lineRule="auto" w:line="288" w:before="0" w:after="0"/>
        <w:jc w:val="left"/>
        <w:rPr>
          <w:color w:val="000000"/>
        </w:rPr>
      </w:pPr>
      <w:r>
        <w:rPr>
          <w:color w:val="000000"/>
        </w:rPr>
        <w:t> </w:t>
      </w:r>
    </w:p>
    <w:tbl>
      <w:tblPr>
        <w:tblW w:w="7162" w:type="dxa"/>
        <w:jc w:val="center"/>
        <w:tblInd w:w="0" w:type="dxa"/>
        <w:tblLayout w:type="fixed"/>
        <w:tblCellMar>
          <w:top w:w="28" w:type="dxa"/>
          <w:left w:w="28" w:type="dxa"/>
          <w:bottom w:w="28" w:type="dxa"/>
          <w:right w:w="28" w:type="dxa"/>
        </w:tblCellMar>
      </w:tblPr>
      <w:tblGrid>
        <w:gridCol w:w="1408"/>
        <w:gridCol w:w="1234"/>
        <w:gridCol w:w="1242"/>
        <w:gridCol w:w="109"/>
        <w:gridCol w:w="109"/>
        <w:gridCol w:w="109"/>
        <w:gridCol w:w="458"/>
        <w:gridCol w:w="458"/>
        <w:gridCol w:w="464"/>
        <w:gridCol w:w="109"/>
        <w:gridCol w:w="109"/>
        <w:gridCol w:w="109"/>
        <w:gridCol w:w="363"/>
        <w:gridCol w:w="363"/>
        <w:gridCol w:w="518"/>
      </w:tblGrid>
      <w:tr>
        <w:trPr/>
        <w:tc>
          <w:tcPr>
            <w:tcW w:w="140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Maryland (Federal Realty Investment Trust)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1-07533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87-3916363</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Delaware (Federal Realty OP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333-262016-01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52-0782497</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w:t>
              <w:br/>
              <w:t>Identification No.)</w:t>
            </w:r>
          </w:p>
        </w:tc>
      </w:tr>
    </w:tbl>
    <w:tbl>
      <w:tblPr>
        <w:tblW w:w="6440" w:type="dxa"/>
        <w:jc w:val="center"/>
        <w:tblInd w:w="0" w:type="dxa"/>
        <w:tblLayout w:type="fixed"/>
        <w:tblCellMar>
          <w:top w:w="28" w:type="dxa"/>
          <w:left w:w="28" w:type="dxa"/>
          <w:bottom w:w="28" w:type="dxa"/>
          <w:right w:w="28" w:type="dxa"/>
        </w:tblCellMar>
      </w:tblPr>
      <w:tblGrid>
        <w:gridCol w:w="124"/>
        <w:gridCol w:w="109"/>
        <w:gridCol w:w="109"/>
        <w:gridCol w:w="739"/>
        <w:gridCol w:w="739"/>
        <w:gridCol w:w="742"/>
        <w:gridCol w:w="454"/>
        <w:gridCol w:w="454"/>
        <w:gridCol w:w="456"/>
        <w:gridCol w:w="290"/>
        <w:gridCol w:w="290"/>
        <w:gridCol w:w="291"/>
        <w:gridCol w:w="109"/>
        <w:gridCol w:w="109"/>
        <w:gridCol w:w="109"/>
        <w:gridCol w:w="314"/>
        <w:gridCol w:w="314"/>
        <w:gridCol w:w="3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909 Rose Avenue, Suite 200</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North Bethesda,</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20852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 xml:space="preserve">Registrant's telephone number including area code: 301/998-8100 </w:t>
      </w:r>
    </w:p>
    <w:p>
      <w:pPr>
        <w:pStyle w:val="TextBody"/>
        <w:bidi w:val="0"/>
        <w:spacing w:lineRule="auto" w:line="288" w:before="9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Check the appropriate box below if the Form 8-K filing is intended to simultaneously satisfy the filing obligation of the registrant under any of the following provisions (see General Instruction A.2. below): </w:t>
      </w:r>
    </w:p>
    <w:tbl>
      <w:tblPr>
        <w:tblW w:w="6852"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communications pursuant to Rule 425 under the Securities Act (17 CFR 230.425)</w:t>
            </w:r>
          </w:p>
        </w:tc>
      </w:tr>
    </w:tbl>
    <w:tbl>
      <w:tblPr>
        <w:tblW w:w="6851"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Soliciting material pursuant to Rule 14a-12 under the Exchange Act (17 CFR 240.14a-12)</w:t>
            </w:r>
          </w:p>
        </w:tc>
      </w:tr>
    </w:tbl>
    <w:tbl>
      <w:tblPr>
        <w:tblW w:w="8442" w:type="dxa"/>
        <w:jc w:val="center"/>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14d-2(b) under the Exchange Act (17 CFR 240.14d-2(b))</w:t>
            </w:r>
          </w:p>
        </w:tc>
      </w:tr>
    </w:tbl>
    <w:tbl>
      <w:tblPr>
        <w:tblW w:w="8381" w:type="dxa"/>
        <w:jc w:val="center"/>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13e-4(c) under the Exchange Act (17 CFR 240.13e-4(c))</w:t>
            </w:r>
          </w:p>
        </w:tc>
      </w:tr>
    </w:tbl>
    <w:p>
      <w:pPr>
        <w:pStyle w:val="TextBody"/>
        <w:bidi w:val="0"/>
        <w:spacing w:lineRule="auto" w:line="288" w:before="100" w:after="100"/>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046"/>
        <w:gridCol w:w="1738"/>
        <w:gridCol w:w="1733"/>
        <w:gridCol w:w="434"/>
        <w:gridCol w:w="434"/>
        <w:gridCol w:w="422"/>
        <w:gridCol w:w="993"/>
        <w:gridCol w:w="993"/>
        <w:gridCol w:w="1412"/>
      </w:tblGrid>
      <w:tr>
        <w:trPr/>
        <w:tc>
          <w:tcPr>
            <w:tcW w:w="2046"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 of Each Class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w:t>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Name of Each Exchange On Which Registered</w:t>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Shares of Beneficial Interest</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FRT</w:t>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 par value per share, with associated Common Share Purchase Rights</w:t>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Depositary Shares, each representing 1/1000 of a share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FRT-C</w:t>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of 5.00% Series C Cumulative Redeemable Preferred Stock, $.01 par value per share</w:t>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Federal Realty OP LP</w:t>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 of Each Class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w:t>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Name of Each Exchange On Which Registered</w:t>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None</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bl>
    <w:tbl>
      <w:tblPr>
        <w:tblW w:w="10205" w:type="dxa"/>
        <w:jc w:val="center"/>
        <w:tblInd w:w="0" w:type="dxa"/>
        <w:tblLayout w:type="fixed"/>
        <w:tblCellMar>
          <w:top w:w="28" w:type="dxa"/>
          <w:left w:w="28" w:type="dxa"/>
          <w:bottom w:w="28" w:type="dxa"/>
          <w:right w:w="28" w:type="dxa"/>
        </w:tblCellMar>
      </w:tblPr>
      <w:tblGrid>
        <w:gridCol w:w="1341"/>
        <w:gridCol w:w="1043"/>
        <w:gridCol w:w="1043"/>
        <w:gridCol w:w="1127"/>
        <w:gridCol w:w="1043"/>
        <w:gridCol w:w="1043"/>
        <w:gridCol w:w="1043"/>
        <w:gridCol w:w="1043"/>
        <w:gridCol w:w="1479"/>
      </w:tblGrid>
      <w:tr>
        <w:trPr/>
        <w:tc>
          <w:tcPr>
            <w:tcW w:w="134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an emerging growth company, as defined in Rule 405 of the Securities Act of 1933 or Rule 12b-2 of the Securities Exchange Act of 1934.</w:t>
            </w:r>
          </w:p>
        </w:tc>
      </w:tr>
      <w:tr>
        <w:trPr/>
        <w:tc>
          <w:tcPr>
            <w:tcW w:w="34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Investment Trust Yes ☐ No ☒</w:t>
            </w:r>
          </w:p>
        </w:tc>
        <w:tc>
          <w:tcPr>
            <w:tcW w:w="32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OP LP Yes ☐ No ☒</w:t>
            </w:r>
          </w:p>
        </w:tc>
        <w:tc>
          <w:tcPr>
            <w:tcW w:w="3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32"/>
        <w:gridCol w:w="1025"/>
        <w:gridCol w:w="1025"/>
        <w:gridCol w:w="1170"/>
        <w:gridCol w:w="1025"/>
        <w:gridCol w:w="1025"/>
        <w:gridCol w:w="1025"/>
        <w:gridCol w:w="1025"/>
        <w:gridCol w:w="1453"/>
      </w:tblGrid>
      <w:tr>
        <w:trPr/>
        <w:tc>
          <w:tcPr>
            <w:tcW w:w="143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checkmark if the registrant has elected not use the extended transition period for complying with any new or revised financial accounting standards provided pursuant to Section 13(a) of the Exchange Act.</w:t>
            </w:r>
          </w:p>
        </w:tc>
      </w:tr>
      <w:tr>
        <w:trPr/>
        <w:tc>
          <w:tcPr>
            <w:tcW w:w="3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Investment Trust ☐</w:t>
            </w:r>
          </w:p>
        </w:tc>
        <w:tc>
          <w:tcPr>
            <w:tcW w:w="3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OP LP ☐</w:t>
            </w:r>
          </w:p>
        </w:tc>
        <w:tc>
          <w:tcPr>
            <w:tcW w:w="3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On August 2, 2023, Federal Realty Investment Trust issued supplemental data pertaining to its operations, as well as a press release, to report its financial results for the quarter ended June 30, 2023. The supplemental data and press release are furnished as Exhibit 99.1 hereto.</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4"/>
        </w:rPr>
        <w:t>Item 9.01.</w:t>
      </w:r>
      <w:r>
        <w:rPr>
          <w:color w:val="000000"/>
        </w:rPr>
        <w:t xml:space="preserve">     </w:t>
      </w:r>
      <w:r>
        <w:rPr>
          <w:rFonts w:ascii="Times New Roman;sans-serif" w:hAnsi="Times New Roman;sans-serif"/>
          <w:b/>
          <w:color w:val="000000"/>
          <w:sz w:val="24"/>
        </w:rPr>
        <w:t>Financial Statements and Exhibits.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(c)</w:t>
      </w:r>
      <w:r>
        <w:rPr>
          <w:color w:val="000000"/>
        </w:rPr>
        <w:t>    </w:t>
      </w:r>
      <w:r>
        <w:rPr>
          <w:rFonts w:ascii="Times New Roman;sans-serif" w:hAnsi="Times New Roman;sans-serif"/>
          <w:b w:val="false"/>
          <w:color w:val="000000"/>
          <w:sz w:val="24"/>
        </w:rPr>
        <w:t>Exhibits</w:t>
      </w:r>
    </w:p>
    <w:p>
      <w:pPr>
        <w:pStyle w:val="TextBody"/>
        <w:bidi w:val="0"/>
        <w:spacing w:before="0" w:after="0"/>
        <w:jc w:val="left"/>
        <w:rPr/>
      </w:pPr>
      <w:r>
        <w:rPr/>
      </w:r>
    </w:p>
    <w:p>
      <w:pPr>
        <w:pStyle w:val="TextBody"/>
        <w:bidi w:val="0"/>
        <w:spacing w:lineRule="auto" w:line="288" w:before="0" w:after="0"/>
        <w:ind w:left="0" w:right="0" w:hanging="1440"/>
        <w:jc w:val="left"/>
        <w:rPr/>
      </w:pPr>
      <w:r>
        <w:rPr>
          <w:color w:val="000000"/>
        </w:rPr>
        <w:t>    </w:t>
      </w:r>
      <w:r>
        <w:rPr>
          <w:rFonts w:ascii="Times New Roman;sans-serif" w:hAnsi="Times New Roman;sans-serif"/>
          <w:b w:val="false"/>
          <w:color w:val="000000"/>
          <w:sz w:val="24"/>
        </w:rPr>
        <w:t>99.1</w:t>
      </w:r>
      <w:r>
        <w:rPr>
          <w:color w:val="000000"/>
        </w:rPr>
        <w:t>    </w:t>
      </w:r>
      <w:r>
        <w:rPr>
          <w:rFonts w:ascii="Times New Roman;sans-serif" w:hAnsi="Times New Roman;sans-serif"/>
          <w:b w:val="false"/>
          <w:color w:val="000000"/>
          <w:sz w:val="24"/>
        </w:rPr>
        <w:t>Supplemental information at June 30, 2023 (including press release dated August 2, 2023)</w:t>
      </w:r>
    </w:p>
    <w:p>
      <w:pPr>
        <w:pStyle w:val="TextBody"/>
        <w:bidi w:val="0"/>
        <w:spacing w:before="0" w:after="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SIGNATURES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Pursuant to the requirements of the Securities Exchange Act of 1934, the registrants have duly caused this report to be signed on their behalf by the undersigned hereunto duly authorized.</w:t>
      </w:r>
    </w:p>
    <w:p>
      <w:pPr>
        <w:pStyle w:val="TextBody"/>
        <w:bidi w:val="0"/>
        <w:spacing w:before="0" w:after="0"/>
        <w:jc w:val="left"/>
        <w:rPr/>
      </w:pPr>
      <w:r>
        <w:rPr/>
      </w:r>
    </w:p>
    <w:tbl>
      <w:tblPr>
        <w:tblW w:w="7555" w:type="dxa"/>
        <w:jc w:val="center"/>
        <w:tblInd w:w="0" w:type="dxa"/>
        <w:tblLayout w:type="fixed"/>
        <w:tblCellMar>
          <w:top w:w="28" w:type="dxa"/>
          <w:left w:w="28" w:type="dxa"/>
          <w:bottom w:w="28" w:type="dxa"/>
          <w:right w:w="28" w:type="dxa"/>
        </w:tblCellMar>
      </w:tblPr>
      <w:tblGrid>
        <w:gridCol w:w="228"/>
        <w:gridCol w:w="200"/>
        <w:gridCol w:w="202"/>
        <w:gridCol w:w="524"/>
        <w:gridCol w:w="524"/>
        <w:gridCol w:w="526"/>
        <w:gridCol w:w="109"/>
        <w:gridCol w:w="109"/>
        <w:gridCol w:w="109"/>
        <w:gridCol w:w="1470"/>
        <w:gridCol w:w="1470"/>
        <w:gridCol w:w="2084"/>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FEDERAL REALTY INVESTMENT TRUST</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FEDERAL REALTY OP LP</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August 2,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4"/>
                <w:u w:val="single"/>
              </w:rPr>
              <w:t>/s/ Daniel Guglielmone</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Daniel Guglielmone</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Executive Vice President-</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Chief Financial Officer and Treasurer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INDEX</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501"/>
        <w:gridCol w:w="440"/>
        <w:gridCol w:w="442"/>
        <w:gridCol w:w="109"/>
        <w:gridCol w:w="109"/>
        <w:gridCol w:w="109"/>
        <w:gridCol w:w="2476"/>
        <w:gridCol w:w="2476"/>
        <w:gridCol w:w="3543"/>
      </w:tblGrid>
      <w:tr>
        <w:trPr/>
        <w:tc>
          <w:tcPr>
            <w:tcW w:w="50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3543" w:type="dxa"/>
            <w:tcBorders/>
            <w:vAlign w:val="center"/>
          </w:tcPr>
          <w:p>
            <w:pPr>
              <w:pStyle w:val="TableContents"/>
              <w:bidi w:val="0"/>
              <w:spacing w:before="0" w:after="283"/>
              <w:jc w:val="left"/>
              <w:rPr>
                <w:sz w:val="4"/>
                <w:szCs w:val="4"/>
              </w:rPr>
            </w:pPr>
            <w:r>
              <w:rPr>
                <w:sz w:val="4"/>
                <w:szCs w:val="4"/>
              </w:rPr>
            </w:r>
          </w:p>
        </w:tc>
      </w:tr>
      <w:tr>
        <w:trPr/>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frt-6302023xex991.htm">
              <w:r>
                <w:rPr>
                  <w:rStyle w:val="InternetLink"/>
                  <w:rFonts w:ascii="Times New Roman;sans-serif" w:hAnsi="Times New Roman;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Information at June 30, 2023</w:t>
            </w:r>
          </w:p>
        </w:tc>
      </w:tr>
      <w:tr>
        <w:trPr/>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(the Cover Page Interactive Data File is embedded within the Inline XBRL document)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8704" w:type="dxa"/>
        <w:jc w:val="center"/>
        <w:tblInd w:w="0" w:type="dxa"/>
        <w:tblLayout w:type="fixed"/>
        <w:tblCellMar>
          <w:top w:w="28" w:type="dxa"/>
          <w:left w:w="28" w:type="dxa"/>
          <w:bottom w:w="28" w:type="dxa"/>
          <w:right w:w="28" w:type="dxa"/>
        </w:tblCellMar>
      </w:tblPr>
      <w:tblGrid>
        <w:gridCol w:w="360"/>
        <w:gridCol w:w="317"/>
        <w:gridCol w:w="317"/>
        <w:gridCol w:w="617"/>
        <w:gridCol w:w="617"/>
        <w:gridCol w:w="617"/>
        <w:gridCol w:w="1590"/>
        <w:gridCol w:w="1590"/>
        <w:gridCol w:w="1590"/>
        <w:gridCol w:w="317"/>
        <w:gridCol w:w="317"/>
        <w:gridCol w:w="455"/>
      </w:tblGrid>
      <w:tr>
        <w:trPr/>
        <w:tc>
          <w:tcPr>
            <w:tcW w:w="36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870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7710" w:type="dxa"/>
            <w:gridSpan w:val="9"/>
            <w:tcBorders/>
          </w:tcPr>
          <w:p>
            <w:pPr>
              <w:pStyle w:val="TableContents"/>
              <w:bidi w:val="0"/>
              <w:spacing w:before="0" w:after="283"/>
              <w:jc w:val="left"/>
              <w:rPr>
                <w:sz w:val="4"/>
                <w:szCs w:val="4"/>
              </w:rPr>
            </w:pPr>
            <w:r>
              <w:rPr>
                <w:sz w:val="4"/>
                <w:szCs w:val="4"/>
              </w:rPr>
            </w:r>
          </w:p>
        </w:tc>
      </w:tr>
      <w:tr>
        <w:trPr/>
        <w:tc>
          <w:tcPr>
            <w:tcW w:w="870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SUPPLEMENTAL INFORMATION</w:t>
            </w:r>
          </w:p>
        </w:tc>
      </w:tr>
      <w:tr>
        <w:trPr/>
        <w:tc>
          <w:tcPr>
            <w:tcW w:w="870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 2023</w:t>
            </w:r>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62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 2023 Earnings Press Release</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c6b388a01ef4b45b9719da19c52a1cc_7">
              <w:r>
                <w:rPr>
                  <w:rStyle w:val="InternetLink"/>
                  <w:rFonts w:ascii="Times New Roman;sans-serif" w:hAnsi="Times New Roman;sans-serif"/>
                  <w:b w:val="false"/>
                  <w:color w:val="0000FF"/>
                  <w:sz w:val="20"/>
                  <w:u w:val="single"/>
                </w:rPr>
                <w:t>3</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662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Highlights</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Income Statements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c6b388a01ef4b45b9719da19c52a1cc_10">
              <w:r>
                <w:rPr>
                  <w:rStyle w:val="InternetLink"/>
                  <w:rFonts w:ascii="Times New Roman;sans-serif" w:hAnsi="Times New Roman;sans-serif"/>
                  <w:b w:val="false"/>
                  <w:color w:val="0000FF"/>
                  <w:sz w:val="20"/>
                  <w:u w:val="single"/>
                </w:rPr>
                <w:t>7</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c6b388a01ef4b45b9719da19c52a1cc_13">
              <w:r>
                <w:rPr>
                  <w:rStyle w:val="InternetLink"/>
                  <w:rFonts w:ascii="Times New Roman;sans-serif" w:hAnsi="Times New Roman;sans-serif"/>
                  <w:b w:val="false"/>
                  <w:color w:val="0000FF"/>
                  <w:sz w:val="20"/>
                  <w:u w:val="single"/>
                </w:rPr>
                <w:t>8</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 / Other Supplemental Information</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c6b388a01ef4b45b9719da19c52a1cc_16">
              <w:r>
                <w:rPr>
                  <w:rStyle w:val="InternetLink"/>
                  <w:rFonts w:ascii="Times New Roman;sans-serif" w:hAnsi="Times New Roman;sans-serif"/>
                  <w:b w:val="false"/>
                  <w:color w:val="0000FF"/>
                  <w:sz w:val="20"/>
                  <w:u w:val="single"/>
                </w:rPr>
                <w:t>9</w:t>
              </w:r>
            </w:hyperlink>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c>
          <w:tcPr>
            <w:tcW w:w="477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Rental Income</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c6b388a01ef4b45b9719da19c52a1cc_19">
              <w:r>
                <w:rPr>
                  <w:rStyle w:val="InternetLink"/>
                  <w:rFonts w:ascii="Times New Roman;sans-serif" w:hAnsi="Times New Roman;sans-serif"/>
                  <w:b w:val="false"/>
                  <w:color w:val="0000FF"/>
                  <w:sz w:val="20"/>
                  <w:u w:val="single"/>
                </w:rPr>
                <w:t>10</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Comparable Property Information</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c6b388a01ef4b45b9719da19c52a1cc_22">
              <w:r>
                <w:rPr>
                  <w:rStyle w:val="InternetLink"/>
                  <w:rFonts w:ascii="Times New Roman;sans-serif" w:hAnsi="Times New Roman;sans-serif"/>
                  <w:b w:val="false"/>
                  <w:color w:val="0000FF"/>
                  <w:sz w:val="20"/>
                  <w:u w:val="single"/>
                </w:rPr>
                <w:t>11</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Data and Leverage and Liquidity Ratios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c6b388a01ef4b45b9719da19c52a1cc_25">
              <w:r>
                <w:rPr>
                  <w:rStyle w:val="InternetLink"/>
                  <w:rFonts w:ascii="Times New Roman;sans-serif" w:hAnsi="Times New Roman;sans-serif"/>
                  <w:b w:val="false"/>
                  <w:color w:val="0000FF"/>
                  <w:sz w:val="20"/>
                  <w:u w:val="single"/>
                </w:rPr>
                <w:t>12</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662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Summary of Debt</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Summary of Outstanding Debt</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c6b388a01ef4b45b9719da19c52a1cc_28">
              <w:r>
                <w:rPr>
                  <w:rStyle w:val="InternetLink"/>
                  <w:rFonts w:ascii="Times New Roman;sans-serif" w:hAnsi="Times New Roman;sans-serif"/>
                  <w:b w:val="false"/>
                  <w:color w:val="0000FF"/>
                  <w:sz w:val="20"/>
                  <w:u w:val="single"/>
                </w:rPr>
                <w:t>13</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Summary of Debt Maturities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c6b388a01ef4b45b9719da19c52a1cc_31">
              <w:r>
                <w:rPr>
                  <w:rStyle w:val="InternetLink"/>
                  <w:rFonts w:ascii="Times New Roman;sans-serif" w:hAnsi="Times New Roman;sans-serif"/>
                  <w:b w:val="false"/>
                  <w:color w:val="0000FF"/>
                  <w:sz w:val="20"/>
                  <w:u w:val="single"/>
                </w:rPr>
                <w:t>14</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662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Summary of Redevelopment and Expansion Opportunities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c6b388a01ef4b45b9719da19c52a1cc_34">
              <w:r>
                <w:rPr>
                  <w:rStyle w:val="InternetLink"/>
                  <w:rFonts w:ascii="Times New Roman;sans-serif" w:hAnsi="Times New Roman;sans-serif"/>
                  <w:b w:val="false"/>
                  <w:color w:val="0000FF"/>
                  <w:sz w:val="20"/>
                  <w:u w:val="single"/>
                </w:rPr>
                <w:t>15</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c>
          <w:tcPr>
            <w:tcW w:w="477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c>
          <w:tcPr>
            <w:tcW w:w="477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662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Redevelopment and Expansion Opportunities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c6b388a01ef4b45b9719da19c52a1cc_40">
              <w:r>
                <w:rPr>
                  <w:rStyle w:val="InternetLink"/>
                  <w:rFonts w:ascii="Times New Roman;sans-serif" w:hAnsi="Times New Roman;sans-serif"/>
                  <w:b w:val="false"/>
                  <w:color w:val="0000FF"/>
                  <w:sz w:val="20"/>
                  <w:u w:val="single"/>
                </w:rPr>
                <w:t>16</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662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Acquisition, Disposition, &amp; Other Transactions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c6b388a01ef4b45b9719da19c52a1cc_43">
              <w:r>
                <w:rPr>
                  <w:rStyle w:val="InternetLink"/>
                  <w:rFonts w:ascii="Times New Roman;sans-serif" w:hAnsi="Times New Roman;sans-serif"/>
                  <w:b w:val="false"/>
                  <w:color w:val="0000FF"/>
                  <w:sz w:val="20"/>
                  <w:u w:val="single"/>
                </w:rPr>
                <w:t>17</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662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Status Report</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c6b388a01ef4b45b9719da19c52a1cc_46">
              <w:r>
                <w:rPr>
                  <w:rStyle w:val="InternetLink"/>
                  <w:rFonts w:ascii="Times New Roman;sans-serif" w:hAnsi="Times New Roman;sans-serif"/>
                  <w:b w:val="false"/>
                  <w:color w:val="0000FF"/>
                  <w:sz w:val="20"/>
                  <w:u w:val="single"/>
                </w:rPr>
                <w:t>18</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662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Leasing Summary</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c6b388a01ef4b45b9719da19c52a1cc_49">
              <w:r>
                <w:rPr>
                  <w:rStyle w:val="InternetLink"/>
                  <w:rFonts w:ascii="Times New Roman;sans-serif" w:hAnsi="Times New Roman;sans-serif"/>
                  <w:b w:val="false"/>
                  <w:color w:val="0000FF"/>
                  <w:sz w:val="20"/>
                  <w:u w:val="single"/>
                </w:rPr>
                <w:t>23</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662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Expirations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c6b388a01ef4b45b9719da19c52a1cc_52">
              <w:r>
                <w:rPr>
                  <w:rStyle w:val="InternetLink"/>
                  <w:rFonts w:ascii="Times New Roman;sans-serif" w:hAnsi="Times New Roman;sans-serif"/>
                  <w:b w:val="false"/>
                  <w:color w:val="0000FF"/>
                  <w:sz w:val="20"/>
                  <w:u w:val="single"/>
                </w:rPr>
                <w:t>24</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662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Portfolio Leased Statistics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c6b388a01ef4b45b9719da19c52a1cc_55">
              <w:r>
                <w:rPr>
                  <w:rStyle w:val="InternetLink"/>
                  <w:rFonts w:ascii="Times New Roman;sans-serif" w:hAnsi="Times New Roman;sans-serif"/>
                  <w:b w:val="false"/>
                  <w:color w:val="0000FF"/>
                  <w:sz w:val="20"/>
                  <w:u w:val="single"/>
                </w:rPr>
                <w:t>25</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662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Summary of Top 25 Tenants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c6b388a01ef4b45b9719da19c52a1cc_58">
              <w:r>
                <w:rPr>
                  <w:rStyle w:val="InternetLink"/>
                  <w:rFonts w:ascii="Times New Roman;sans-serif" w:hAnsi="Times New Roman;sans-serif"/>
                  <w:b w:val="false"/>
                  <w:color w:val="0000FF"/>
                  <w:sz w:val="20"/>
                  <w:u w:val="single"/>
                </w:rPr>
                <w:t>26</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c>
          <w:tcPr>
            <w:tcW w:w="477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c>
          <w:tcPr>
            <w:tcW w:w="477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662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FFO Guidance</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c6b388a01ef4b45b9719da19c52a1cc_61">
              <w:r>
                <w:rPr>
                  <w:rStyle w:val="InternetLink"/>
                  <w:rFonts w:ascii="Times New Roman;sans-serif" w:hAnsi="Times New Roman;sans-serif"/>
                  <w:b w:val="false"/>
                  <w:color w:val="0000FF"/>
                  <w:sz w:val="20"/>
                  <w:u w:val="single"/>
                </w:rPr>
                <w:t>27</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662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Glossary of Terms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c6b388a01ef4b45b9719da19c52a1cc_64">
              <w:r>
                <w:rPr>
                  <w:rStyle w:val="InternetLink"/>
                  <w:rFonts w:ascii="Times New Roman;sans-serif" w:hAnsi="Times New Roman;sans-serif"/>
                  <w:b w:val="false"/>
                  <w:color w:val="0000FF"/>
                  <w:sz w:val="20"/>
                  <w:u w:val="single"/>
                </w:rPr>
                <w:t>28</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4"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909 Rose Avenue, Suite 200</w:t>
            </w:r>
          </w:p>
        </w:tc>
      </w:tr>
      <w:tr>
        <w:trPr/>
        <w:tc>
          <w:tcPr>
            <w:tcW w:w="870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North Bethesda, Maryland 20852</w:t>
            </w:r>
          </w:p>
        </w:tc>
      </w:tr>
      <w:tr>
        <w:trPr/>
        <w:tc>
          <w:tcPr>
            <w:tcW w:w="8704"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301-998-8100</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Safe Harbor Language</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8, 2023, and include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risks that our tenants will not pay rent, may vacate early or may file for bankruptcy or that we may be unable to renew leases or re-let space at favorable rents as leases expire or to fill existing vacancy;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risks that our growth will be limited if we cannot obtain additional capital, or if the costs of capital we obtain are significantly higher than historical levels;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risks associated with general economic conditions, including inflation and local economic conditions in our geographic markets;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8, 2023 and subsequent quarterly reports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center"/>
        <w:rPr/>
      </w:pPr>
      <w:r>
        <w:rPr/>
        <w:drawing>
          <wp:inline distT="0" distB="0" distL="0" distR="0">
            <wp:extent cx="2724150" cy="106680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2724150" cy="1066800"/>
                    </a:xfrm>
                    <a:prstGeom prst="rect">
                      <a:avLst/>
                    </a:prstGeom>
                  </pic:spPr>
                </pic:pic>
              </a:graphicData>
            </a:graphic>
          </wp:inline>
        </w:drawing>
      </w:r>
    </w:p>
    <w:tbl>
      <w:tblPr>
        <w:tblW w:w="7003" w:type="dxa"/>
        <w:jc w:val="left"/>
        <w:tblInd w:w="0" w:type="dxa"/>
        <w:tblLayout w:type="fixed"/>
        <w:tblCellMar>
          <w:top w:w="28" w:type="dxa"/>
          <w:left w:w="28" w:type="dxa"/>
          <w:bottom w:w="28" w:type="dxa"/>
          <w:right w:w="28" w:type="dxa"/>
        </w:tblCellMar>
      </w:tblPr>
      <w:tblGrid>
        <w:gridCol w:w="1120"/>
        <w:gridCol w:w="981"/>
        <w:gridCol w:w="988"/>
        <w:gridCol w:w="1145"/>
        <w:gridCol w:w="1145"/>
        <w:gridCol w:w="1624"/>
      </w:tblGrid>
      <w:tr>
        <w:trPr/>
        <w:tc>
          <w:tcPr>
            <w:tcW w:w="112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NEWS RELEASE</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www.federalrealty.com</w:t>
            </w:r>
          </w:p>
        </w:tc>
      </w:tr>
      <w:tr>
        <w:trPr/>
        <w:tc>
          <w:tcPr>
            <w:tcW w:w="30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FOR IMMEDIATE RELEASE</w:t>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Investor Inquiries:</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Media Inquiries:</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Leah Andress Brady</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Brenda Pomar</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Investor Relations</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Senior Director, Corporate Communications</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301.998.8265</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301.998.8316</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lbrady@federalrealty.com</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bpomar@federalrealty.com</w:t>
            </w:r>
          </w:p>
        </w:tc>
      </w:tr>
    </w:tbl>
    <w:p>
      <w:pPr>
        <w:pStyle w:val="TextBody"/>
        <w:bidi w:val="0"/>
        <w:spacing w:before="0" w:after="0"/>
        <w:jc w:val="center"/>
        <w:rPr/>
      </w:pPr>
      <w:r>
        <w:rPr/>
      </w:r>
    </w:p>
    <w:p>
      <w:pPr>
        <w:pStyle w:val="TextBody"/>
        <w:bidi w:val="0"/>
        <w:spacing w:lineRule="auto" w:line="417" w:before="0" w:after="160"/>
        <w:jc w:val="center"/>
        <w:rPr>
          <w:rFonts w:ascii="Arial;sans-serif" w:hAnsi="Arial;sans-serif"/>
          <w:b/>
          <w:color w:val="000000"/>
          <w:sz w:val="20"/>
        </w:rPr>
      </w:pPr>
      <w:r>
        <w:rPr>
          <w:rFonts w:ascii="Arial;sans-serif" w:hAnsi="Arial;sans-serif"/>
          <w:b/>
          <w:color w:val="000000"/>
          <w:sz w:val="20"/>
        </w:rPr>
        <w:t>Federal Realty Investment Trust Announces Second Quarter 2023 Operating Results</w:t>
      </w:r>
    </w:p>
    <w:p>
      <w:pPr>
        <w:pStyle w:val="TextBody"/>
        <w:bidi w:val="0"/>
        <w:spacing w:lineRule="auto" w:line="417" w:before="0" w:after="160"/>
        <w:jc w:val="left"/>
        <w:rPr/>
      </w:pPr>
      <w:r>
        <w:rPr>
          <w:rFonts w:ascii="Arial;sans-serif" w:hAnsi="Arial;sans-serif"/>
          <w:b w:val="false"/>
          <w:color w:val="000000"/>
          <w:sz w:val="20"/>
        </w:rPr>
        <w:t xml:space="preserve">NORTH BETHESDA, Md. (August 2, 2023) - </w:t>
      </w:r>
      <w:r>
        <w:rPr>
          <w:rFonts w:ascii="Arial;sans-serif" w:hAnsi="Arial;sans-serif"/>
          <w:b w:val="false"/>
          <w:color w:val="000000"/>
          <w:sz w:val="20"/>
          <w:u w:val="single"/>
        </w:rPr>
        <w:t>Federal Realty Investment Trust</w:t>
      </w:r>
      <w:r>
        <w:rPr>
          <w:color w:val="000000"/>
        </w:rPr>
        <w:t xml:space="preserve"> </w:t>
      </w:r>
      <w:r>
        <w:rPr>
          <w:rFonts w:ascii="Arial;sans-serif" w:hAnsi="Arial;sans-serif"/>
          <w:b w:val="false"/>
          <w:color w:val="000000"/>
          <w:sz w:val="20"/>
        </w:rPr>
        <w:t xml:space="preserve">(NYSE:FRT) today reported operating results for its second quarter ended June 30, 2023. For the three months ended June 30, 2023 and 2022, net income available for common shareholders was $0.72 per diluted share and $0.75 per diluted share, respectively. For the three months ended June 30, 2023 and 2022, operating income was $101.8 million and $93.6 million, respectively. </w:t>
      </w:r>
    </w:p>
    <w:p>
      <w:pPr>
        <w:pStyle w:val="TextBody"/>
        <w:bidi w:val="0"/>
        <w:spacing w:lineRule="auto" w:line="417" w:before="0" w:after="160"/>
        <w:jc w:val="left"/>
        <w:rPr>
          <w:rFonts w:ascii="Arial;sans-serif" w:hAnsi="Arial;sans-serif"/>
          <w:b w:val="false"/>
          <w:color w:val="000000"/>
          <w:sz w:val="20"/>
        </w:rPr>
      </w:pPr>
      <w:r>
        <w:rPr>
          <w:rFonts w:ascii="Arial;sans-serif" w:hAnsi="Arial;sans-serif"/>
          <w:b w:val="false"/>
          <w:color w:val="000000"/>
          <w:sz w:val="20"/>
        </w:rPr>
        <w:t>Highlights for the second quarter and subsequent to quarter-end include:</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 xml:space="preserve">Generated funds from operations available to common shareholders (FFO) per diluted share of $1.67 for the quarter, a company record. </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Generated 4.6% comparable property operating income (POI) growth excluding lease termination fees and COVID-19 pandemic related prior period rents collected for the second quarter.</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Continued robust levels of leasing with 107 signed leases for 576,345 square feet of comparable space in the second quarter at a cash basis rollover of 7%, highest second quarter comparable leasing volume on record.</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Federal Realty’s portfolio was 92.8% occupied and 94.3% leased, representing year-over-year increases of 80 basis points and 20 basis points, respectively.</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Issued $350.0 million of fixed rate senior unsecured notes, as a green bond, that mature on May 1, 2028 and bear interest at 5.375%. The notes were offered at 99.590% of the principal amount with a yield to maturity of 5.468%.</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 xml:space="preserve">Increased the regular quarterly cash dividend to $1.09 per common share, resulting in an indicated annual rate of $4.36 per common share. This increase represents the </w:t>
      </w:r>
      <w:r>
        <w:rPr>
          <w:rFonts w:ascii="Arial;sans-serif" w:hAnsi="Arial;sans-serif"/>
          <w:b w:val="false"/>
          <w:color w:val="000000"/>
          <w:sz w:val="20"/>
          <w:u w:val="single"/>
        </w:rPr>
        <w:t>56</w:t>
      </w:r>
      <w:r>
        <w:rPr>
          <w:rFonts w:ascii="Arial;sans-serif" w:hAnsi="Arial;sans-serif"/>
          <w:b w:val="false"/>
          <w:color w:val="000000"/>
          <w:sz w:val="13"/>
          <w:u w:val="single"/>
        </w:rPr>
        <w:t>th</w:t>
      </w:r>
      <w:r>
        <w:rPr>
          <w:color w:val="000000"/>
          <w:u w:val="single"/>
        </w:rPr>
        <w:t xml:space="preserve"> </w:t>
      </w:r>
      <w:r>
        <w:rPr>
          <w:rFonts w:ascii="Arial;sans-serif" w:hAnsi="Arial;sans-serif"/>
          <w:b w:val="false"/>
          <w:color w:val="000000"/>
          <w:sz w:val="20"/>
          <w:u w:val="single"/>
        </w:rPr>
        <w:t>consecutive year</w:t>
      </w:r>
      <w:r>
        <w:rPr>
          <w:color w:val="000000"/>
        </w:rPr>
        <w:t xml:space="preserve"> </w:t>
      </w:r>
      <w:r>
        <w:rPr>
          <w:rFonts w:ascii="Arial;sans-serif" w:hAnsi="Arial;sans-serif"/>
          <w:b w:val="false"/>
          <w:color w:val="000000"/>
          <w:sz w:val="20"/>
        </w:rPr>
        <w:t>that Federal Realty has increased its common dividend, the longest record of consecutive annual dividend increases in the REIT sector.</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 xml:space="preserve">Increased 2023 earnings per diluted share guidance to $2.64 - $2.76 and increased 2023 FFO per diluted share guidance to $6.46 - $6.58. </w:t>
      </w:r>
    </w:p>
    <w:p>
      <w:pPr>
        <w:pStyle w:val="TextBody"/>
        <w:bidi w:val="0"/>
        <w:spacing w:lineRule="auto" w:line="417" w:before="0" w:after="160"/>
        <w:ind w:left="0" w:right="0" w:hanging="360"/>
        <w:jc w:val="both"/>
        <w:rPr/>
      </w:pPr>
      <w:r>
        <w:rPr>
          <w:color w:val="000000"/>
        </w:rPr>
        <w:t>•</w:t>
      </w:r>
      <w:r>
        <w:rPr>
          <w:rFonts w:ascii="Arial;sans-serif" w:hAnsi="Arial;sans-serif"/>
          <w:b w:val="false"/>
          <w:color w:val="000000"/>
          <w:sz w:val="20"/>
        </w:rPr>
        <w:t>Issued the Company’s annual Environmental, Social and Governance Report.</w:t>
      </w:r>
    </w:p>
    <w:p>
      <w:pPr>
        <w:pStyle w:val="TextBody"/>
        <w:bidi w:val="0"/>
        <w:spacing w:lineRule="auto" w:line="417" w:before="0" w:after="160"/>
        <w:jc w:val="both"/>
        <w:rPr/>
      </w:pPr>
      <w:r>
        <w:rPr>
          <w:color w:val="000000"/>
        </w:rPr>
        <w:t>“</w:t>
      </w:r>
      <w:r>
        <w:rPr>
          <w:rFonts w:ascii="Arial;sans-serif" w:hAnsi="Arial;sans-serif"/>
          <w:b w:val="false"/>
          <w:color w:val="000000"/>
          <w:sz w:val="20"/>
        </w:rPr>
        <w:t>A record quarter for Federal Realty; $1.67 of FFO per share driven by strong results in all aspects of our company and our 56</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 xml:space="preserve">consecutive year of increased common dividends to our shareholders, also a REIT industry record,” said </w:t>
      </w:r>
    </w:p>
    <w:p>
      <w:pPr>
        <w:pStyle w:val="TextBody"/>
        <w:bidi w:val="0"/>
        <w:spacing w:before="0" w:after="0"/>
        <w:jc w:val="right"/>
        <w:rPr/>
      </w:pPr>
      <w:r>
        <w:rPr/>
        <w:drawing>
          <wp:inline distT="0" distB="0" distL="0" distR="0">
            <wp:extent cx="895350" cy="35242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895350" cy="352425"/>
                    </a:xfrm>
                    <a:prstGeom prst="rect">
                      <a:avLst/>
                    </a:prstGeom>
                  </pic:spPr>
                </pic:pic>
              </a:graphicData>
            </a:graphic>
          </wp:inline>
        </w:drawing>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1155"/>
                <wp:effectExtent l="0" t="0" r="0" b="0"/>
                <wp:wrapNone/>
                <wp:docPr id="8"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1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Donald C. Wood, Federal Realty’s Chief Executive Officer. “Continued robust leasing activity demonstrates the strength of retail demand for the high-quality product that Federal Realty offers.”</w:t>
      </w:r>
    </w:p>
    <w:p>
      <w:pPr>
        <w:pStyle w:val="TextBody"/>
        <w:bidi w:val="0"/>
        <w:spacing w:lineRule="auto" w:line="417" w:before="0" w:after="160"/>
        <w:jc w:val="both"/>
        <w:rPr>
          <w:rFonts w:ascii="Arial;sans-serif" w:hAnsi="Arial;sans-serif"/>
          <w:b/>
          <w:color w:val="000000"/>
          <w:sz w:val="20"/>
        </w:rPr>
      </w:pPr>
      <w:r>
        <w:rPr>
          <w:rFonts w:ascii="Arial;sans-serif" w:hAnsi="Arial;sans-serif"/>
          <w:b/>
          <w:color w:val="000000"/>
          <w:sz w:val="20"/>
        </w:rPr>
        <w:t>Financial Results</w:t>
      </w:r>
    </w:p>
    <w:p>
      <w:pPr>
        <w:pStyle w:val="TextBody"/>
        <w:bidi w:val="0"/>
        <w:spacing w:lineRule="auto" w:line="417" w:before="0" w:after="160"/>
        <w:jc w:val="left"/>
        <w:rPr/>
      </w:pPr>
      <w:r>
        <w:rPr>
          <w:rFonts w:ascii="Arial;sans-serif" w:hAnsi="Arial;sans-serif"/>
          <w:b w:val="false"/>
          <w:i/>
          <w:color w:val="000000"/>
          <w:sz w:val="20"/>
        </w:rPr>
        <w:t>Net Incom</w:t>
      </w:r>
      <w:r>
        <w:rPr>
          <w:rFonts w:ascii="Arial;sans-serif" w:hAnsi="Arial;sans-serif"/>
          <w:b w:val="false"/>
          <w:color w:val="000000"/>
          <w:sz w:val="20"/>
        </w:rPr>
        <w:t>e</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For the second quarter 2023, net income available for common shareholders was $58.5 million and earnings per diluted share was $0.72 versus $59.7 million and $0.75, respectively, for the second quarter 2022.</w:t>
      </w:r>
    </w:p>
    <w:p>
      <w:pPr>
        <w:pStyle w:val="TextBody"/>
        <w:bidi w:val="0"/>
        <w:spacing w:lineRule="auto" w:line="417" w:before="0" w:after="160"/>
        <w:jc w:val="both"/>
        <w:rPr>
          <w:rFonts w:ascii="Arial;sans-serif" w:hAnsi="Arial;sans-serif"/>
          <w:b w:val="false"/>
          <w:i/>
          <w:color w:val="000000"/>
          <w:sz w:val="20"/>
        </w:rPr>
      </w:pPr>
      <w:r>
        <w:rPr>
          <w:rFonts w:ascii="Arial;sans-serif" w:hAnsi="Arial;sans-serif"/>
          <w:b w:val="false"/>
          <w:i/>
          <w:color w:val="000000"/>
          <w:sz w:val="20"/>
        </w:rPr>
        <w:t>FFO</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For the second quarter 2023, FFO was $136.9 million, or $1.67 per diluted share, compared to $131.6 million, or $1.65 per diluted share for the second quarter 2022.</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FFO is a non-GAAP supplemental earnings measure which the Trust considers meaningful in measuring its operating performance. A reconciliation of FFO to net income is attached to this press release.</w:t>
      </w:r>
    </w:p>
    <w:p>
      <w:pPr>
        <w:pStyle w:val="TextBody"/>
        <w:bidi w:val="0"/>
        <w:spacing w:lineRule="auto" w:line="417" w:before="0" w:after="160"/>
        <w:jc w:val="both"/>
        <w:rPr>
          <w:rFonts w:ascii="Arial;sans-serif" w:hAnsi="Arial;sans-serif"/>
          <w:b/>
          <w:color w:val="000000"/>
          <w:sz w:val="20"/>
        </w:rPr>
      </w:pPr>
      <w:r>
        <w:rPr>
          <w:rFonts w:ascii="Arial;sans-serif" w:hAnsi="Arial;sans-serif"/>
          <w:b/>
          <w:color w:val="000000"/>
          <w:sz w:val="20"/>
        </w:rPr>
        <w:t>Operational Update</w:t>
      </w:r>
    </w:p>
    <w:p>
      <w:pPr>
        <w:pStyle w:val="TextBody"/>
        <w:bidi w:val="0"/>
        <w:spacing w:lineRule="auto" w:line="417" w:before="0" w:after="160"/>
        <w:jc w:val="left"/>
        <w:rPr>
          <w:rFonts w:ascii="Arial;sans-serif" w:hAnsi="Arial;sans-serif"/>
          <w:b w:val="false"/>
          <w:i/>
          <w:color w:val="000000"/>
          <w:sz w:val="20"/>
        </w:rPr>
      </w:pPr>
      <w:r>
        <w:rPr>
          <w:rFonts w:ascii="Arial;sans-serif" w:hAnsi="Arial;sans-serif"/>
          <w:b w:val="false"/>
          <w:i/>
          <w:color w:val="000000"/>
          <w:sz w:val="20"/>
        </w:rPr>
        <w:t>Occupancy</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 xml:space="preserve">The portfolio was 92.8% occupied as of June 30, 2023, an increase of 80 basis points year-over-year. The portfolio was 94.3% leased as of June 30, 2023, an increase of 20 basis points year-over-year. </w:t>
      </w:r>
    </w:p>
    <w:p>
      <w:pPr>
        <w:pStyle w:val="TextBody"/>
        <w:bidi w:val="0"/>
        <w:spacing w:lineRule="auto" w:line="417" w:before="0" w:after="160"/>
        <w:jc w:val="left"/>
        <w:rPr>
          <w:rFonts w:ascii="Arial;sans-serif" w:hAnsi="Arial;sans-serif"/>
          <w:b w:val="false"/>
          <w:color w:val="000000"/>
          <w:sz w:val="20"/>
        </w:rPr>
      </w:pPr>
      <w:r>
        <w:rPr>
          <w:rFonts w:ascii="Arial;sans-serif" w:hAnsi="Arial;sans-serif"/>
          <w:b w:val="false"/>
          <w:color w:val="000000"/>
          <w:sz w:val="20"/>
        </w:rPr>
        <w:t xml:space="preserve">Additionally, our comparable residential properties were 98.0% leased as of June 30, 2023. </w:t>
      </w:r>
    </w:p>
    <w:p>
      <w:pPr>
        <w:pStyle w:val="TextBody"/>
        <w:bidi w:val="0"/>
        <w:spacing w:lineRule="auto" w:line="417" w:before="0" w:after="160"/>
        <w:jc w:val="both"/>
        <w:rPr>
          <w:rFonts w:ascii="Arial;sans-serif" w:hAnsi="Arial;sans-serif"/>
          <w:b w:val="false"/>
          <w:i/>
          <w:color w:val="000000"/>
          <w:sz w:val="20"/>
        </w:rPr>
      </w:pPr>
      <w:r>
        <w:rPr>
          <w:rFonts w:ascii="Arial;sans-serif" w:hAnsi="Arial;sans-serif"/>
          <w:b w:val="false"/>
          <w:i/>
          <w:color w:val="000000"/>
          <w:sz w:val="20"/>
        </w:rPr>
        <w:t>Leasing Activity</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 xml:space="preserve">During the second quarter 2023, Federal Realty signed 112 leases for 602,911 square feet of retail space. On a comparable space basis (i.e., spaces for which there was a former tenant), Federal Realty signed 107 leases for 576,345 square feet at an average rent of $35.34 per square foot compared to the average contractual rent of $33.09 per square foot for the last year of the prior leases, representing a cash basis rollover growth on those comparable spaces of 7%, 19% on a straight-line basis. </w:t>
      </w:r>
    </w:p>
    <w:p>
      <w:pPr>
        <w:pStyle w:val="TextBody"/>
        <w:bidi w:val="0"/>
        <w:spacing w:lineRule="auto" w:line="417" w:before="0" w:after="160"/>
        <w:jc w:val="both"/>
        <w:rPr>
          <w:rFonts w:ascii="Arial;sans-serif" w:hAnsi="Arial;sans-serif"/>
          <w:b/>
          <w:color w:val="000000"/>
          <w:sz w:val="20"/>
        </w:rPr>
      </w:pPr>
      <w:r>
        <w:rPr>
          <w:rFonts w:ascii="Arial;sans-serif" w:hAnsi="Arial;sans-serif"/>
          <w:b/>
          <w:color w:val="000000"/>
          <w:sz w:val="20"/>
        </w:rPr>
        <w:t>Regular Quarterly Dividends</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 xml:space="preserve">Federal Realty announced today that its Board of Trustees increased the regular quarterly cash dividend to $1.09 per common share, resulting in an indicated annual rate of $4.36 per common share. The regular common dividend will be payable on October 16, 2023 to common shareholders of record as of September 22, 2023. This increase represents the 56th consecutive year that Federal Realty has increased its common dividend, the longest record of consecutive annual dividend increases in the REIT sector. </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Federal Realty’s Board of Trustees also declared a quarterly cash dividend on its Class C depositary shares, each representing 1/1000 of a 5.000% Series C Cumulative Preferred Share of Beneficial Interest, of $0.3125 per depositary share. All dividends on the depositary shares will be payable on October 16, 2023 to shareholders of record as of October 2, 2023.</w:t>
      </w:r>
    </w:p>
    <w:p>
      <w:pPr>
        <w:pStyle w:val="TextBody"/>
        <w:bidi w:val="0"/>
        <w:spacing w:before="0" w:after="0"/>
        <w:jc w:val="right"/>
        <w:rPr/>
      </w:pPr>
      <w:r>
        <w:rPr/>
        <w:drawing>
          <wp:inline distT="0" distB="0" distL="0" distR="0">
            <wp:extent cx="895350" cy="35242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895350" cy="352425"/>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417" w:before="0" w:after="160"/>
        <w:jc w:val="both"/>
        <w:rPr>
          <w:rFonts w:ascii="Arial;sans-serif" w:hAnsi="Arial;sans-serif"/>
          <w:b/>
          <w:color w:val="000000"/>
          <w:sz w:val="20"/>
        </w:rPr>
      </w:pPr>
      <w:r>
        <w:rPr>
          <w:rFonts w:ascii="Arial;sans-serif" w:hAnsi="Arial;sans-serif"/>
          <w:b/>
          <w:color w:val="000000"/>
          <w:sz w:val="20"/>
        </w:rPr>
        <w:t>Summary of Other Quarterly Activities</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0"/>
        </w:rPr>
        <w:t xml:space="preserve">April 12, 2023 – Federal Realty issued $350.0 million of fixed rate senior unsecured notes, as a green bond, that mature on May 1, 2028 and bear interest at 5.375%. The notes were offered at 99.590% of the principal amount with a yield to maturity of 5.468%. The net proceeds, after issuance discount, underwriting fees, and other costs were $345.7 million. </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0"/>
        </w:rPr>
        <w:t xml:space="preserve">June 1, 2023 – Federal Realty repaid its $275.0 million 2.75% senior unsecured notes at maturity. </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June 1, 2023 – Federal Realty issued its 2022 Environmental, Social and Governance Report highlighting the Company’s commitment to its ESG initiatives and accomplishments.</w:t>
      </w:r>
    </w:p>
    <w:p>
      <w:pPr>
        <w:pStyle w:val="TextBody"/>
        <w:bidi w:val="0"/>
        <w:spacing w:lineRule="auto" w:line="417" w:before="0" w:after="160"/>
        <w:ind w:left="0" w:right="0" w:hanging="360"/>
        <w:jc w:val="both"/>
        <w:rPr/>
      </w:pPr>
      <w:r>
        <w:rPr>
          <w:color w:val="000000"/>
        </w:rPr>
        <w:t>•</w:t>
      </w:r>
      <w:r>
        <w:rPr>
          <w:rFonts w:ascii="Arial;sans-serif" w:hAnsi="Arial;sans-serif"/>
          <w:b w:val="false"/>
          <w:color w:val="000000"/>
          <w:sz w:val="20"/>
        </w:rPr>
        <w:t xml:space="preserve">June 21, 2023 – Federal Realty was named to The Washington Post’s 2023 Top Workplaces list for its leadership in employee satisfaction and engagement. </w:t>
      </w:r>
    </w:p>
    <w:p>
      <w:pPr>
        <w:pStyle w:val="TextBody"/>
        <w:bidi w:val="0"/>
        <w:spacing w:lineRule="auto" w:line="417" w:before="0" w:after="160"/>
        <w:jc w:val="both"/>
        <w:rPr>
          <w:rFonts w:ascii="Arial;sans-serif" w:hAnsi="Arial;sans-serif"/>
          <w:b/>
          <w:color w:val="000000"/>
          <w:sz w:val="20"/>
        </w:rPr>
      </w:pPr>
      <w:r>
        <w:rPr>
          <w:rFonts w:ascii="Arial;sans-serif" w:hAnsi="Arial;sans-serif"/>
          <w:b/>
          <w:color w:val="000000"/>
          <w:sz w:val="20"/>
        </w:rPr>
        <w:t>Guidance</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Federal Realty increased its 2023 guidance for earnings per diluted share to $2.64 to $2.76 from $2.59 to $2.79 and 2023 FFO per diluted share to $6.46 to $6.58 from $6.38 to $6.58.</w:t>
      </w:r>
    </w:p>
    <w:p>
      <w:pPr>
        <w:pStyle w:val="TextBody"/>
        <w:bidi w:val="0"/>
        <w:spacing w:lineRule="auto" w:line="417" w:before="0" w:after="160"/>
        <w:jc w:val="both"/>
        <w:rPr>
          <w:rFonts w:ascii="Arial;sans-serif" w:hAnsi="Arial;sans-serif"/>
          <w:b/>
          <w:color w:val="000000"/>
          <w:sz w:val="20"/>
        </w:rPr>
      </w:pPr>
      <w:r>
        <w:rPr>
          <w:rFonts w:ascii="Arial;sans-serif" w:hAnsi="Arial;sans-serif"/>
          <w:b/>
          <w:color w:val="000000"/>
          <w:sz w:val="20"/>
        </w:rPr>
        <w:t>Conference Call Information</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Federal Realty’s management team will present an in-depth discussion of Federal Realty’s operating performance on its second quarter 2023 earnings conference call, which is scheduled for Wednesday, August 2, 2023 at 5:30 PM ET. To participate, please call 1-844-826-3035 five to ten minutes prior to the call start time and use the passcode 3865860 (required). The teleconference can also be accessed via a live webcast at www.federalrealty.com in the Investors section. A replay of the webcast will be available on Federal Realty’s website at www.federalrealty.com. A telephonic replay of the conference call will also be available through August 16, 2023 by dialing 1-844-512-2921; Passcode: 10180484.</w:t>
      </w:r>
    </w:p>
    <w:p>
      <w:pPr>
        <w:pStyle w:val="TextBody"/>
        <w:bidi w:val="0"/>
        <w:spacing w:lineRule="auto" w:line="417" w:before="0" w:after="160"/>
        <w:jc w:val="both"/>
        <w:rPr>
          <w:rFonts w:ascii="Arial;sans-serif" w:hAnsi="Arial;sans-serif"/>
          <w:b/>
          <w:color w:val="000000"/>
          <w:sz w:val="20"/>
        </w:rPr>
      </w:pPr>
      <w:r>
        <w:rPr>
          <w:rFonts w:ascii="Arial;sans-serif" w:hAnsi="Arial;sans-serif"/>
          <w:b/>
          <w:color w:val="000000"/>
          <w:sz w:val="20"/>
        </w:rPr>
        <w:t>About Federal Realty</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Federal Realty is a recognized leader in the ownership, operation and redevelopment of high-quality retail-based properties located primarily in major coastal markets from Washington, D.C. to Boston as well as San Francisco and Los Angeles. Founded in 1962, Federal Realty’s mission is to deliver long-term, sustainable growth through investing in communities where retail demand exceeds supply. Its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102 properties include approximately 3,300 tenants, in 26 million square feet, and approximately 3,100 residential units.</w:t>
      </w:r>
    </w:p>
    <w:p>
      <w:pPr>
        <w:pStyle w:val="TextBody"/>
        <w:bidi w:val="0"/>
        <w:spacing w:lineRule="auto" w:line="417" w:before="0" w:after="160"/>
        <w:jc w:val="left"/>
        <w:rPr>
          <w:rFonts w:ascii="Arial;sans-serif" w:hAnsi="Arial;sans-serif"/>
          <w:b w:val="false"/>
          <w:color w:val="000000"/>
          <w:sz w:val="20"/>
        </w:rPr>
      </w:pPr>
      <w:r>
        <w:rPr>
          <w:rFonts w:ascii="Arial;sans-serif" w:hAnsi="Arial;sans-serif"/>
          <w:b w:val="false"/>
          <w:color w:val="000000"/>
          <w:sz w:val="20"/>
        </w:rPr>
        <w:t>Federal Realty has increased its quarterly dividends to its shareholders for 56 consecutive years, the longest record in the REIT industry. Federal Realty is an S&amp;P 500 index member and its shares are traded on the NYSE under the symbol FRT. For additional information about Federal Realty and its properties, visit www.federalrealty.com.</w:t>
      </w:r>
    </w:p>
    <w:p>
      <w:pPr>
        <w:pStyle w:val="TextBody"/>
        <w:bidi w:val="0"/>
        <w:spacing w:before="0" w:after="0"/>
        <w:jc w:val="right"/>
        <w:rPr/>
      </w:pPr>
      <w:r>
        <w:rPr/>
        <w:drawing>
          <wp:inline distT="0" distB="0" distL="0" distR="0">
            <wp:extent cx="895350" cy="352425"/>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895350" cy="352425"/>
                    </a:xfrm>
                    <a:prstGeom prst="rect">
                      <a:avLst/>
                    </a:prstGeom>
                  </pic:spPr>
                </pic:pic>
              </a:graphicData>
            </a:graphic>
          </wp:inline>
        </w:drawing>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417" w:before="0" w:after="160"/>
        <w:jc w:val="both"/>
        <w:rPr>
          <w:rFonts w:ascii="Arial;sans-serif" w:hAnsi="Arial;sans-serif"/>
          <w:b/>
          <w:color w:val="000000"/>
          <w:sz w:val="20"/>
        </w:rPr>
      </w:pPr>
      <w:r>
        <w:rPr>
          <w:rFonts w:ascii="Arial;sans-serif" w:hAnsi="Arial;sans-serif"/>
          <w:b/>
          <w:color w:val="000000"/>
          <w:sz w:val="20"/>
        </w:rPr>
        <w:t>Safe Harbor Language</w: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8, 2023, and include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that our tenants will not pay rent, may vacate early or may file for bankruptcy or that we may be unable to renew leases or re-let space at favorable rents as leases expire or to fill existing vacancy;</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that our growth will be limited if we cannot obtain additional capital, or if the costs of capital we obtain are significantly higher than historical levels;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associated with general economic conditions, including inflation and local economic conditions in our geographic markets;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pStyle w:val="TextBody"/>
        <w:bidi w:val="0"/>
        <w:spacing w:before="0" w:after="160"/>
        <w:jc w:val="both"/>
        <w:rPr/>
      </w:pPr>
      <w:r>
        <w:rPr/>
      </w:r>
    </w:p>
    <w:p>
      <w:pPr>
        <w:pStyle w:val="TextBody"/>
        <w:bidi w:val="0"/>
        <w:spacing w:lineRule="auto" w:line="276" w:before="0" w:after="0"/>
        <w:jc w:val="left"/>
        <w:rPr>
          <w:rFonts w:ascii="Arial;sans-serif" w:hAnsi="Arial;sans-serif"/>
          <w:b w:val="false"/>
          <w:i/>
          <w:color w:val="000000"/>
          <w:sz w:val="16"/>
        </w:rPr>
      </w:pPr>
      <w:r>
        <w:rPr>
          <w:rFonts w:ascii="Arial;sans-serif" w:hAnsi="Arial;sans-serif"/>
          <w:b w:val="false"/>
          <w:i/>
          <w:color w:val="000000"/>
          <w:sz w:val="16"/>
        </w:rPr>
        <w:t>Given these uncertainties, readers are cautioned not to place undue reliance on any forward-looking statements that we make, including those in this Press Release.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8, 2023 and subsequent quarterly reports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742"/>
        <w:gridCol w:w="1421"/>
        <w:gridCol w:w="143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742"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Income Statements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June 30, 2023</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520,337 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520,870 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(63,647)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119,195 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income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TRUST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113,660 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preferred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109,642 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BASIC:</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79,202 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81,178 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78,826 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DILUTED:</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w:t>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79,202 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81,178 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78,855 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3025"/>
        <w:gridCol w:w="2008"/>
        <w:gridCol w:w="1975"/>
        <w:gridCol w:w="227"/>
        <w:gridCol w:w="1052"/>
        <w:gridCol w:w="117"/>
        <w:gridCol w:w="117"/>
        <w:gridCol w:w="117"/>
        <w:gridCol w:w="117"/>
        <w:gridCol w:w="227"/>
        <w:gridCol w:w="1052"/>
        <w:gridCol w:w="171"/>
      </w:tblGrid>
      <w:tr>
        <w:trPr/>
        <w:tc>
          <w:tcPr>
            <w:tcW w:w="3025"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June 30, 2023</w:t>
            </w:r>
          </w:p>
        </w:tc>
      </w:tr>
      <w:tr>
        <w:trPr/>
        <w:tc>
          <w:tcPr>
            <w:tcW w:w="7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r>
      <w:tr>
        <w:trPr/>
        <w:tc>
          <w:tcPr>
            <w:tcW w:w="7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at cost</w:t>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(including $2,008,167 and $1,997,583 of consolidated variable interest entities, respectively)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9,732,833 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9,441,945 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 (including $11,441 and $8,477 of consolidated variable interest entities, respectively)</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667,554 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662,554 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10,400,387 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10,104,499 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 (including $388,881 and $362,921 of consolidated variable interest entities, respectively)</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(2,839,550)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(2,715,817)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 estate</w:t>
            </w:r>
          </w:p>
        </w:tc>
        <w:tc>
          <w:tcPr>
            <w:tcW w:w="12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7,560,837 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7,388,682 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85,558 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notes receivable, net</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197,648 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notes receivable, net</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partnerships</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145,205 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 net</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88,215 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94,569 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 of use assets</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44,891 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247,016 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267,406 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8,278,876 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8,233,991 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SHAREHOLDERS’ EQUITY</w:t>
            </w:r>
          </w:p>
        </w:tc>
        <w:tc>
          <w:tcPr>
            <w:tcW w:w="13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Mortgages payable, net (including $190,562 and $191,827 of consolidated variable interest entities, respectively)</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319,208 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320,615 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633,095 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601,077 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and debentures, net</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3,479,333 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3,407,701 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190,340 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90,263 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deposits payable</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76,928 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77,743 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67,655 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67,660 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and deferred credits</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237,317 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237,699 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5,120,296 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5,021,606 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interests</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178,149 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178,370 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shares, authorized 15,000,000 shares, $0.01 par:</w:t>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 Series C Cumulative Redeemable Preferred Shares, (stated at liquidation preference $25,000 per share), 6,000 shares issued and outstanding</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5.417% Series 1 Cumulative Convertible Preferred Shares, (stated at liquidation preference $25 per share), 392,878 shares issued and outstanding</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of beneficial interest, $.01 par, 200,000,000 and 100,000,000 shares authorized, respectively, 81,515,511 and 81,342,959 shares issued and outstanding, respectively</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3,832,983 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3,821,801 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dividends in excess of net income</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(1,098,432)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(1,034,186)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 of the Trust</w:t>
            </w:r>
          </w:p>
        </w:tc>
        <w:tc>
          <w:tcPr>
            <w:tcW w:w="12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2,900,689 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2,954,012 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79,742 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2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2,980,431 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3,034,015 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8,278,876 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8,233,991 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468"/>
        <w:gridCol w:w="1110"/>
        <w:gridCol w:w="1118"/>
        <w:gridCol w:w="125"/>
        <w:gridCol w:w="125"/>
        <w:gridCol w:w="125"/>
        <w:gridCol w:w="242"/>
        <w:gridCol w:w="950"/>
        <w:gridCol w:w="311"/>
        <w:gridCol w:w="109"/>
        <w:gridCol w:w="109"/>
        <w:gridCol w:w="109"/>
        <w:gridCol w:w="211"/>
        <w:gridCol w:w="826"/>
        <w:gridCol w:w="271"/>
        <w:gridCol w:w="109"/>
        <w:gridCol w:w="109"/>
        <w:gridCol w:w="109"/>
        <w:gridCol w:w="211"/>
        <w:gridCol w:w="826"/>
        <w:gridCol w:w="109"/>
        <w:gridCol w:w="109"/>
        <w:gridCol w:w="109"/>
        <w:gridCol w:w="109"/>
        <w:gridCol w:w="211"/>
        <w:gridCol w:w="826"/>
        <w:gridCol w:w="159"/>
      </w:tblGrid>
      <w:tr>
        <w:trPr/>
        <w:tc>
          <w:tcPr>
            <w:tcW w:w="1468"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2"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Funds From Operations / Other Supplemental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June 30,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3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557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Funds from Operations available for common shareholders (FFO)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real estate assets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70,486 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128,704 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initial direct costs of leases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138,552 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254,039 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preferred shares (2)</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downREIT operating partnership units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unvested shares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FFO</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136,860 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250,792 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diluted (2)(3)</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81,945 </w:t>
            </w:r>
          </w:p>
        </w:tc>
        <w:tc>
          <w:tcPr>
            <w:tcW w:w="3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79,952 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81,911 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79,608 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FFO per diluted share (3)</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3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Dividends and Payout Ratios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Regular common dividends declared</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88,031 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payout ratio as a percentage of FFO</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Summary of Capital Expenditures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Non-maintenance capital expenditures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redevelopment and expansions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49,560 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145,071 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improvements and incentives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non-maintenance capital expenditures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67,983 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181,697 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expenditures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72,387 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195,565 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Noncontrolling Interests Supplemental Information (4)</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operating income (1)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4,129 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(1)See Glossary of Terms.</w:t>
      </w:r>
    </w:p>
    <w:p>
      <w:pPr>
        <w:pStyle w:val="TextBody"/>
        <w:bidi w:val="0"/>
        <w:spacing w:lineRule="auto" w:line="288" w:before="60" w:after="283"/>
        <w:ind w:left="0" w:right="0" w:hanging="720"/>
        <w:jc w:val="left"/>
        <w:rPr/>
      </w:pPr>
      <w:r>
        <w:rPr>
          <w:rFonts w:ascii="Times New Roman;sans-serif" w:hAnsi="Times New Roman;sans-serif"/>
          <w:b w:val="false"/>
          <w:color w:val="000000"/>
          <w:sz w:val="19"/>
        </w:rPr>
        <w:t>(2)</w:t>
      </w:r>
      <w:r>
        <w:rPr>
          <w:rFonts w:ascii="Times New Roman;sans-serif" w:hAnsi="Times New Roman;sans-serif"/>
          <w:b w:val="false"/>
          <w:color w:val="000000"/>
          <w:sz w:val="18"/>
        </w:rPr>
        <w:t xml:space="preserve">For the three and six months ended June 30, 2023 and 2022, dividends on our Series 1 preferred stock were not deducted in the calculation of FFO available to common shareholders, as the related shares were dilutive and are included in "weighted average common shares, diluted." </w:t>
      </w:r>
    </w:p>
    <w:p>
      <w:pPr>
        <w:pStyle w:val="TextBody"/>
        <w:bidi w:val="0"/>
        <w:spacing w:lineRule="auto" w:line="288" w:before="60" w:after="283"/>
        <w:ind w:left="0" w:right="0" w:hanging="720"/>
        <w:jc w:val="left"/>
        <w:rPr/>
      </w:pPr>
      <w:r>
        <w:rPr>
          <w:rFonts w:ascii="Times New Roman;sans-serif" w:hAnsi="Times New Roman;sans-serif"/>
          <w:b w:val="false"/>
          <w:color w:val="000000"/>
          <w:sz w:val="19"/>
        </w:rPr>
        <w:t>(3)</w:t>
      </w:r>
      <w:r>
        <w:rPr>
          <w:rFonts w:ascii="Times New Roman;sans-serif" w:hAnsi="Times New Roman;sans-serif"/>
          <w:b w:val="false"/>
          <w:color w:val="000000"/>
          <w:sz w:val="18"/>
        </w:rPr>
        <w:t>The weighted average common shares used to compute FFO per diluted common share includes downREIT operating partnership units that were excluded from the computation of diluted EPS. Conversion of these operating partnership units is dilutive in the computation of FFO per diluted share, but is anti-dilutive for the computation of dilutive EPS for these periods.</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(4)Amounts reflect the components of "net income attributable to noncontrolling interests," but excludes "income attributable to downREIT operating partnership units."</w:t>
      </w:r>
    </w:p>
    <w:p>
      <w:pPr>
        <w:pStyle w:val="TextBody"/>
        <w:bidi w:val="0"/>
        <w:spacing w:before="60" w:after="283"/>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tbl>
      <w:tblPr>
        <w:tblW w:w="8535" w:type="dxa"/>
        <w:jc w:val="center"/>
        <w:tblInd w:w="0" w:type="dxa"/>
        <w:tblLayout w:type="fixed"/>
        <w:tblCellMar>
          <w:top w:w="28" w:type="dxa"/>
          <w:left w:w="28" w:type="dxa"/>
          <w:bottom w:w="28" w:type="dxa"/>
          <w:right w:w="28" w:type="dxa"/>
        </w:tblCellMar>
      </w:tblPr>
      <w:tblGrid>
        <w:gridCol w:w="540"/>
        <w:gridCol w:w="476"/>
        <w:gridCol w:w="476"/>
        <w:gridCol w:w="476"/>
        <w:gridCol w:w="476"/>
        <w:gridCol w:w="48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54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Components of Rental Income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June 30, 2023</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Components of Rental Income (1)</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9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Minimum rents (2)</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Commercial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184,212 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170,916 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365,554 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340,547 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Residential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reimbursements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101,941 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96,769 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Percentage rents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26,599 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Collectibility related impact (4)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rental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280,388 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263,830 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553,186 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520,337 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Notes:</w:t>
      </w:r>
    </w:p>
    <w:p>
      <w:pPr>
        <w:pStyle w:val="TextBody"/>
        <w:bidi w:val="0"/>
        <w:spacing w:lineRule="auto" w:line="288" w:before="60" w:after="283"/>
        <w:ind w:left="0" w:right="0" w:hanging="720"/>
        <w:jc w:val="left"/>
        <w:rPr>
          <w:rFonts w:ascii="Times New Roman;sans-serif" w:hAnsi="Times New Roman;sans-serif"/>
          <w:b w:val="false"/>
          <w:color w:val="000000"/>
          <w:sz w:val="19"/>
        </w:rPr>
      </w:pPr>
      <w:r>
        <w:rPr>
          <w:rFonts w:ascii="Times New Roman;sans-serif" w:hAnsi="Times New Roman;sans-serif"/>
          <w:b w:val="false"/>
          <w:color w:val="000000"/>
          <w:sz w:val="19"/>
        </w:rPr>
        <w:t>(1)All income from tenant leases is reported as a single line item called "rental income." We have provided the above supplemental information with a breakout of the contractual components of the rental income line, however, these breakouts are provided for informational purposes only and should be considered a non-GAAP presentation.</w:t>
      </w:r>
    </w:p>
    <w:p>
      <w:pPr>
        <w:pStyle w:val="TextBody"/>
        <w:bidi w:val="0"/>
        <w:spacing w:lineRule="auto" w:line="288" w:before="60" w:after="283"/>
        <w:ind w:left="0" w:right="0" w:hanging="720"/>
        <w:jc w:val="left"/>
        <w:rPr>
          <w:rFonts w:ascii="Times New Roman;sans-serif" w:hAnsi="Times New Roman;sans-serif"/>
          <w:b w:val="false"/>
          <w:color w:val="000000"/>
          <w:sz w:val="19"/>
        </w:rPr>
      </w:pPr>
      <w:r>
        <w:rPr>
          <w:rFonts w:ascii="Times New Roman;sans-serif" w:hAnsi="Times New Roman;sans-serif"/>
          <w:b w:val="false"/>
          <w:color w:val="000000"/>
          <w:sz w:val="19"/>
        </w:rPr>
        <w:t>(2)Minimum rents include the following:</w:t>
      </w:r>
    </w:p>
    <w:tbl>
      <w:tblPr>
        <w:tblW w:w="6896" w:type="dxa"/>
        <w:jc w:val="center"/>
        <w:tblInd w:w="0" w:type="dxa"/>
        <w:tblLayout w:type="fixed"/>
        <w:tblCellMar>
          <w:top w:w="28" w:type="dxa"/>
          <w:left w:w="28" w:type="dxa"/>
          <w:bottom w:w="28" w:type="dxa"/>
          <w:right w:w="28" w:type="dxa"/>
        </w:tblCellMar>
      </w:tblPr>
      <w:tblGrid>
        <w:gridCol w:w="124"/>
        <w:gridCol w:w="109"/>
        <w:gridCol w:w="109"/>
        <w:gridCol w:w="436"/>
        <w:gridCol w:w="436"/>
        <w:gridCol w:w="436"/>
        <w:gridCol w:w="436"/>
        <w:gridCol w:w="436"/>
        <w:gridCol w:w="444"/>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40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Straight-line rents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in-place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rFonts w:ascii="Times New Roman;sans-serif" w:hAnsi="Times New Roman;sans-serif"/>
          <w:b w:val="false"/>
          <w:color w:val="000000"/>
          <w:sz w:val="19"/>
        </w:rPr>
      </w:pPr>
      <w:r>
        <w:rPr>
          <w:rFonts w:ascii="Times New Roman;sans-serif" w:hAnsi="Times New Roman;sans-serif"/>
          <w:b w:val="false"/>
          <w:color w:val="000000"/>
          <w:sz w:val="19"/>
        </w:rPr>
        <w:t>(3)Includes lease termination fees of $1.6 million and $5.6 million for the three months ended June 30, 2023 and 2022, respectively, and $3.2 million and $7.1 million for the six months ended June 30, 2023 and 2022, respectively.</w:t>
      </w:r>
    </w:p>
    <w:p>
      <w:pPr>
        <w:pStyle w:val="TextBody"/>
        <w:bidi w:val="0"/>
        <w:spacing w:lineRule="auto" w:line="288" w:before="60" w:after="283"/>
        <w:ind w:left="0" w:right="0" w:hanging="720"/>
        <w:jc w:val="left"/>
        <w:rPr>
          <w:rFonts w:ascii="Times New Roman;sans-serif" w:hAnsi="Times New Roman;sans-serif"/>
          <w:b w:val="false"/>
          <w:color w:val="000000"/>
          <w:sz w:val="19"/>
        </w:rPr>
      </w:pPr>
      <w:r>
        <w:rPr>
          <w:rFonts w:ascii="Times New Roman;sans-serif" w:hAnsi="Times New Roman;sans-serif"/>
          <w:b w:val="false"/>
          <w:color w:val="000000"/>
          <w:sz w:val="19"/>
        </w:rPr>
        <w:t>(4)For the three months ended June 30, 2023 and 2022, our collectability related impact includes the collection of approximately $1.4 million and $2.6 million, respectively, and $3.0 million and $5.1 million for the six months ended June 30, 2023 and 2022, respectively, of prior period rents which were contractually deferred or payment renegotiated specifically related to the COVID-19 pandemic.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434"/>
        <w:gridCol w:w="899"/>
        <w:gridCol w:w="904"/>
        <w:gridCol w:w="324"/>
        <w:gridCol w:w="1271"/>
        <w:gridCol w:w="417"/>
        <w:gridCol w:w="167"/>
        <w:gridCol w:w="167"/>
        <w:gridCol w:w="167"/>
        <w:gridCol w:w="324"/>
        <w:gridCol w:w="1271"/>
        <w:gridCol w:w="417"/>
        <w:gridCol w:w="679"/>
        <w:gridCol w:w="167"/>
        <w:gridCol w:w="167"/>
        <w:gridCol w:w="167"/>
        <w:gridCol w:w="167"/>
        <w:gridCol w:w="167"/>
        <w:gridCol w:w="109"/>
        <w:gridCol w:w="109"/>
        <w:gridCol w:w="109"/>
        <w:gridCol w:w="109"/>
        <w:gridCol w:w="109"/>
        <w:gridCol w:w="109"/>
        <w:gridCol w:w="109"/>
        <w:gridCol w:w="166"/>
      </w:tblGrid>
      <w:tr>
        <w:trPr/>
        <w:tc>
          <w:tcPr>
            <w:tcW w:w="1434"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Comparable Property Information</w:t>
            </w:r>
          </w:p>
        </w:tc>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June 30, 2023</w:t>
            </w:r>
          </w:p>
        </w:tc>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276"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following information is being provided for “Comparable Properties.” Comparable Properties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The assets excluded from Comparable Properties in Q2 include: Assembly Row Phase 3, CocoWalk, Darien Commons, Friendship Center, Huntington Shopping Center, Pike &amp; Rose Phase 3, Willow Grove Shopping Center, and all properties acquired, disposed of, or not consolidated from Q2 2022 to Q2 2023. Comparable Property property operating income ("Comparable Property POI") is a non-GAAP measure used by management in evaluating the operating performance of our properties period over period. </w:t>
            </w:r>
          </w:p>
        </w:tc>
        <w:tc>
          <w:tcPr>
            <w:tcW w:w="929" w:type="dxa"/>
            <w:gridSpan w:val="8"/>
            <w:tcBorders/>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77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Reconciliation of GAAP operating income to Comparable Property POI</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gridSpan w:val="4"/>
            <w:tcBorders/>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gridSpan w:val="4"/>
            <w:tcBorders/>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gridSpan w:val="2"/>
            <w:tcBorders/>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income</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101,801 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93,600 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Add: </w:t>
            </w:r>
          </w:p>
        </w:tc>
        <w:tc>
          <w:tcPr>
            <w:tcW w:w="2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and amortization</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78,974 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74,461 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General and administrative</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11,913 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13,604 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Property operating income (POI)</w:t>
            </w:r>
          </w:p>
        </w:tc>
        <w:tc>
          <w:tcPr>
            <w:tcW w:w="15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192,688 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181,665 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Less: Non-comparable POI - acquisitions/dispositions</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(7,461)</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(3,397)</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Less: Non-comparable POI - redevelopment, development &amp; other</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(16,698)</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(11,987)</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Comparable property POI</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168,529 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166,281 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77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Additional information regarding the components of Comparable Property POI</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gridSpan w:val="4"/>
            <w:tcBorders/>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gridSpan w:val="4"/>
            <w:tcBorders/>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gridSpan w:val="2"/>
            <w:tcBorders/>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Minimum rent (1)</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184,375 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177,892 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reimbursements</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46,383 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43,460 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11,899 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15,480 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Collectibility related impacts</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771 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1,436 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243,428 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238,268 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Rental expenses</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(46,117)</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(43,413)</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Real estate taxes</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(28,782)</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(28,574)</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(74,899)</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(71,987)</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Comparable property POI</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168,529 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166,281 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Less: </w:t>
            </w:r>
          </w:p>
        </w:tc>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Lease termination fees</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(1,594)</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(5,517)</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Prior period rents collected (2)</w:t>
            </w:r>
          </w:p>
        </w:tc>
        <w:tc>
          <w:tcPr>
            <w:tcW w:w="15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(1,172)</w:t>
            </w:r>
          </w:p>
        </w:tc>
        <w:tc>
          <w:tcPr>
            <w:tcW w:w="4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(2,248)</w:t>
            </w:r>
          </w:p>
        </w:tc>
        <w:tc>
          <w:tcPr>
            <w:tcW w:w="4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Comparable property POI excluding lease termination fees and prior period rents collected</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165,763 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158,516 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gridSpan w:val="4"/>
            <w:tcBorders/>
          </w:tcPr>
          <w:p>
            <w:pPr>
              <w:pStyle w:val="TableContents"/>
              <w:bidi w:val="0"/>
              <w:spacing w:before="0" w:after="283"/>
              <w:jc w:val="left"/>
              <w:rPr>
                <w:sz w:val="4"/>
                <w:szCs w:val="4"/>
              </w:rPr>
            </w:pPr>
            <w:r>
              <w:rPr>
                <w:sz w:val="4"/>
                <w:szCs w:val="4"/>
              </w:rPr>
            </w:r>
          </w:p>
        </w:tc>
      </w:tr>
      <w:tr>
        <w:trPr/>
        <w:tc>
          <w:tcPr>
            <w:tcW w:w="323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77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Comparable Property - Summary of Capital Expenditures (3)</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gridSpan w:val="4"/>
            <w:tcBorders/>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gridSpan w:val="4"/>
            <w:tcBorders/>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gridSpan w:val="4"/>
            <w:tcBorders/>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Redevelopment and tenant improvements and incentives</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32,722 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39,672 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Maintenance capital expenditures</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4,042 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7,768 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36,764 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47,440 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77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Comparable Property - Occupancy Statistics (3)</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At June 30,</w:t>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gridSpan w:val="4"/>
            <w:tcBorders/>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GLA - comparable commercial properties</w:t>
            </w:r>
          </w:p>
        </w:tc>
        <w:tc>
          <w:tcPr>
            <w:tcW w:w="20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23,313,000</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23,316,000</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Leased % - comparable commercial properties</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93.9 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94.1 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Occupancy % - comparable commercial properties</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92.4 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92.2 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(1)For the three months ended June 30, 2023 and 2022, amount includes straight-line rents of $1.3 million and $1.5 million and amortization of in-place leases of $2.6 million and $2.5 million, respectively.</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(2)Amount represents collection of prior period rents which were contractually deferred or payment renegotiated specifically related to the COVID-19 pandemic.</w:t>
      </w:r>
    </w:p>
    <w:p>
      <w:pPr>
        <w:pStyle w:val="TextBody"/>
        <w:bidi w:val="0"/>
        <w:spacing w:lineRule="auto" w:line="288" w:before="0" w:after="0"/>
        <w:ind w:left="0" w:right="0" w:hanging="720"/>
        <w:jc w:val="left"/>
        <w:rPr/>
      </w:pPr>
      <w:r>
        <w:rPr>
          <w:rFonts w:ascii="Times New Roman;sans-serif" w:hAnsi="Times New Roman;sans-serif"/>
          <w:b w:val="false"/>
          <w:color w:val="000000"/>
          <w:sz w:val="18"/>
        </w:rPr>
        <w:t xml:space="preserve">(3)See page </w:t>
      </w:r>
      <w:hyperlink w:anchor="i5c6b388a01ef4b45b9719da19c52a1cc_16">
        <w:r>
          <w:rPr>
            <w:rStyle w:val="InternetLink"/>
            <w:rFonts w:ascii="Times New Roman;sans-serif" w:hAnsi="Times New Roman;sans-serif"/>
            <w:b w:val="false"/>
            <w:strike w:val="false"/>
            <w:dstrike w:val="false"/>
            <w:color w:val="000000"/>
            <w:sz w:val="18"/>
            <w:u w:val="none"/>
            <w:effect w:val="none"/>
          </w:rPr>
          <w:t>9</w:t>
        </w:r>
      </w:hyperlink>
      <w:r>
        <w:rPr>
          <w:rFonts w:ascii="Times New Roman;sans-serif" w:hAnsi="Times New Roman;sans-serif"/>
          <w:b w:val="false"/>
          <w:color w:val="000000"/>
          <w:sz w:val="18"/>
        </w:rPr>
        <w:t xml:space="preserve"> for "Summary of Capital Expenditures" and page </w:t>
      </w:r>
      <w:hyperlink w:anchor="i5c6b388a01ef4b45b9719da19c52a1cc_55">
        <w:r>
          <w:rPr>
            <w:rStyle w:val="InternetLink"/>
            <w:rFonts w:ascii="Times New Roman;sans-serif" w:hAnsi="Times New Roman;sans-serif"/>
            <w:b w:val="false"/>
            <w:strike w:val="false"/>
            <w:dstrike w:val="false"/>
            <w:color w:val="000000"/>
            <w:sz w:val="18"/>
            <w:u w:val="none"/>
            <w:effect w:val="none"/>
          </w:rPr>
          <w:t>25</w:t>
        </w:r>
      </w:hyperlink>
      <w:r>
        <w:rPr>
          <w:rFonts w:ascii="Times New Roman;sans-serif" w:hAnsi="Times New Roman;sans-serif"/>
          <w:b w:val="false"/>
          <w:color w:val="000000"/>
          <w:sz w:val="18"/>
        </w:rPr>
        <w:t xml:space="preserve"> for portfolio occupancy statistics for our entire portfolio.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82"/>
        <w:gridCol w:w="161"/>
        <w:gridCol w:w="161"/>
        <w:gridCol w:w="2078"/>
        <w:gridCol w:w="2030"/>
        <w:gridCol w:w="2053"/>
        <w:gridCol w:w="109"/>
        <w:gridCol w:w="109"/>
        <w:gridCol w:w="109"/>
        <w:gridCol w:w="213"/>
        <w:gridCol w:w="1093"/>
        <w:gridCol w:w="109"/>
        <w:gridCol w:w="109"/>
        <w:gridCol w:w="109"/>
        <w:gridCol w:w="109"/>
        <w:gridCol w:w="213"/>
        <w:gridCol w:w="1093"/>
        <w:gridCol w:w="165"/>
      </w:tblGrid>
      <w:tr>
        <w:trPr/>
        <w:tc>
          <w:tcPr>
            <w:tcW w:w="18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Market Data and Leverage and Liquidity Ratios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June 30, 2023</w:t>
            </w:r>
          </w:p>
        </w:tc>
      </w:tr>
      <w:tr>
        <w:trPr/>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66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outstanding and downREIT operating partnership units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81,549 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price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equity market capitalization including downREIT operating partnership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7,949,946 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7,807,501 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C preferred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Liquidation price per Series C preferred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C preferred equity market 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1 preferred shares outstanding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Liquidation price per Series 1 preferred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1 preferred equity market 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market 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8,109,771 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7,967,326 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4,431,636 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4,030,350 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(176,559)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debt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3,853,791 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 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12,443,343 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11,821,117 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Leverage and Liquidity Ratios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debt to market capitalization at market price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r>
      <w:tr>
        <w:trPr/>
        <w:tc>
          <w:tcPr>
            <w:tcW w:w="504" w:type="dxa"/>
            <w:gridSpan w:val="3"/>
            <w:tcBorders/>
            <w:vAlign w:val="center"/>
          </w:tcPr>
          <w:p>
            <w:pPr>
              <w:pStyle w:val="TableContents"/>
              <w:bidi w:val="0"/>
              <w:spacing w:before="0" w:after="283"/>
              <w:jc w:val="left"/>
              <w:rPr>
                <w:sz w:val="4"/>
                <w:szCs w:val="4"/>
              </w:rPr>
            </w:pPr>
            <w:r>
              <w:rPr>
                <w:sz w:val="4"/>
                <w:szCs w:val="4"/>
              </w:rPr>
            </w:r>
          </w:p>
        </w:tc>
        <w:tc>
          <w:tcPr>
            <w:tcW w:w="6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504" w:type="dxa"/>
            <w:gridSpan w:val="3"/>
            <w:tcBorders/>
            <w:vAlign w:val="center"/>
          </w:tcPr>
          <w:p>
            <w:pPr>
              <w:pStyle w:val="TableContents"/>
              <w:bidi w:val="0"/>
              <w:spacing w:before="0" w:after="283"/>
              <w:jc w:val="left"/>
              <w:rPr>
                <w:sz w:val="4"/>
                <w:szCs w:val="4"/>
              </w:rPr>
            </w:pPr>
            <w:r>
              <w:rPr>
                <w:sz w:val="4"/>
                <w:szCs w:val="4"/>
              </w:rPr>
            </w:r>
          </w:p>
        </w:tc>
        <w:tc>
          <w:tcPr>
            <w:tcW w:w="6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 of EBITDAre to combined fixed charges and preferred share dividends, three months ended (4)(5)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4.3x</w:t>
            </w:r>
          </w:p>
        </w:tc>
      </w:tr>
      <w:tr>
        <w:trPr/>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 of EBITDAre to combined fixed charges and preferred share dividends, six months ended (4)(5)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4.2x</w:t>
            </w:r>
          </w:p>
        </w:tc>
      </w:tr>
      <w:tr>
        <w:trPr/>
        <w:tc>
          <w:tcPr>
            <w:tcW w:w="504" w:type="dxa"/>
            <w:gridSpan w:val="3"/>
            <w:tcBorders/>
            <w:vAlign w:val="center"/>
          </w:tcPr>
          <w:p>
            <w:pPr>
              <w:pStyle w:val="TableContents"/>
              <w:bidi w:val="0"/>
              <w:spacing w:before="0" w:after="283"/>
              <w:jc w:val="left"/>
              <w:rPr>
                <w:sz w:val="4"/>
                <w:szCs w:val="4"/>
              </w:rPr>
            </w:pPr>
            <w:r>
              <w:rPr>
                <w:sz w:val="4"/>
                <w:szCs w:val="4"/>
              </w:rPr>
            </w:r>
          </w:p>
        </w:tc>
        <w:tc>
          <w:tcPr>
            <w:tcW w:w="6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504" w:type="dxa"/>
            <w:gridSpan w:val="3"/>
            <w:tcBorders/>
            <w:vAlign w:val="center"/>
          </w:tcPr>
          <w:p>
            <w:pPr>
              <w:pStyle w:val="TableContents"/>
              <w:bidi w:val="0"/>
              <w:spacing w:before="0" w:after="283"/>
              <w:jc w:val="left"/>
              <w:rPr>
                <w:sz w:val="4"/>
                <w:szCs w:val="4"/>
              </w:rPr>
            </w:pPr>
            <w:r>
              <w:rPr>
                <w:sz w:val="4"/>
                <w:szCs w:val="4"/>
              </w:rPr>
            </w:r>
          </w:p>
        </w:tc>
        <w:tc>
          <w:tcPr>
            <w:tcW w:w="6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504" w:type="dxa"/>
            <w:gridSpan w:val="3"/>
            <w:tcBorders/>
            <w:vAlign w:val="center"/>
          </w:tcPr>
          <w:p>
            <w:pPr>
              <w:pStyle w:val="TableContents"/>
              <w:bidi w:val="0"/>
              <w:spacing w:before="0" w:after="283"/>
              <w:jc w:val="left"/>
              <w:rPr>
                <w:sz w:val="4"/>
                <w:szCs w:val="4"/>
              </w:rPr>
            </w:pPr>
            <w:r>
              <w:rPr>
                <w:sz w:val="4"/>
                <w:szCs w:val="4"/>
              </w:rPr>
            </w:r>
          </w:p>
        </w:tc>
        <w:tc>
          <w:tcPr>
            <w:tcW w:w="6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504" w:type="dxa"/>
            <w:gridSpan w:val="3"/>
            <w:tcBorders/>
            <w:vAlign w:val="center"/>
          </w:tcPr>
          <w:p>
            <w:pPr>
              <w:pStyle w:val="TableContents"/>
              <w:bidi w:val="0"/>
              <w:spacing w:before="0" w:after="283"/>
              <w:jc w:val="left"/>
              <w:rPr>
                <w:sz w:val="4"/>
                <w:szCs w:val="4"/>
              </w:rPr>
            </w:pPr>
            <w:r>
              <w:rPr>
                <w:sz w:val="4"/>
                <w:szCs w:val="4"/>
              </w:rPr>
            </w:r>
          </w:p>
        </w:tc>
        <w:tc>
          <w:tcPr>
            <w:tcW w:w="6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504" w:type="dxa"/>
            <w:gridSpan w:val="3"/>
            <w:tcBorders/>
            <w:vAlign w:val="center"/>
          </w:tcPr>
          <w:p>
            <w:pPr>
              <w:pStyle w:val="TableContents"/>
              <w:bidi w:val="0"/>
              <w:spacing w:before="0" w:after="283"/>
              <w:jc w:val="left"/>
              <w:rPr>
                <w:sz w:val="4"/>
                <w:szCs w:val="4"/>
              </w:rPr>
            </w:pPr>
            <w:r>
              <w:rPr>
                <w:sz w:val="4"/>
                <w:szCs w:val="4"/>
              </w:rPr>
            </w:r>
          </w:p>
        </w:tc>
        <w:tc>
          <w:tcPr>
            <w:tcW w:w="6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(1)Amounts include 637,031 and 652,233 downREIT operating partnership units outstanding at June 30, 2023 and 2022, respectively.</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(2)These shares, issued March 8, 2007, are unregistered.</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(3)Total net debt includes mortgages payable, notes payable, senior notes and debentures, net of premiums/discounts and debt issuance costs and net of cash and cash equivalents from our consolidated balance sheet.</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(4)EBITDAre is reconciled to net income in the Glossary of Terms.</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(5)Fixed charges consist of interest on borrowed funds and finance leases (including capitalized interest), amortization of debt discount/premium and debt costs, and the portion of rent expense representing an interest factor.</w:t>
      </w:r>
    </w:p>
    <w:p>
      <w:pPr>
        <w:pStyle w:val="TextBody"/>
        <w:bidi w:val="0"/>
        <w:spacing w:before="60" w:after="283"/>
        <w:jc w:val="left"/>
        <w:rPr/>
      </w:pPr>
      <w:r>
        <w:rPr/>
      </w:r>
    </w:p>
    <w:p>
      <w:pPr>
        <w:pStyle w:val="TextBody"/>
        <w:bidi w:val="0"/>
        <w:spacing w:before="6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64"/>
        <w:gridCol w:w="232"/>
        <w:gridCol w:w="232"/>
        <w:gridCol w:w="686"/>
        <w:gridCol w:w="655"/>
        <w:gridCol w:w="580"/>
        <w:gridCol w:w="447"/>
        <w:gridCol w:w="447"/>
        <w:gridCol w:w="448"/>
        <w:gridCol w:w="109"/>
        <w:gridCol w:w="109"/>
        <w:gridCol w:w="109"/>
        <w:gridCol w:w="407"/>
        <w:gridCol w:w="396"/>
        <w:gridCol w:w="397"/>
        <w:gridCol w:w="109"/>
        <w:gridCol w:w="109"/>
        <w:gridCol w:w="109"/>
        <w:gridCol w:w="196"/>
        <w:gridCol w:w="871"/>
        <w:gridCol w:w="109"/>
        <w:gridCol w:w="109"/>
        <w:gridCol w:w="109"/>
        <w:gridCol w:w="109"/>
        <w:gridCol w:w="164"/>
        <w:gridCol w:w="155"/>
        <w:gridCol w:w="151"/>
        <w:gridCol w:w="109"/>
        <w:gridCol w:w="109"/>
        <w:gridCol w:w="109"/>
        <w:gridCol w:w="328"/>
        <w:gridCol w:w="318"/>
        <w:gridCol w:w="318"/>
        <w:gridCol w:w="318"/>
        <w:gridCol w:w="318"/>
        <w:gridCol w:w="460"/>
      </w:tblGrid>
      <w:tr>
        <w:trPr/>
        <w:tc>
          <w:tcPr>
            <w:tcW w:w="2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Summary of Outstanding Debt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6"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2023</w:t>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Stated maturity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Stated 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effective rate (7)</w:t>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Mortgages Payable (1)</w:t>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Secured fixed rate</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Azalea</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Bell Gardens</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Plaza El Segundo</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6/5/2027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Grove at Shrewsbury (East)</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9/1/2027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Brook 35</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7/1/2029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Hoboken (24 Buildings) (2)</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12/15/2029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SOFR + 1.95%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Various Hoboken (14 Buildings)</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Various through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Various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Chelsea</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1/15/2031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 and premium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mortgages payable, net</w:t>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4.01%</w:t>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 payable</w:t>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(4)</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4/16/2024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SOFR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Facility (4)(5)</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SOFR + 0.775%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Various </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Various through 2059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Various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notes payable, net</w:t>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6.33%</w:t>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w:t>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Senior notes and debentures</w:t>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Unsecured fixed rate</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3.95% notes</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1/15/2024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1.25% notes</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2/15/2026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7.48% debentures</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3.25% notes</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7/15/2027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6.82% medium term notes</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5.375% notes</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5/1/2028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3.20% notes</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6/15/2029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3.50% notes</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6/1/2030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4.50% notes</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12/1/2044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3.625% notes</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8/1/2046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3,494,200 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 and premium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senior notes and debentures,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3,479,333 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3.75%</w:t>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4,431,636 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fixed rate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3,801,264 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3.77%</w:t>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variable rate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6.32%</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w:t>
            </w:r>
          </w:p>
        </w:tc>
      </w:tr>
      <w:tr>
        <w:trPr/>
        <w:tc>
          <w:tcPr>
            <w:tcW w:w="399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4,431,636 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4.13%</w:t>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w:t>
            </w:r>
          </w:p>
        </w:tc>
      </w:tr>
    </w:tbl>
    <w:p>
      <w:pPr>
        <w:pStyle w:val="TextBody"/>
        <w:bidi w:val="0"/>
        <w:spacing w:lineRule="auto" w:line="288" w:before="6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Notes:</w:t>
      </w:r>
    </w:p>
    <w:p>
      <w:pPr>
        <w:pStyle w:val="TextBody"/>
        <w:bidi w:val="0"/>
        <w:spacing w:lineRule="auto" w:line="288" w:before="60" w:after="283"/>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(1)Mortgages payable does not include our share of debt on our unconsolidated real estate partnerships. At June 30, 2023, our share of unconsolidated debt was approximately $62.5 million. At June 30, 2023, our noncontrolling interests' share of mortgages payable was $15.6 million.</w:t>
      </w:r>
    </w:p>
    <w:p>
      <w:pPr>
        <w:pStyle w:val="TextBody"/>
        <w:bidi w:val="0"/>
        <w:spacing w:lineRule="auto" w:line="288" w:before="60" w:after="283"/>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(2)We have two interest rate swap agreements that fix the interest rate on the mortgage loan at 3.67%. The reference rate for the mortgage loan and related swaps was amended from LIBOR to SOFR in May 2023. This amendment is effective for interest payments subsequent to July 1, 2023.</w:t>
      </w:r>
    </w:p>
    <w:p>
      <w:pPr>
        <w:pStyle w:val="TextBody"/>
        <w:bidi w:val="0"/>
        <w:spacing w:lineRule="auto" w:line="288" w:before="60" w:after="283"/>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(3)The interest rates on these mortgages range from 3.91% to 5.00%.</w:t>
      </w:r>
    </w:p>
    <w:p>
      <w:pPr>
        <w:pStyle w:val="TextBody"/>
        <w:bidi w:val="0"/>
        <w:spacing w:lineRule="auto" w:line="288" w:before="60" w:after="283"/>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(4)Our revolving credit facility SOFR loans bear interest at Daily Simple SOFR or Term SOFR and our term loan bears interest at Term SOFR as defined in the respective credit agreements, plus 0.10%, plus a spread, based on our current credit rating.</w:t>
      </w:r>
    </w:p>
    <w:p>
      <w:pPr>
        <w:pStyle w:val="TextBody"/>
        <w:bidi w:val="0"/>
        <w:spacing w:lineRule="auto" w:line="288" w:before="60" w:after="283"/>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(5)The maximum amount drawn under our $1.25 billion revolving credit facility during the three and six months ended June 30, 2023 was $77.5 million and $80.5 million, respectively. The weighted average interest rate on borrowings under our credit facility, before amortization of debt fees, for the three and six months ended June 30, 2023 was 5.8% and 5.5%, respectively.</w:t>
      </w:r>
    </w:p>
    <w:p>
      <w:pPr>
        <w:pStyle w:val="TextBody"/>
        <w:bidi w:val="0"/>
        <w:spacing w:lineRule="auto" w:line="288" w:before="60" w:after="283"/>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(6)The weighted average remaining term on our mortgages payable, notes payable, and senior notes and debentures is approximately 7 years.</w:t>
      </w:r>
    </w:p>
    <w:p>
      <w:pPr>
        <w:pStyle w:val="TextBody"/>
        <w:bidi w:val="0"/>
        <w:spacing w:lineRule="auto" w:line="288" w:before="60" w:after="283"/>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(7)The weighted average effective interest rate includes the amortization of any debt issuance costs and discounts and premiums, if applicable, except as described in Note 8.</w:t>
      </w:r>
    </w:p>
    <w:p>
      <w:pPr>
        <w:pStyle w:val="TextBody"/>
        <w:bidi w:val="0"/>
        <w:spacing w:lineRule="auto" w:line="288" w:before="60" w:after="283"/>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(8)The weighted average effective interest rate excludes $0.9 million in quarterly financing fees and quarterly debt fee amortization on our revolving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340"/>
        <w:gridCol w:w="300"/>
        <w:gridCol w:w="306"/>
        <w:gridCol w:w="319"/>
        <w:gridCol w:w="1092"/>
        <w:gridCol w:w="166"/>
        <w:gridCol w:w="109"/>
        <w:gridCol w:w="109"/>
        <w:gridCol w:w="109"/>
        <w:gridCol w:w="211"/>
        <w:gridCol w:w="976"/>
        <w:gridCol w:w="109"/>
        <w:gridCol w:w="109"/>
        <w:gridCol w:w="109"/>
        <w:gridCol w:w="109"/>
        <w:gridCol w:w="211"/>
        <w:gridCol w:w="976"/>
        <w:gridCol w:w="109"/>
        <w:gridCol w:w="109"/>
        <w:gridCol w:w="109"/>
        <w:gridCol w:w="109"/>
        <w:gridCol w:w="445"/>
        <w:gridCol w:w="334"/>
        <w:gridCol w:w="835"/>
        <w:gridCol w:w="109"/>
        <w:gridCol w:w="109"/>
        <w:gridCol w:w="109"/>
        <w:gridCol w:w="109"/>
        <w:gridCol w:w="109"/>
        <w:gridCol w:w="361"/>
        <w:gridCol w:w="346"/>
        <w:gridCol w:w="866"/>
        <w:gridCol w:w="109"/>
        <w:gridCol w:w="109"/>
        <w:gridCol w:w="159"/>
      </w:tblGrid>
      <w:tr>
        <w:trPr/>
        <w:tc>
          <w:tcPr>
            <w:tcW w:w="34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255" w:type="dxa"/>
            <w:gridSpan w:val="2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1950" w:type="dxa"/>
            <w:gridSpan w:val="6"/>
            <w:tcBorders/>
          </w:tcPr>
          <w:p>
            <w:pPr>
              <w:pStyle w:val="TableContents"/>
              <w:bidi w:val="0"/>
              <w:spacing w:before="0" w:after="283"/>
              <w:jc w:val="left"/>
              <w:rPr>
                <w:sz w:val="4"/>
                <w:szCs w:val="4"/>
              </w:rPr>
            </w:pPr>
            <w:r>
              <w:rPr>
                <w:sz w:val="4"/>
                <w:szCs w:val="4"/>
              </w:rPr>
            </w:r>
          </w:p>
        </w:tc>
      </w:tr>
      <w:tr>
        <w:trPr/>
        <w:tc>
          <w:tcPr>
            <w:tcW w:w="8255" w:type="dxa"/>
            <w:gridSpan w:val="2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Summary of Debt Maturities</w:t>
            </w:r>
          </w:p>
        </w:tc>
        <w:tc>
          <w:tcPr>
            <w:tcW w:w="1950" w:type="dxa"/>
            <w:gridSpan w:val="6"/>
            <w:tcBorders/>
          </w:tcPr>
          <w:p>
            <w:pPr>
              <w:pStyle w:val="TableContents"/>
              <w:bidi w:val="0"/>
              <w:spacing w:before="0" w:after="283"/>
              <w:jc w:val="left"/>
              <w:rPr>
                <w:sz w:val="4"/>
                <w:szCs w:val="4"/>
              </w:rPr>
            </w:pPr>
            <w:r>
              <w:rPr>
                <w:sz w:val="4"/>
                <w:szCs w:val="4"/>
              </w:rPr>
            </w:r>
          </w:p>
        </w:tc>
      </w:tr>
      <w:tr>
        <w:trPr/>
        <w:tc>
          <w:tcPr>
            <w:tcW w:w="8255" w:type="dxa"/>
            <w:gridSpan w:val="2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June 30, 2023</w:t>
            </w:r>
          </w:p>
        </w:tc>
        <w:tc>
          <w:tcPr>
            <w:tcW w:w="1950" w:type="dxa"/>
            <w:gridSpan w:val="6"/>
            <w:tcBorders/>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w:t>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Scheduled Amortization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of Debt Maturing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Rate (4)</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2031</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21,156 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4,428,035 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4,449,191 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77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0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w:t>
      </w:r>
    </w:p>
    <w:p>
      <w:pPr>
        <w:pStyle w:val="TextBody"/>
        <w:bidi w:val="0"/>
        <w:spacing w:lineRule="auto" w:line="288" w:before="40" w:after="100"/>
        <w:jc w:val="left"/>
        <w:rPr>
          <w:rFonts w:ascii="Times New Roman;sans-serif" w:hAnsi="Times New Roman;sans-serif"/>
          <w:b w:val="false"/>
          <w:color w:val="000000"/>
          <w:sz w:val="18"/>
        </w:rPr>
      </w:pPr>
      <w:r>
        <w:rPr>
          <w:rFonts w:ascii="Times New Roman;sans-serif" w:hAnsi="Times New Roman;sans-serif"/>
          <w:b w:val="false"/>
          <w:color w:val="000000"/>
          <w:sz w:val="18"/>
        </w:rPr>
        <w:t>The above table assumes all extension options are exercised.</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(1)Our $600.0 million term loan matures on April 16, 2024, plus two one-year extensions at our option to April 16, 2026. </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(2)Our $1.25 billion revolving credit facility matures on April 5, 2027, plus two six-month extensions at our option to April 5, 2028. As of June 30, 2023, there was $31.5 million outstanding under this credit facility.</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(3)The total debt maturities differ from the total reported on the consolidated balance sheet due to the debt issuance costs and unamortized net premium/discount on certain mortgage loans, notes payable, and senior notes as of June 30, 2023. </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(4)The weighted average rate reflects the weighted average interest rate on debt maturing in the respective year. </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(5)The weighted average rate excludes $0.9 million in quarterly financing fees and quarterly debt fee amortization on our $1.25 billion revolving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643"/>
        <w:gridCol w:w="250"/>
        <w:gridCol w:w="250"/>
        <w:gridCol w:w="634"/>
        <w:gridCol w:w="233"/>
        <w:gridCol w:w="238"/>
        <w:gridCol w:w="1338"/>
        <w:gridCol w:w="1155"/>
        <w:gridCol w:w="1168"/>
        <w:gridCol w:w="210"/>
        <w:gridCol w:w="210"/>
        <w:gridCol w:w="468"/>
        <w:gridCol w:w="296"/>
        <w:gridCol w:w="296"/>
        <w:gridCol w:w="297"/>
        <w:gridCol w:w="339"/>
        <w:gridCol w:w="192"/>
        <w:gridCol w:w="175"/>
        <w:gridCol w:w="499"/>
        <w:gridCol w:w="355"/>
        <w:gridCol w:w="356"/>
        <w:gridCol w:w="109"/>
        <w:gridCol w:w="109"/>
        <w:gridCol w:w="109"/>
        <w:gridCol w:w="109"/>
        <w:gridCol w:w="167"/>
      </w:tblGrid>
      <w:tr>
        <w:trPr/>
        <w:tc>
          <w:tcPr>
            <w:tcW w:w="64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2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c>
          <w:tcPr>
            <w:tcW w:w="3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9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Summary of Redevelopment and Expansion Opportunities</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June 30, 2023</w:t>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602"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The following redevelopment opportunities are actively being worked on by the Trust.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14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661"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14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661"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before="0" w:after="283"/>
              <w:jc w:val="left"/>
              <w:rPr>
                <w:sz w:val="4"/>
                <w:szCs w:val="4"/>
              </w:rPr>
            </w:pPr>
            <w:r>
              <w:rPr>
                <w:sz w:val="4"/>
                <w:szCs w:val="4"/>
              </w:rPr>
            </w:r>
          </w:p>
        </w:tc>
      </w:tr>
      <w:tr>
        <w:trPr/>
        <w:tc>
          <w:tcPr>
            <w:tcW w:w="1143" w:type="dxa"/>
            <w:gridSpan w:val="3"/>
            <w:tcBorders/>
            <w:vAlign w:val="center"/>
          </w:tcPr>
          <w:p>
            <w:pPr>
              <w:pStyle w:val="TableContents"/>
              <w:bidi w:val="0"/>
              <w:spacing w:before="0" w:after="283"/>
              <w:jc w:val="left"/>
              <w:rPr>
                <w:sz w:val="4"/>
                <w:szCs w:val="4"/>
              </w:rPr>
            </w:pPr>
            <w:r>
              <w:rPr>
                <w:sz w:val="4"/>
                <w:szCs w:val="4"/>
              </w:rPr>
            </w:r>
          </w:p>
        </w:tc>
        <w:tc>
          <w:tcPr>
            <w:tcW w:w="9062" w:type="dxa"/>
            <w:gridSpan w:val="23"/>
            <w:tcBorders/>
          </w:tcPr>
          <w:p>
            <w:pPr>
              <w:pStyle w:val="TableContents"/>
              <w:bidi w:val="0"/>
              <w:spacing w:before="0" w:after="283"/>
              <w:jc w:val="left"/>
              <w:rPr>
                <w:sz w:val="4"/>
                <w:szCs w:val="4"/>
              </w:rPr>
            </w:pPr>
            <w:r>
              <w:rPr>
                <w:sz w:val="4"/>
                <w:szCs w:val="4"/>
              </w:rPr>
            </w:r>
          </w:p>
        </w:tc>
      </w:tr>
      <w:tr>
        <w:trPr/>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14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661"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14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661"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14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661"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gridSpan w:val="2"/>
            <w:tcBorders/>
          </w:tcPr>
          <w:p>
            <w:pPr>
              <w:pStyle w:val="TableContents"/>
              <w:bidi w:val="0"/>
              <w:spacing w:before="0" w:after="283"/>
              <w:jc w:val="left"/>
              <w:rPr>
                <w:sz w:val="4"/>
                <w:szCs w:val="4"/>
              </w:rPr>
            </w:pPr>
            <w:r>
              <w:rPr>
                <w:sz w:val="4"/>
                <w:szCs w:val="4"/>
              </w:rPr>
            </w:r>
          </w:p>
        </w:tc>
      </w:tr>
      <w:tr>
        <w:trPr/>
        <w:tc>
          <w:tcPr>
            <w:tcW w:w="59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Active Mixed-Use Redevelopment/Expansion Projects</w:t>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Property (1)</w:t>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Location</w:t>
            </w:r>
          </w:p>
        </w:tc>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Opportunity</w:t>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Projected ROI (2)</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Projected Cost (1)</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to Date</w:t>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Projected 2023 POI Delivered(2)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1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2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Santana West (3)</w:t>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 Jose, CA</w:t>
            </w:r>
          </w:p>
        </w:tc>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Development of a 376,000 square foot office building</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$315 - $330</w:t>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w:t>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Pike &amp; Rose - 915 Meeting Street (3)</w:t>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North Bethesda, MD</w:t>
            </w:r>
          </w:p>
        </w:tc>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Development of a 266,000 square foot office building with 10,000 square feet of retail space. 160,000 square feet of office and 5,000 square feet of retail space pre-leased.</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$185 - $200</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w:t>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Darien Commons</w:t>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Darien, CT</w:t>
            </w:r>
          </w:p>
        </w:tc>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Demolition of a 45,000 square foot anchor space to construct 75,000 square feet of new retail space, 122 rental apartments, and 720 parking spaces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 $120</w:t>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w:t>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50 - 60 %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9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Active Mixed-Use Redevelopment/Expansion Projects</w:t>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$610 - $650</w:t>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w:t>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2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Active Redevelopment/Expansion Projects</w:t>
            </w:r>
          </w:p>
        </w:tc>
        <w:tc>
          <w:tcPr>
            <w:tcW w:w="3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Property</w:t>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Location</w:t>
            </w:r>
          </w:p>
        </w:tc>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Opportunity</w:t>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Projected ROI (4)</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Projected Cost (1)</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to Date</w:t>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Anticipated Stabilization (5)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1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2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Huntington</w:t>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Huntington, NY</w:t>
            </w:r>
          </w:p>
        </w:tc>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Demolition of the main two level building consisting of 161,000 square feet of anchor and small shop space to construct 102,000 square feet of new ground-level anchor and small shop retail space</w:t>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7 - 8 %</w:t>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 $85</w:t>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w:t>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Lawrence Park</w:t>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Broomall, PA</w:t>
            </w:r>
          </w:p>
        </w:tc>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Full shopping center redevelopment to include expansion of Main Line Health into vacant lower level space, creation of 17,800 square feet of small shop space converted from vacated anchor space, a new 2,000 square foot bank pad building, and a façade renovation for the entire center</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Willow Grove</w:t>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Willow Grove, PA</w:t>
            </w:r>
          </w:p>
        </w:tc>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Development of a new 17,000 square foot multi-tenant pad building</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Pike 7 Plaza</w:t>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Vienna, VA</w:t>
            </w:r>
          </w:p>
        </w:tc>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Development of a new 3,200 square foot pad building pre-leased to a restaurant tenant</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Flourtown</w:t>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Flourtown, PA</w:t>
            </w:r>
          </w:p>
        </w:tc>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Development of a new 2,450 square foot bank pad building</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Stabilized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Dedham</w:t>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Dedham, MA</w:t>
            </w:r>
          </w:p>
        </w:tc>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Development of a new 4,000 square foot pad building with drive-thru pre-leased to a restaurant tenant</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Stabilized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14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661"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14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661"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14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661"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90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Active Redevelopment/Expansion Projects</w:t>
            </w:r>
          </w:p>
        </w:tc>
        <w:tc>
          <w:tcPr>
            <w:tcW w:w="8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7 - 8 %</w:t>
            </w:r>
          </w:p>
        </w:tc>
        <w:tc>
          <w:tcPr>
            <w:tcW w:w="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$115 - $120</w:t>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w:t>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24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Active Property Improvement Projects (6)</w:t>
            </w:r>
          </w:p>
        </w:tc>
        <w:tc>
          <w:tcPr>
            <w:tcW w:w="3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 Properties</w:t>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Ongoing improvements at 15 properties to better position those properties to capture a disproportionate amount of retail demand</w:t>
            </w:r>
          </w:p>
        </w:tc>
        <w:tc>
          <w:tcPr>
            <w:tcW w:w="888"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- 13%</w:t>
            </w:r>
          </w:p>
        </w:tc>
        <w:tc>
          <w:tcPr>
            <w:tcW w:w="889"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w:t>
            </w:r>
          </w:p>
        </w:tc>
        <w:tc>
          <w:tcPr>
            <w:tcW w:w="706"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w:t>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Notes:</w:t>
      </w:r>
    </w:p>
    <w:p>
      <w:pPr>
        <w:pStyle w:val="TextBody"/>
        <w:bidi w:val="0"/>
        <w:spacing w:lineRule="auto" w:line="288" w:before="0" w:after="0"/>
        <w:ind w:left="0" w:right="0" w:hanging="720"/>
        <w:jc w:val="left"/>
        <w:rPr>
          <w:rFonts w:ascii="Times New Roman;sans-serif" w:hAnsi="Times New Roman;sans-serif"/>
          <w:b w:val="false"/>
          <w:color w:val="000000"/>
          <w:sz w:val="15"/>
        </w:rPr>
      </w:pPr>
      <w:r>
        <w:rPr>
          <w:rFonts w:ascii="Times New Roman;sans-serif" w:hAnsi="Times New Roman;sans-serif"/>
          <w:b w:val="false"/>
          <w:color w:val="000000"/>
          <w:sz w:val="15"/>
        </w:rPr>
        <w:t>(1)There is no guarantee that the Trust will ultimately complete any or all of these opportunities, that the ROI or Projected Costs will be the amounts shown or that stabilization will occur as anticipated. The projected returns on investment (ROI) and Projected Cost are management's best estimate based on current information and may change over time. Anticipated total cost, and projected ROI, and projected POI delivered are subject to adjustment as a result of factors inherent in the development process, some of which may not be under the direct control of the Company. Refer to the Company's filings with the Securities and Exchange Commission on Form 10-K and Form 10-Q for other risk factors.</w:t>
      </w:r>
    </w:p>
    <w:p>
      <w:pPr>
        <w:pStyle w:val="TextBody"/>
        <w:bidi w:val="0"/>
        <w:spacing w:lineRule="auto" w:line="288" w:before="0" w:after="0"/>
        <w:ind w:left="0" w:right="0" w:hanging="720"/>
        <w:jc w:val="left"/>
        <w:rPr>
          <w:rFonts w:ascii="Times New Roman;sans-serif" w:hAnsi="Times New Roman;sans-serif"/>
          <w:b w:val="false"/>
          <w:color w:val="000000"/>
          <w:sz w:val="15"/>
        </w:rPr>
      </w:pPr>
      <w:r>
        <w:rPr>
          <w:rFonts w:ascii="Times New Roman;sans-serif" w:hAnsi="Times New Roman;sans-serif"/>
          <w:b w:val="false"/>
          <w:color w:val="000000"/>
          <w:sz w:val="15"/>
        </w:rPr>
        <w:t>(2)Projected ROI for mixed-use redevelopment/expansion projects reflects the unleveraged Property Operating Income (POI) generated by the project and is calculated as POI divided by cost. Projected POI delivered includes straight line rent.</w:t>
      </w:r>
    </w:p>
    <w:p>
      <w:pPr>
        <w:pStyle w:val="TextBody"/>
        <w:bidi w:val="0"/>
        <w:spacing w:lineRule="auto" w:line="288" w:before="0" w:after="0"/>
        <w:ind w:left="0" w:right="0" w:hanging="720"/>
        <w:jc w:val="left"/>
        <w:rPr>
          <w:rFonts w:ascii="Times New Roman;sans-serif" w:hAnsi="Times New Roman;sans-serif"/>
          <w:b w:val="false"/>
          <w:color w:val="000000"/>
          <w:sz w:val="15"/>
        </w:rPr>
      </w:pPr>
      <w:r>
        <w:rPr>
          <w:rFonts w:ascii="Times New Roman;sans-serif" w:hAnsi="Times New Roman;sans-serif"/>
          <w:b w:val="false"/>
          <w:color w:val="000000"/>
          <w:sz w:val="15"/>
        </w:rPr>
        <w:t>(3)Projected costs for Pike &amp; Rose include an allocation of infrastructure costs for the entire project. Santana West includes an allocation of infrastructure for the Santana West site.</w:t>
      </w:r>
    </w:p>
    <w:p>
      <w:pPr>
        <w:pStyle w:val="TextBody"/>
        <w:bidi w:val="0"/>
        <w:spacing w:lineRule="auto" w:line="288" w:before="0" w:after="0"/>
        <w:ind w:left="0" w:right="0" w:hanging="720"/>
        <w:jc w:val="left"/>
        <w:rPr>
          <w:rFonts w:ascii="Times New Roman;sans-serif" w:hAnsi="Times New Roman;sans-serif"/>
          <w:b w:val="false"/>
          <w:color w:val="000000"/>
          <w:sz w:val="15"/>
        </w:rPr>
      </w:pPr>
      <w:r>
        <w:rPr>
          <w:rFonts w:ascii="Times New Roman;sans-serif" w:hAnsi="Times New Roman;sans-serif"/>
          <w:b w:val="false"/>
          <w:color w:val="000000"/>
          <w:sz w:val="15"/>
        </w:rPr>
        <w:t>(4)Projected ROI for redevelopment projects generally reflects only the deal specific cash, unleveraged incremental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generally does not include peripheral impacts, such as the impact on future lease rollovers at the property or the impact on the long-term value of the property but may for certain property improvement projects.</w:t>
      </w:r>
    </w:p>
    <w:p>
      <w:pPr>
        <w:pStyle w:val="TextBody"/>
        <w:bidi w:val="0"/>
        <w:spacing w:lineRule="auto" w:line="288" w:before="0" w:after="0"/>
        <w:ind w:left="0" w:right="0" w:hanging="720"/>
        <w:jc w:val="left"/>
        <w:rPr>
          <w:rFonts w:ascii="Times New Roman;sans-serif" w:hAnsi="Times New Roman;sans-serif"/>
          <w:b w:val="false"/>
          <w:color w:val="000000"/>
          <w:sz w:val="15"/>
        </w:rPr>
      </w:pPr>
      <w:r>
        <w:rPr>
          <w:rFonts w:ascii="Times New Roman;sans-serif" w:hAnsi="Times New Roman;sans-serif"/>
          <w:b w:val="false"/>
          <w:color w:val="000000"/>
          <w:sz w:val="15"/>
        </w:rPr>
        <w:t>(5)Stabilization is generally the year in which 90% physical occupancy of the redeveloped space is achieved. Economic stabilization may occur at a later point in time.</w:t>
      </w:r>
    </w:p>
    <w:p>
      <w:pPr>
        <w:pStyle w:val="TextBody"/>
        <w:bidi w:val="0"/>
        <w:spacing w:lineRule="auto" w:line="288" w:before="0" w:after="0"/>
        <w:ind w:left="0" w:right="0" w:hanging="720"/>
        <w:jc w:val="left"/>
        <w:rPr>
          <w:rFonts w:ascii="Times New Roman;sans-serif" w:hAnsi="Times New Roman;sans-serif"/>
          <w:b w:val="false"/>
          <w:color w:val="000000"/>
          <w:sz w:val="15"/>
        </w:rPr>
      </w:pPr>
      <w:r>
        <w:rPr>
          <w:rFonts w:ascii="Times New Roman;sans-serif" w:hAnsi="Times New Roman;sans-serif"/>
          <w:b w:val="false"/>
          <w:color w:val="000000"/>
          <w:sz w:val="15"/>
        </w:rPr>
        <w:t>(6)Property improvement projects generally consist of façade renovations, site improvements, landscaping, improved outdoor amenity spaces, and other upgrades to improve the overall look and environment of the property. These projects improve overall tenant and customer experiences, improve market rents, drive leasing demand, and/or provide outdoor spaces critical to meeting the needs of the current environment. Returns on these projects are typically seen over one to five years, however, some projects could extend beyond that. Projected ROI range reflects management's best estimate of the long term expected return on cost of these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843"/>
        <w:gridCol w:w="438"/>
        <w:gridCol w:w="438"/>
        <w:gridCol w:w="438"/>
        <w:gridCol w:w="438"/>
        <w:gridCol w:w="438"/>
        <w:gridCol w:w="1341"/>
        <w:gridCol w:w="438"/>
        <w:gridCol w:w="438"/>
        <w:gridCol w:w="1093"/>
        <w:gridCol w:w="438"/>
        <w:gridCol w:w="438"/>
        <w:gridCol w:w="1067"/>
        <w:gridCol w:w="438"/>
        <w:gridCol w:w="438"/>
        <w:gridCol w:w="509"/>
        <w:gridCol w:w="219"/>
        <w:gridCol w:w="315"/>
      </w:tblGrid>
      <w:tr>
        <w:trPr/>
        <w:tc>
          <w:tcPr>
            <w:tcW w:w="84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916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Federal Realty Investment Trust</w:t>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Future Redevelopment and Expansion Opportunities</w:t>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June 30, 2023</w:t>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9"/>
              </w:rPr>
            </w:pPr>
            <w:r>
              <w:rPr>
                <w:rFonts w:ascii="Times New Roman;sans-serif" w:hAnsi="Times New Roman;sans-serif"/>
                <w:b/>
                <w:i/>
                <w:color w:val="000000"/>
                <w:sz w:val="19"/>
              </w:rPr>
              <w:t>We have identified the following potential opportunities to create future shareholder value. Executing these opportunities could be subject to government approvals, tenant consents, market conditions, etc. Work on many of these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tc>
      </w:tr>
      <w:tr>
        <w:trPr/>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5"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Redevelopment Opportunities</w:t>
            </w:r>
          </w:p>
        </w:tc>
      </w:tr>
      <w:tr>
        <w:trPr/>
        <w:tc>
          <w:tcPr>
            <w:tcW w:w="3033"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Property</w:t>
            </w:r>
          </w:p>
        </w:tc>
        <w:tc>
          <w:tcPr>
            <w:tcW w:w="22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Location</w:t>
            </w:r>
          </w:p>
        </w:tc>
        <w:tc>
          <w:tcPr>
            <w:tcW w:w="19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Expansion/Conversion (4)</w:t>
            </w:r>
          </w:p>
        </w:tc>
        <w:tc>
          <w:tcPr>
            <w:tcW w:w="19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Residential (5)</w:t>
            </w:r>
          </w:p>
        </w:tc>
        <w:tc>
          <w:tcPr>
            <w:tcW w:w="10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Mixed Use - Long Term</w:t>
            </w:r>
          </w:p>
        </w:tc>
      </w:tr>
      <w:tr>
        <w:trPr/>
        <w:tc>
          <w:tcPr>
            <w:tcW w:w="303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Assembly Row (1)</w:t>
            </w:r>
          </w:p>
        </w:tc>
        <w:tc>
          <w:tcPr>
            <w:tcW w:w="22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Somerville, MA</w:t>
            </w:r>
          </w:p>
        </w:tc>
        <w:tc>
          <w:tcPr>
            <w:tcW w:w="19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9"/>
              </w:rPr>
            </w:pPr>
            <w:r>
              <w:rPr>
                <w:rFonts w:ascii="Wingdings;sans-serif" w:hAnsi="Wingdings;sans-serif"/>
                <w:b/>
                <w:color w:val="000000"/>
                <w:sz w:val="19"/>
              </w:rPr>
              <w:t>ü</w:t>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Andorra</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Philadelphia, PA</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 Cynwyd</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 Cynwyd, PA</w:t>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Barracks Road</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Charlottesville, VA</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Bethesda Row</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Bethesda, MD</w:t>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Camelback Colonnade</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Phoenix, AZ</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Chelsea Commons</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Chelsea, MA</w:t>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Dedham Plaza</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Dedham, MA</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Escondido Promenade</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Escondido, CA</w:t>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Fairfax Junction</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Fairfax, VA</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Federal Plaza</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Rockville, MD</w:t>
            </w:r>
          </w:p>
        </w:tc>
        <w:tc>
          <w:tcPr>
            <w:tcW w:w="1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2217"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Fresh Meadows</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Queens, NY</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Friendship Center</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Washington, DC</w:t>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Grossmont Center</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La Mesa, CA</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Hoboken</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Hoboken, NJ</w:t>
            </w:r>
          </w:p>
        </w:tc>
        <w:tc>
          <w:tcPr>
            <w:tcW w:w="1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Huntington</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Huntington, NY</w:t>
            </w:r>
          </w:p>
        </w:tc>
        <w:tc>
          <w:tcPr>
            <w:tcW w:w="1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Mercer Mall</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Lawrenceville, NJ</w:t>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Pan Am</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Fairfax, VA</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Pike &amp; Rose (2)</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North Bethesda, MD</w:t>
            </w:r>
          </w:p>
        </w:tc>
        <w:tc>
          <w:tcPr>
            <w:tcW w:w="1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Pike 7 Plaza</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Vienna, VA</w:t>
            </w:r>
          </w:p>
        </w:tc>
        <w:tc>
          <w:tcPr>
            <w:tcW w:w="1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Riverpoint Center</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Chicago, IL</w:t>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Santana Row (3)</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San Jose, CA</w:t>
            </w:r>
          </w:p>
        </w:tc>
        <w:tc>
          <w:tcPr>
            <w:tcW w:w="1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Santana Row - Santana West (3)</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San Jose, CA</w:t>
            </w:r>
          </w:p>
        </w:tc>
        <w:tc>
          <w:tcPr>
            <w:tcW w:w="1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AVENUE at White Marsh</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White Marsh, MD</w:t>
            </w:r>
          </w:p>
        </w:tc>
        <w:tc>
          <w:tcPr>
            <w:tcW w:w="1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Village at Shirlington</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Arlington, VA</w:t>
            </w:r>
          </w:p>
        </w:tc>
        <w:tc>
          <w:tcPr>
            <w:tcW w:w="1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2217"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Willow Grove</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Willow Grove, PA</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Willow Lawn</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Richmond, VA</w:t>
            </w:r>
          </w:p>
        </w:tc>
        <w:tc>
          <w:tcPr>
            <w:tcW w:w="1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2217"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Notes:</w:t>
      </w:r>
    </w:p>
    <w:p>
      <w:pPr>
        <w:pStyle w:val="TextBody"/>
        <w:bidi w:val="0"/>
        <w:spacing w:lineRule="auto" w:line="288" w:before="120" w:after="283"/>
        <w:ind w:left="0" w:right="0" w:hanging="720"/>
        <w:jc w:val="left"/>
        <w:rPr/>
      </w:pPr>
      <w:r>
        <w:rPr>
          <w:rFonts w:ascii="Times New Roman;sans-serif" w:hAnsi="Times New Roman;sans-serif"/>
          <w:b w:val="false"/>
          <w:color w:val="000000"/>
          <w:sz w:val="19"/>
        </w:rPr>
        <w:t>(1)</w:t>
      </w:r>
      <w:r>
        <w:rPr>
          <w:rFonts w:ascii="Times New Roman;sans-serif" w:hAnsi="Times New Roman;sans-serif"/>
          <w:b w:val="false"/>
          <w:color w:val="000000"/>
          <w:sz w:val="20"/>
        </w:rPr>
        <w:t>Remaining entitlements at Assembly Row include approximately 1.5 million square feet of commercial-use buildings and 326 residential units.</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(2)Remaining entitlements at Pike &amp; Rose include approximately 530,000 square feet of commercial-use buildings and 741 residential units.</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(3)Remaining entitlements at Santana Row include approximately 321,000 square feet of commercial space and 395 residential units, as well as approximately 604,000 square feet of commercial space across from Santana Row.</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(4)Property expansion/conversion includes opportunities at successful retail properties to convert previously underutilized land into new GLA, to convert other existing uses into more productive uses for the property, and/or to add both single tenant and multi-tenant stand alone pad buildings.</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(5)Residential includes opportunities to add residential units to existing retail and mixed-use properties.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tbl>
      <w:tblPr>
        <w:tblW w:w="5243" w:type="dxa"/>
        <w:jc w:val="left"/>
        <w:tblInd w:w="0" w:type="dxa"/>
        <w:tblLayout w:type="fixed"/>
        <w:tblCellMar>
          <w:top w:w="28" w:type="dxa"/>
          <w:left w:w="28" w:type="dxa"/>
          <w:bottom w:w="28" w:type="dxa"/>
          <w:right w:w="28" w:type="dxa"/>
        </w:tblCellMar>
      </w:tblPr>
      <w:tblGrid>
        <w:gridCol w:w="167"/>
        <w:gridCol w:w="147"/>
        <w:gridCol w:w="147"/>
        <w:gridCol w:w="147"/>
        <w:gridCol w:w="147"/>
        <w:gridCol w:w="147"/>
        <w:gridCol w:w="147"/>
        <w:gridCol w:w="147"/>
        <w:gridCol w:w="147"/>
        <w:gridCol w:w="147"/>
        <w:gridCol w:w="147"/>
        <w:gridCol w:w="147"/>
        <w:gridCol w:w="147"/>
        <w:gridCol w:w="147"/>
        <w:gridCol w:w="147"/>
        <w:gridCol w:w="147"/>
        <w:gridCol w:w="147"/>
        <w:gridCol w:w="147"/>
        <w:gridCol w:w="147"/>
        <w:gridCol w:w="147"/>
        <w:gridCol w:w="147"/>
        <w:gridCol w:w="147"/>
        <w:gridCol w:w="147"/>
        <w:gridCol w:w="147"/>
        <w:gridCol w:w="147"/>
        <w:gridCol w:w="147"/>
        <w:gridCol w:w="147"/>
        <w:gridCol w:w="147"/>
        <w:gridCol w:w="147"/>
        <w:gridCol w:w="147"/>
        <w:gridCol w:w="147"/>
        <w:gridCol w:w="147"/>
        <w:gridCol w:w="147"/>
        <w:gridCol w:w="109"/>
        <w:gridCol w:w="109"/>
        <w:gridCol w:w="154"/>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1"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Acquisition, Disposition, &amp; Other Transactions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June 30,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18"/>
          <w:u w:val="single"/>
        </w:rPr>
      </w:pPr>
      <w:r>
        <w:rPr>
          <w:rFonts w:ascii="Times New Roman;sans-serif" w:hAnsi="Times New Roman;sans-serif"/>
          <w:b/>
          <w:color w:val="000000"/>
          <w:sz w:val="18"/>
          <w:u w:val="single"/>
        </w:rPr>
        <w:t>Property Acquisition</w:t>
      </w:r>
    </w:p>
    <w:tbl>
      <w:tblPr>
        <w:tblW w:w="10205" w:type="dxa"/>
        <w:jc w:val="left"/>
        <w:tblInd w:w="0" w:type="dxa"/>
        <w:tblLayout w:type="fixed"/>
        <w:tblCellMar>
          <w:top w:w="28" w:type="dxa"/>
          <w:left w:w="28" w:type="dxa"/>
          <w:bottom w:w="28" w:type="dxa"/>
          <w:right w:w="28" w:type="dxa"/>
        </w:tblCellMar>
      </w:tblPr>
      <w:tblGrid>
        <w:gridCol w:w="446"/>
        <w:gridCol w:w="393"/>
        <w:gridCol w:w="396"/>
        <w:gridCol w:w="109"/>
        <w:gridCol w:w="109"/>
        <w:gridCol w:w="109"/>
        <w:gridCol w:w="522"/>
        <w:gridCol w:w="522"/>
        <w:gridCol w:w="530"/>
        <w:gridCol w:w="109"/>
        <w:gridCol w:w="109"/>
        <w:gridCol w:w="109"/>
        <w:gridCol w:w="604"/>
        <w:gridCol w:w="604"/>
        <w:gridCol w:w="606"/>
        <w:gridCol w:w="109"/>
        <w:gridCol w:w="109"/>
        <w:gridCol w:w="109"/>
        <w:gridCol w:w="392"/>
        <w:gridCol w:w="382"/>
        <w:gridCol w:w="389"/>
        <w:gridCol w:w="109"/>
        <w:gridCol w:w="109"/>
        <w:gridCol w:w="109"/>
        <w:gridCol w:w="109"/>
        <w:gridCol w:w="109"/>
        <w:gridCol w:w="294"/>
        <w:gridCol w:w="700"/>
        <w:gridCol w:w="164"/>
        <w:gridCol w:w="109"/>
        <w:gridCol w:w="109"/>
        <w:gridCol w:w="109"/>
        <w:gridCol w:w="409"/>
        <w:gridCol w:w="409"/>
        <w:gridCol w:w="590"/>
      </w:tblGrid>
      <w:tr>
        <w:trPr/>
        <w:tc>
          <w:tcPr>
            <w:tcW w:w="4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City/State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GLA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Purchase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Principal Tenants</w:t>
            </w:r>
          </w:p>
        </w:tc>
      </w:tr>
      <w:tr>
        <w:trPr/>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square feet)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Huntington Square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East Northport, New York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At Home / AMC</w:t>
            </w:r>
          </w:p>
        </w:tc>
      </w:tr>
    </w:tbl>
    <w:p>
      <w:pPr>
        <w:pStyle w:val="TextBody"/>
        <w:bidi w:val="0"/>
        <w:spacing w:lineRule="auto" w:line="288" w:before="0" w:after="0"/>
        <w:ind w:left="0" w:right="0" w:hanging="720"/>
        <w:jc w:val="left"/>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 xml:space="preserve">(1)The purchase price includes the acquisition of the portions of the property not previously owned, as well as the acquisition of the fee interest in the land underneath the portion of Huntington Square shopping center which we control under a long-term ground lease. </w:t>
      </w:r>
    </w:p>
    <w:p>
      <w:pPr>
        <w:pStyle w:val="TextBody"/>
        <w:bidi w:val="0"/>
        <w:spacing w:before="0" w:after="0"/>
        <w:ind w:left="0" w:right="0" w:hanging="270"/>
        <w:jc w:val="left"/>
        <w:rPr/>
      </w:pPr>
      <w:r>
        <w:rPr/>
      </w:r>
    </w:p>
    <w:p>
      <w:pPr>
        <w:pStyle w:val="TextBody"/>
        <w:bidi w:val="0"/>
        <w:spacing w:lineRule="auto" w:line="288" w:before="24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Property Disposition</w:t>
      </w:r>
    </w:p>
    <w:tbl>
      <w:tblPr>
        <w:tblW w:w="8185" w:type="dxa"/>
        <w:jc w:val="left"/>
        <w:tblInd w:w="0" w:type="dxa"/>
        <w:tblLayout w:type="fixed"/>
        <w:tblCellMar>
          <w:top w:w="28" w:type="dxa"/>
          <w:left w:w="28" w:type="dxa"/>
          <w:bottom w:w="28" w:type="dxa"/>
          <w:right w:w="28" w:type="dxa"/>
        </w:tblCellMar>
      </w:tblPr>
      <w:tblGrid>
        <w:gridCol w:w="521"/>
        <w:gridCol w:w="457"/>
        <w:gridCol w:w="462"/>
        <w:gridCol w:w="109"/>
        <w:gridCol w:w="109"/>
        <w:gridCol w:w="109"/>
        <w:gridCol w:w="714"/>
        <w:gridCol w:w="714"/>
        <w:gridCol w:w="717"/>
        <w:gridCol w:w="109"/>
        <w:gridCol w:w="109"/>
        <w:gridCol w:w="109"/>
        <w:gridCol w:w="668"/>
        <w:gridCol w:w="668"/>
        <w:gridCol w:w="673"/>
        <w:gridCol w:w="109"/>
        <w:gridCol w:w="109"/>
        <w:gridCol w:w="109"/>
        <w:gridCol w:w="109"/>
        <w:gridCol w:w="109"/>
        <w:gridCol w:w="259"/>
        <w:gridCol w:w="617"/>
        <w:gridCol w:w="144"/>
        <w:gridCol w:w="109"/>
        <w:gridCol w:w="109"/>
        <w:gridCol w:w="154"/>
      </w:tblGrid>
      <w:tr>
        <w:trPr/>
        <w:tc>
          <w:tcPr>
            <w:tcW w:w="52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City/State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Sales Price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15,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Town Center of New Britain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Britain, Pennsylvania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Other Transactions</w:t>
      </w:r>
    </w:p>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On April 12, 2023, we issued $350.0 million of fixed rate senior unsecured notes that mature on May 1, 2028 and bear interest at 5.375%. The notes were offered at 99.590% of the principal amount with a yield to maturity of 5.468%. The net proceeds, after issuance discount, underwriting fees, and other costs were $345.7 million. </w:t>
      </w:r>
    </w:p>
    <w:p>
      <w:pPr>
        <w:pStyle w:val="TextBody"/>
        <w:bidi w:val="0"/>
        <w:spacing w:lineRule="auto" w:line="288" w:before="18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 May 26, 2023, we exercised our option and acquired the 22.3% tenancy in common ("TIC") interest from our co-owner at Escondido Promenade for $30.5 million, bringing our ownership interest to 100%. As a result of the transaction, we gained control of this property, and effective May 26, 2023, we have consolidated this property.</w:t>
      </w:r>
    </w:p>
    <w:p>
      <w:pPr>
        <w:pStyle w:val="TextBody"/>
        <w:bidi w:val="0"/>
        <w:spacing w:lineRule="auto" w:line="288" w:before="18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 June 1, 2023, we repaid our $275.0 million 2.75% senior unsecured notes at maturity.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tbl>
      <w:tblPr>
        <w:tblW w:w="12423" w:type="dxa"/>
        <w:jc w:val="center"/>
        <w:tblInd w:w="0" w:type="dxa"/>
        <w:tblLayout w:type="fixed"/>
        <w:tblCellMar>
          <w:top w:w="28" w:type="dxa"/>
          <w:left w:w="28" w:type="dxa"/>
          <w:bottom w:w="28" w:type="dxa"/>
          <w:right w:w="28" w:type="dxa"/>
        </w:tblCellMar>
      </w:tblPr>
      <w:tblGrid>
        <w:gridCol w:w="549"/>
        <w:gridCol w:w="205"/>
        <w:gridCol w:w="207"/>
        <w:gridCol w:w="109"/>
        <w:gridCol w:w="109"/>
        <w:gridCol w:w="109"/>
        <w:gridCol w:w="773"/>
        <w:gridCol w:w="773"/>
        <w:gridCol w:w="585"/>
        <w:gridCol w:w="109"/>
        <w:gridCol w:w="181"/>
        <w:gridCol w:w="616"/>
        <w:gridCol w:w="109"/>
        <w:gridCol w:w="181"/>
        <w:gridCol w:w="541"/>
        <w:gridCol w:w="109"/>
        <w:gridCol w:w="180"/>
        <w:gridCol w:w="181"/>
        <w:gridCol w:w="109"/>
        <w:gridCol w:w="109"/>
        <w:gridCol w:w="109"/>
        <w:gridCol w:w="109"/>
        <w:gridCol w:w="360"/>
        <w:gridCol w:w="361"/>
        <w:gridCol w:w="131"/>
        <w:gridCol w:w="109"/>
        <w:gridCol w:w="109"/>
        <w:gridCol w:w="109"/>
        <w:gridCol w:w="186"/>
        <w:gridCol w:w="175"/>
        <w:gridCol w:w="341"/>
        <w:gridCol w:w="109"/>
        <w:gridCol w:w="109"/>
        <w:gridCol w:w="109"/>
        <w:gridCol w:w="109"/>
        <w:gridCol w:w="109"/>
        <w:gridCol w:w="109"/>
        <w:gridCol w:w="260"/>
        <w:gridCol w:w="260"/>
        <w:gridCol w:w="261"/>
        <w:gridCol w:w="321"/>
        <w:gridCol w:w="220"/>
        <w:gridCol w:w="221"/>
        <w:gridCol w:w="109"/>
        <w:gridCol w:w="109"/>
        <w:gridCol w:w="109"/>
        <w:gridCol w:w="365"/>
        <w:gridCol w:w="200"/>
        <w:gridCol w:w="201"/>
        <w:gridCol w:w="645"/>
        <w:gridCol w:w="195"/>
        <w:gridCol w:w="196"/>
        <w:gridCol w:w="154"/>
      </w:tblGrid>
      <w:tr>
        <w:trPr/>
        <w:tc>
          <w:tcPr>
            <w:tcW w:w="54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78" w:type="dxa"/>
            <w:gridSpan w:val="4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c>
          <w:tcPr>
            <w:tcW w:w="762" w:type="dxa"/>
            <w:gridSpan w:val="3"/>
            <w:tcBorders/>
            <w:vAlign w:val="center"/>
          </w:tcPr>
          <w:p>
            <w:pPr>
              <w:pStyle w:val="TableContents"/>
              <w:bidi w:val="0"/>
              <w:spacing w:before="0" w:after="283"/>
              <w:jc w:val="left"/>
              <w:rPr>
                <w:sz w:val="4"/>
                <w:szCs w:val="4"/>
              </w:rPr>
            </w:pPr>
            <w:r>
              <w:rPr>
                <w:sz w:val="4"/>
                <w:szCs w:val="4"/>
              </w:rPr>
            </w:r>
          </w:p>
        </w:tc>
        <w:tc>
          <w:tcPr>
            <w:tcW w:w="2283" w:type="dxa"/>
            <w:gridSpan w:val="10"/>
            <w:tcBorders/>
          </w:tcPr>
          <w:p>
            <w:pPr>
              <w:pStyle w:val="TableContents"/>
              <w:bidi w:val="0"/>
              <w:spacing w:before="0" w:after="283"/>
              <w:jc w:val="left"/>
              <w:rPr>
                <w:sz w:val="4"/>
                <w:szCs w:val="4"/>
              </w:rPr>
            </w:pPr>
            <w:r>
              <w:rPr>
                <w:sz w:val="4"/>
                <w:szCs w:val="4"/>
              </w:rPr>
            </w:r>
          </w:p>
        </w:tc>
      </w:tr>
      <w:tr>
        <w:trPr/>
        <w:tc>
          <w:tcPr>
            <w:tcW w:w="9378" w:type="dxa"/>
            <w:gridSpan w:val="4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Real Estate Status Report</w:t>
            </w:r>
          </w:p>
        </w:tc>
        <w:tc>
          <w:tcPr>
            <w:tcW w:w="762" w:type="dxa"/>
            <w:gridSpan w:val="3"/>
            <w:tcBorders/>
            <w:vAlign w:val="center"/>
          </w:tcPr>
          <w:p>
            <w:pPr>
              <w:pStyle w:val="TableContents"/>
              <w:bidi w:val="0"/>
              <w:spacing w:before="0" w:after="283"/>
              <w:jc w:val="left"/>
              <w:rPr>
                <w:sz w:val="4"/>
                <w:szCs w:val="4"/>
              </w:rPr>
            </w:pPr>
            <w:r>
              <w:rPr>
                <w:sz w:val="4"/>
                <w:szCs w:val="4"/>
              </w:rPr>
            </w:r>
          </w:p>
        </w:tc>
        <w:tc>
          <w:tcPr>
            <w:tcW w:w="2283" w:type="dxa"/>
            <w:gridSpan w:val="10"/>
            <w:tcBorders/>
          </w:tcPr>
          <w:p>
            <w:pPr>
              <w:pStyle w:val="TableContents"/>
              <w:bidi w:val="0"/>
              <w:spacing w:before="0" w:after="283"/>
              <w:jc w:val="left"/>
              <w:rPr>
                <w:sz w:val="4"/>
                <w:szCs w:val="4"/>
              </w:rPr>
            </w:pPr>
            <w:r>
              <w:rPr>
                <w:sz w:val="4"/>
                <w:szCs w:val="4"/>
              </w:rPr>
            </w:r>
          </w:p>
        </w:tc>
      </w:tr>
      <w:tr>
        <w:trPr/>
        <w:tc>
          <w:tcPr>
            <w:tcW w:w="9378" w:type="dxa"/>
            <w:gridSpan w:val="4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June 30, 2023</w:t>
            </w:r>
          </w:p>
        </w:tc>
        <w:tc>
          <w:tcPr>
            <w:tcW w:w="762" w:type="dxa"/>
            <w:gridSpan w:val="3"/>
            <w:tcBorders/>
            <w:vAlign w:val="center"/>
          </w:tcPr>
          <w:p>
            <w:pPr>
              <w:pStyle w:val="TableContents"/>
              <w:bidi w:val="0"/>
              <w:spacing w:before="0" w:after="283"/>
              <w:jc w:val="left"/>
              <w:rPr>
                <w:sz w:val="4"/>
                <w:szCs w:val="4"/>
              </w:rPr>
            </w:pPr>
            <w:r>
              <w:rPr>
                <w:sz w:val="4"/>
                <w:szCs w:val="4"/>
              </w:rPr>
            </w:r>
          </w:p>
        </w:tc>
        <w:tc>
          <w:tcPr>
            <w:tcW w:w="2283" w:type="dxa"/>
            <w:gridSpan w:val="10"/>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Property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MSA Description</w:t>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Real Estate at Cost (1)</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Mortgage/Finance Lease Liabilities (2)</w:t>
            </w:r>
          </w:p>
        </w:tc>
        <w:tc>
          <w:tcPr>
            <w:tcW w:w="7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Acreage</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GLA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Leased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Residential Units</w:t>
            </w:r>
          </w:p>
        </w:tc>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4"/>
              </w:rPr>
              <w:t>Grocery Anchor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Grocery Anchor (4)</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Other Retail Tenants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(in thousands)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2"/>
              </w:rPr>
              <w:t>(in thousands)</w:t>
            </w:r>
          </w:p>
        </w:tc>
        <w:tc>
          <w:tcPr>
            <w:tcW w:w="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California</w:t>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Azalea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226,000 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Walmart (S)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Ross Dress for Less / Ulta / Michaels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Bell Gardens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119,102 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330,000 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Food 4 Less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Ross Dress for Less / Bob's Discount Furniture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Colorado Blvd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Banana Republic / True Food Kitchen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Crow Canyon Commons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 Francisco-Oakland-Hayward,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Sprouts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Wine &amp; More / Rite Aid / Alamo Ace Hardware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East Bay Bridge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 Francisco-Oakland-Hayward,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440,000 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199,000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Pak-N-Save / Target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Home Depot / Nordstrom Rack / Ulta / Michaels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Escondido Promenade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 Diego-Carlsbad,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Target (S)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Dick’s Sporting Goods / Ross Dress For Less / Bob's Discount Furniture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Fourth Street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 Francisco-Oakland-Hayward,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CB2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Freedom Plaza</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Smart &amp; Final</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Nike / Blink Fitness / Ross Dress For Less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Grossmont Center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 Diego-Carlsbad,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932,000 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294,000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Target / Walmart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Barnes &amp; Noble / / Macy's / CVS / Restoration Hardware Outlet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Hastings Ranch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HomeGoods / CVS / Sears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Hollywood Blvd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39,000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Target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L.A. Fitness / CVS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Kings Court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San Jose-Sunnyvale-Santa Clara, CA </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Lunardi's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Old Town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San Jose-Sunnyvale-Santa Clara, CA </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Anthropologie / Sephora / Teleferic Barcelona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Olivo at Mission Hills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Target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24 Hour Fitness / Ross Dress For Less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Plaza Del Sol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Superior Grocers (S)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Plaza El Segundo / The Point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307,721 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502,000 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Whole Foods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Nordstrom Rack / HomeGoods / Dick's Sporting Goods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 Antonio Center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San Jose-Sunnyvale-Santa Clara, CA </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141,000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Trader Joe's / Walmart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24 Hour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Santana Row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San Jose-Sunnyvale-Santa Clara, CA </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1,293,882 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662</w:t>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Crate &amp; Barrel / Container Store / H&amp;M / Best Buy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Sylmar Towne Center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Food 4 Less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Third Street Promenade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adidas / Patagonia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Westgate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San Jose-Sunnyvale-Santa Clara, CA </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157,308 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167,000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Target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Nordstrom Rack / Nike Factory / TJ Maxx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California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3,086,213 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6,457,000 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Washington Metropolitan Area</w:t>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Barcroft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Harris Teeter</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Bethesda Row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261,782 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180</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Apple / Equinox / Anthropologie / Nike Live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Birch &amp; Broad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Staples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Chesterbrook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Safeway</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Starbucks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Congressional Plaza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194</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The Fresh Market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Buy Buy Baby / Ulta / Barnes &amp; Noble / Container Store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Courthouse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Fairfax Junction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Aldi</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Planet Fitness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tbl>
      <w:tblPr>
        <w:tblW w:w="12415" w:type="dxa"/>
        <w:jc w:val="center"/>
        <w:tblInd w:w="0" w:type="dxa"/>
        <w:tblLayout w:type="fixed"/>
        <w:tblCellMar>
          <w:top w:w="28" w:type="dxa"/>
          <w:left w:w="28" w:type="dxa"/>
          <w:bottom w:w="28" w:type="dxa"/>
          <w:right w:w="28" w:type="dxa"/>
        </w:tblCellMar>
      </w:tblPr>
      <w:tblGrid>
        <w:gridCol w:w="418"/>
        <w:gridCol w:w="246"/>
        <w:gridCol w:w="207"/>
        <w:gridCol w:w="109"/>
        <w:gridCol w:w="109"/>
        <w:gridCol w:w="109"/>
        <w:gridCol w:w="709"/>
        <w:gridCol w:w="709"/>
        <w:gridCol w:w="713"/>
        <w:gridCol w:w="109"/>
        <w:gridCol w:w="474"/>
        <w:gridCol w:w="247"/>
        <w:gridCol w:w="161"/>
        <w:gridCol w:w="296"/>
        <w:gridCol w:w="245"/>
        <w:gridCol w:w="246"/>
        <w:gridCol w:w="180"/>
        <w:gridCol w:w="181"/>
        <w:gridCol w:w="109"/>
        <w:gridCol w:w="109"/>
        <w:gridCol w:w="109"/>
        <w:gridCol w:w="109"/>
        <w:gridCol w:w="360"/>
        <w:gridCol w:w="361"/>
        <w:gridCol w:w="131"/>
        <w:gridCol w:w="109"/>
        <w:gridCol w:w="109"/>
        <w:gridCol w:w="109"/>
        <w:gridCol w:w="186"/>
        <w:gridCol w:w="175"/>
        <w:gridCol w:w="341"/>
        <w:gridCol w:w="109"/>
        <w:gridCol w:w="109"/>
        <w:gridCol w:w="109"/>
        <w:gridCol w:w="109"/>
        <w:gridCol w:w="109"/>
        <w:gridCol w:w="109"/>
        <w:gridCol w:w="260"/>
        <w:gridCol w:w="260"/>
        <w:gridCol w:w="261"/>
        <w:gridCol w:w="321"/>
        <w:gridCol w:w="220"/>
        <w:gridCol w:w="221"/>
        <w:gridCol w:w="109"/>
        <w:gridCol w:w="109"/>
        <w:gridCol w:w="109"/>
        <w:gridCol w:w="335"/>
        <w:gridCol w:w="200"/>
        <w:gridCol w:w="201"/>
        <w:gridCol w:w="825"/>
        <w:gridCol w:w="195"/>
        <w:gridCol w:w="196"/>
        <w:gridCol w:w="154"/>
      </w:tblGrid>
      <w:tr>
        <w:trPr/>
        <w:tc>
          <w:tcPr>
            <w:tcW w:w="41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20" w:type="dxa"/>
            <w:gridSpan w:val="4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c>
          <w:tcPr>
            <w:tcW w:w="762" w:type="dxa"/>
            <w:gridSpan w:val="3"/>
            <w:tcBorders/>
            <w:vAlign w:val="center"/>
          </w:tcPr>
          <w:p>
            <w:pPr>
              <w:pStyle w:val="TableContents"/>
              <w:bidi w:val="0"/>
              <w:spacing w:before="0" w:after="283"/>
              <w:jc w:val="left"/>
              <w:rPr>
                <w:sz w:val="4"/>
                <w:szCs w:val="4"/>
              </w:rPr>
            </w:pPr>
            <w:r>
              <w:rPr>
                <w:sz w:val="4"/>
                <w:szCs w:val="4"/>
              </w:rPr>
            </w:r>
          </w:p>
        </w:tc>
        <w:tc>
          <w:tcPr>
            <w:tcW w:w="2433" w:type="dxa"/>
            <w:gridSpan w:val="10"/>
            <w:tcBorders/>
          </w:tcPr>
          <w:p>
            <w:pPr>
              <w:pStyle w:val="TableContents"/>
              <w:bidi w:val="0"/>
              <w:spacing w:before="0" w:after="283"/>
              <w:jc w:val="left"/>
              <w:rPr>
                <w:sz w:val="4"/>
                <w:szCs w:val="4"/>
              </w:rPr>
            </w:pPr>
            <w:r>
              <w:rPr>
                <w:sz w:val="4"/>
                <w:szCs w:val="4"/>
              </w:rPr>
            </w:r>
          </w:p>
        </w:tc>
      </w:tr>
      <w:tr>
        <w:trPr/>
        <w:tc>
          <w:tcPr>
            <w:tcW w:w="9220" w:type="dxa"/>
            <w:gridSpan w:val="4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Real Estate Status Report</w:t>
            </w:r>
          </w:p>
        </w:tc>
        <w:tc>
          <w:tcPr>
            <w:tcW w:w="762" w:type="dxa"/>
            <w:gridSpan w:val="3"/>
            <w:tcBorders/>
            <w:vAlign w:val="center"/>
          </w:tcPr>
          <w:p>
            <w:pPr>
              <w:pStyle w:val="TableContents"/>
              <w:bidi w:val="0"/>
              <w:spacing w:before="0" w:after="283"/>
              <w:jc w:val="left"/>
              <w:rPr>
                <w:sz w:val="4"/>
                <w:szCs w:val="4"/>
              </w:rPr>
            </w:pPr>
            <w:r>
              <w:rPr>
                <w:sz w:val="4"/>
                <w:szCs w:val="4"/>
              </w:rPr>
            </w:r>
          </w:p>
        </w:tc>
        <w:tc>
          <w:tcPr>
            <w:tcW w:w="2433" w:type="dxa"/>
            <w:gridSpan w:val="10"/>
            <w:tcBorders/>
          </w:tcPr>
          <w:p>
            <w:pPr>
              <w:pStyle w:val="TableContents"/>
              <w:bidi w:val="0"/>
              <w:spacing w:before="0" w:after="283"/>
              <w:jc w:val="left"/>
              <w:rPr>
                <w:sz w:val="4"/>
                <w:szCs w:val="4"/>
              </w:rPr>
            </w:pPr>
            <w:r>
              <w:rPr>
                <w:sz w:val="4"/>
                <w:szCs w:val="4"/>
              </w:rPr>
            </w:r>
          </w:p>
        </w:tc>
      </w:tr>
      <w:tr>
        <w:trPr/>
        <w:tc>
          <w:tcPr>
            <w:tcW w:w="9220" w:type="dxa"/>
            <w:gridSpan w:val="4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June 30, 2023</w:t>
            </w:r>
          </w:p>
        </w:tc>
        <w:tc>
          <w:tcPr>
            <w:tcW w:w="762" w:type="dxa"/>
            <w:gridSpan w:val="3"/>
            <w:tcBorders/>
            <w:vAlign w:val="center"/>
          </w:tcPr>
          <w:p>
            <w:pPr>
              <w:pStyle w:val="TableContents"/>
              <w:bidi w:val="0"/>
              <w:spacing w:before="0" w:after="283"/>
              <w:jc w:val="left"/>
              <w:rPr>
                <w:sz w:val="4"/>
                <w:szCs w:val="4"/>
              </w:rPr>
            </w:pPr>
            <w:r>
              <w:rPr>
                <w:sz w:val="4"/>
                <w:szCs w:val="4"/>
              </w:rPr>
            </w:r>
          </w:p>
        </w:tc>
        <w:tc>
          <w:tcPr>
            <w:tcW w:w="2433" w:type="dxa"/>
            <w:gridSpan w:val="10"/>
            <w:tcBorders/>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Property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MSA Description</w:t>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Real Estate at Cost (1)</w:t>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Mortgage/Finance Lease Liabilities (2)</w:t>
            </w:r>
          </w:p>
        </w:tc>
        <w:tc>
          <w:tcPr>
            <w:tcW w:w="7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Acreage</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GLA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Leased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Residential Units</w:t>
            </w:r>
          </w:p>
        </w:tc>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4"/>
              </w:rPr>
              <w:t>Grocery Anchor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Grocery Anchor (4)</w:t>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Other Retail Tenants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(in thousands)</w:t>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2"/>
              </w:rPr>
              <w:t>(in thousands)</w:t>
            </w:r>
          </w:p>
        </w:tc>
        <w:tc>
          <w:tcPr>
            <w:tcW w:w="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Federal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73,306 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Trader Joe's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Micro Center / Ross Dress For Less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Friendship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37,173 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Maggiano's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Gaithersburg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39,712 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Ross Dress For Less / Ashley Furniture HomeStore / CVS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Graham Park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26,984 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Idylwood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Whole Foods</w:t>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Kingstowne Towne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210,381 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410,000 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 / Safeway</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HomeGoods / Five Below / Ross Dress For Less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Laurel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61,306 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L.A. Fitness / HomeGoods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Montrose Crossing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172,476 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 / Target (S)</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Home Depot Design Center / Old Navy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Mount Vernon/South Valley/7770 Richmond Hwy</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94,905 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Shoppers Food Warehouse</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Home Depot / Old Navy / Petsmart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Old Keene Mill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Whole Foods</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Walgreens / 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Pan 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32,006 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Safeway</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Micro Center / CVS / Michaels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Pike &amp; Rose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838,833 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765</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Porsche / Uniqlo / REI / H&amp;M / L.L Bean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Pike 7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54,714 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TBA</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DSW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Plaza del Mercado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46,813 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Aldi</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L.A.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Quince Orchard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41,038 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Aldi</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HomeGoods / L.A. Fitness / Staples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Tower Shopping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23,282 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 Mart</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Talbots / Total Wine &amp; More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Twinbrooke Shopping Centre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35,875 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Safeway</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Walgreens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Tyson's Station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Trader Joe's</w:t>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Village at Shirlington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77,651 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7,020 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Harris Teeter</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AMC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Westpost (formerly Pentagon Row)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114,875 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297,000 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Harris Teeter / Target</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Ulta / Walgreens / DSW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Wildwood Shopping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28,387 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Balducci's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Washington Metropolitan Area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2,595,408 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6,255,000 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NY Metro/New Jersey</w:t>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Brick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107,203 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Trader Joe's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AMC / HomeGoods / Ulta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Brook 35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 (6)</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50,871 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11,500 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Banana Republic / Gap / Williams-Sonoma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Darien Commons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Bridgeport-Stamford-Norwalk, CT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145,762 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123</w:t>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Equinox / Walgreens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tbl>
      <w:tblPr>
        <w:tblW w:w="12389" w:type="dxa"/>
        <w:jc w:val="center"/>
        <w:tblInd w:w="0" w:type="dxa"/>
        <w:tblLayout w:type="fixed"/>
        <w:tblCellMar>
          <w:top w:w="28" w:type="dxa"/>
          <w:left w:w="28" w:type="dxa"/>
          <w:bottom w:w="28" w:type="dxa"/>
          <w:right w:w="28" w:type="dxa"/>
        </w:tblCellMar>
      </w:tblPr>
      <w:tblGrid>
        <w:gridCol w:w="364"/>
        <w:gridCol w:w="300"/>
        <w:gridCol w:w="207"/>
        <w:gridCol w:w="109"/>
        <w:gridCol w:w="109"/>
        <w:gridCol w:w="109"/>
        <w:gridCol w:w="817"/>
        <w:gridCol w:w="817"/>
        <w:gridCol w:w="497"/>
        <w:gridCol w:w="109"/>
        <w:gridCol w:w="474"/>
        <w:gridCol w:w="247"/>
        <w:gridCol w:w="161"/>
        <w:gridCol w:w="296"/>
        <w:gridCol w:w="245"/>
        <w:gridCol w:w="246"/>
        <w:gridCol w:w="180"/>
        <w:gridCol w:w="181"/>
        <w:gridCol w:w="109"/>
        <w:gridCol w:w="109"/>
        <w:gridCol w:w="109"/>
        <w:gridCol w:w="109"/>
        <w:gridCol w:w="360"/>
        <w:gridCol w:w="361"/>
        <w:gridCol w:w="131"/>
        <w:gridCol w:w="109"/>
        <w:gridCol w:w="109"/>
        <w:gridCol w:w="109"/>
        <w:gridCol w:w="186"/>
        <w:gridCol w:w="175"/>
        <w:gridCol w:w="341"/>
        <w:gridCol w:w="109"/>
        <w:gridCol w:w="109"/>
        <w:gridCol w:w="109"/>
        <w:gridCol w:w="109"/>
        <w:gridCol w:w="109"/>
        <w:gridCol w:w="109"/>
        <w:gridCol w:w="260"/>
        <w:gridCol w:w="260"/>
        <w:gridCol w:w="261"/>
        <w:gridCol w:w="220"/>
        <w:gridCol w:w="220"/>
        <w:gridCol w:w="221"/>
        <w:gridCol w:w="109"/>
        <w:gridCol w:w="109"/>
        <w:gridCol w:w="109"/>
        <w:gridCol w:w="410"/>
        <w:gridCol w:w="200"/>
        <w:gridCol w:w="201"/>
        <w:gridCol w:w="825"/>
        <w:gridCol w:w="195"/>
        <w:gridCol w:w="196"/>
        <w:gridCol w:w="154"/>
      </w:tblGrid>
      <w:tr>
        <w:trPr/>
        <w:tc>
          <w:tcPr>
            <w:tcW w:w="36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20" w:type="dxa"/>
            <w:gridSpan w:val="4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c>
          <w:tcPr>
            <w:tcW w:w="661" w:type="dxa"/>
            <w:gridSpan w:val="3"/>
            <w:tcBorders/>
            <w:vAlign w:val="center"/>
          </w:tcPr>
          <w:p>
            <w:pPr>
              <w:pStyle w:val="TableContents"/>
              <w:bidi w:val="0"/>
              <w:spacing w:before="0" w:after="283"/>
              <w:jc w:val="left"/>
              <w:rPr>
                <w:sz w:val="4"/>
                <w:szCs w:val="4"/>
              </w:rPr>
            </w:pPr>
            <w:r>
              <w:rPr>
                <w:sz w:val="4"/>
                <w:szCs w:val="4"/>
              </w:rPr>
            </w:r>
          </w:p>
        </w:tc>
        <w:tc>
          <w:tcPr>
            <w:tcW w:w="2508" w:type="dxa"/>
            <w:gridSpan w:val="10"/>
            <w:tcBorders/>
          </w:tcPr>
          <w:p>
            <w:pPr>
              <w:pStyle w:val="TableContents"/>
              <w:bidi w:val="0"/>
              <w:spacing w:before="0" w:after="283"/>
              <w:jc w:val="left"/>
              <w:rPr>
                <w:sz w:val="4"/>
                <w:szCs w:val="4"/>
              </w:rPr>
            </w:pPr>
            <w:r>
              <w:rPr>
                <w:sz w:val="4"/>
                <w:szCs w:val="4"/>
              </w:rPr>
            </w:r>
          </w:p>
        </w:tc>
      </w:tr>
      <w:tr>
        <w:trPr/>
        <w:tc>
          <w:tcPr>
            <w:tcW w:w="9220" w:type="dxa"/>
            <w:gridSpan w:val="4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Real Estate Status Report</w:t>
            </w:r>
          </w:p>
        </w:tc>
        <w:tc>
          <w:tcPr>
            <w:tcW w:w="661" w:type="dxa"/>
            <w:gridSpan w:val="3"/>
            <w:tcBorders/>
            <w:vAlign w:val="center"/>
          </w:tcPr>
          <w:p>
            <w:pPr>
              <w:pStyle w:val="TableContents"/>
              <w:bidi w:val="0"/>
              <w:spacing w:before="0" w:after="283"/>
              <w:jc w:val="left"/>
              <w:rPr>
                <w:sz w:val="4"/>
                <w:szCs w:val="4"/>
              </w:rPr>
            </w:pPr>
            <w:r>
              <w:rPr>
                <w:sz w:val="4"/>
                <w:szCs w:val="4"/>
              </w:rPr>
            </w:r>
          </w:p>
        </w:tc>
        <w:tc>
          <w:tcPr>
            <w:tcW w:w="2508" w:type="dxa"/>
            <w:gridSpan w:val="10"/>
            <w:tcBorders/>
          </w:tcPr>
          <w:p>
            <w:pPr>
              <w:pStyle w:val="TableContents"/>
              <w:bidi w:val="0"/>
              <w:spacing w:before="0" w:after="283"/>
              <w:jc w:val="left"/>
              <w:rPr>
                <w:sz w:val="4"/>
                <w:szCs w:val="4"/>
              </w:rPr>
            </w:pPr>
            <w:r>
              <w:rPr>
                <w:sz w:val="4"/>
                <w:szCs w:val="4"/>
              </w:rPr>
            </w:r>
          </w:p>
        </w:tc>
      </w:tr>
      <w:tr>
        <w:trPr/>
        <w:tc>
          <w:tcPr>
            <w:tcW w:w="9220" w:type="dxa"/>
            <w:gridSpan w:val="4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June 30, 2023</w:t>
            </w:r>
          </w:p>
        </w:tc>
        <w:tc>
          <w:tcPr>
            <w:tcW w:w="661" w:type="dxa"/>
            <w:gridSpan w:val="3"/>
            <w:tcBorders/>
            <w:vAlign w:val="center"/>
          </w:tcPr>
          <w:p>
            <w:pPr>
              <w:pStyle w:val="TableContents"/>
              <w:bidi w:val="0"/>
              <w:spacing w:before="0" w:after="283"/>
              <w:jc w:val="left"/>
              <w:rPr>
                <w:sz w:val="4"/>
                <w:szCs w:val="4"/>
              </w:rPr>
            </w:pPr>
            <w:r>
              <w:rPr>
                <w:sz w:val="4"/>
                <w:szCs w:val="4"/>
              </w:rPr>
            </w:r>
          </w:p>
        </w:tc>
        <w:tc>
          <w:tcPr>
            <w:tcW w:w="2508" w:type="dxa"/>
            <w:gridSpan w:val="10"/>
            <w:tcBorders/>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Property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MSA Description</w:t>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Real Estate at Cost (1)</w:t>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Mortgage/Finance Lease Liabilities (2)</w:t>
            </w:r>
          </w:p>
        </w:tc>
        <w:tc>
          <w:tcPr>
            <w:tcW w:w="7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Acreage</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GLA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Leased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Residential Units</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4"/>
              </w:rPr>
              <w:t>Grocery Anchor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Grocery Anchor (4)</w:t>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Other Retail Tenants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(in thousands)</w:t>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2"/>
              </w:rPr>
              <w:t>(in thousands)</w:t>
            </w:r>
          </w:p>
        </w:tc>
        <w:tc>
          <w:tcPr>
            <w:tcW w:w="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Fresh Meadows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95,713 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Island of Gold</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AMC / Kohl's / 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Georgetowne Shopping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86,424 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Foodway</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Five Below / IHOP</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Greenlawn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33,779 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Greenlawn Farms</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Greenwich Avenue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Bridgeport-Stamford-Norwalk, CT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23,748 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Saks Fifth Avenue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Hauppauge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37,695 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Shop Rite</w:t>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Hoboken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 (8)</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227,817 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84,719 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129</w:t>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Nike Live / CVS / New York Sports Club / Sephora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Huntington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93,574 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Petsmart / Michaels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Huntington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50,495 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Stop &amp; Shop (S)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Barnes &amp; Noble / At Home / AMC</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Melville Mall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105,099 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Uncle Giuseppe's Marketplace</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Dick's Sporting Goods / Macy's Backstage / Public Lands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Mercer Mall</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Trenton, NJ</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133,455 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55,039 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Shop Rite</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Nike / Ross Dress for Less / Nordstrom Rack / REI / Tesla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The Grove at Shrewsbury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 (6)</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130,567 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43,600 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Lululemon / Anthropologie / Pottery Barn / Williams-Sonoma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Troy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41,367 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Target</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 Fitness / Michaels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NY Metro/New Jersey</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1,363,569 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3,151,000 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u w:val="single"/>
              </w:rPr>
            </w:pPr>
            <w:r>
              <w:rPr>
                <w:rFonts w:ascii="Times New Roman;sans-serif" w:hAnsi="Times New Roman;sans-serif"/>
                <w:b/>
                <w:color w:val="000000"/>
                <w:sz w:val="14"/>
                <w:u w:val="single"/>
              </w:rPr>
              <w:t>New England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Assembly Row / Assembly Square Marketplace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Boston-Cambridge-Newton, MA-NH</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1,125,318 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947</w:t>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Trader Joe's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AMC / Nike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Campus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Boston-Cambridge-Newton, MA-NH</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31,111 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Roche Bros.</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Chelsea Commons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Boston-Cambridge-Newton, MA-NH</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34,299 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4,234 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222,000 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Home Depot / Planet Fitness / CVS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Dedham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Boston-Cambridge-Newton, MA-NH</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51,525 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80,000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Star Market</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Linden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Boston-Cambridge-Newton, MA-NH</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158,104 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w:t>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Roche Bros.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North Dartmouth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Providence-Warwick, RI-MA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Stop &amp; Shop</w:t>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Queen Anne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Boston-Cambridge-Newton, MA-NH</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19,441 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Big Y Foods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HomeGoods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New England</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1,429,167 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2,196,000 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Philadelphia Metropolitan Area</w:t>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Andorra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33,587 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270,000 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Acme Markets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Kohl's / L.A. Fitness / Five Below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 Cynwyd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74,865 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87</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Acme Markets</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Michaels / L.A.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Ellisburg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37,986 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260,000 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Whole Foods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Buy Buy Baby / RH Outlet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Flourtown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19,599 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156,000 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Movie Tavern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Langhorne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24,772 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Redner's Warehouse Markets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Planet Fitness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tbl>
      <w:tblPr>
        <w:tblW w:w="13162" w:type="dxa"/>
        <w:jc w:val="center"/>
        <w:tblInd w:w="0" w:type="dxa"/>
        <w:tblLayout w:type="fixed"/>
        <w:tblCellMar>
          <w:top w:w="28" w:type="dxa"/>
          <w:left w:w="28" w:type="dxa"/>
          <w:bottom w:w="28" w:type="dxa"/>
          <w:right w:w="28" w:type="dxa"/>
        </w:tblCellMar>
      </w:tblPr>
      <w:tblGrid>
        <w:gridCol w:w="364"/>
        <w:gridCol w:w="270"/>
        <w:gridCol w:w="207"/>
        <w:gridCol w:w="109"/>
        <w:gridCol w:w="109"/>
        <w:gridCol w:w="109"/>
        <w:gridCol w:w="709"/>
        <w:gridCol w:w="709"/>
        <w:gridCol w:w="713"/>
        <w:gridCol w:w="616"/>
        <w:gridCol w:w="109"/>
        <w:gridCol w:w="456"/>
        <w:gridCol w:w="160"/>
        <w:gridCol w:w="161"/>
        <w:gridCol w:w="245"/>
        <w:gridCol w:w="245"/>
        <w:gridCol w:w="246"/>
        <w:gridCol w:w="180"/>
        <w:gridCol w:w="181"/>
        <w:gridCol w:w="109"/>
        <w:gridCol w:w="360"/>
        <w:gridCol w:w="361"/>
        <w:gridCol w:w="109"/>
        <w:gridCol w:w="360"/>
        <w:gridCol w:w="361"/>
        <w:gridCol w:w="131"/>
        <w:gridCol w:w="143"/>
        <w:gridCol w:w="143"/>
        <w:gridCol w:w="211"/>
        <w:gridCol w:w="186"/>
        <w:gridCol w:w="175"/>
        <w:gridCol w:w="341"/>
        <w:gridCol w:w="109"/>
        <w:gridCol w:w="109"/>
        <w:gridCol w:w="109"/>
        <w:gridCol w:w="109"/>
        <w:gridCol w:w="109"/>
        <w:gridCol w:w="109"/>
        <w:gridCol w:w="260"/>
        <w:gridCol w:w="260"/>
        <w:gridCol w:w="261"/>
        <w:gridCol w:w="220"/>
        <w:gridCol w:w="220"/>
        <w:gridCol w:w="221"/>
        <w:gridCol w:w="109"/>
        <w:gridCol w:w="109"/>
        <w:gridCol w:w="109"/>
        <w:gridCol w:w="335"/>
        <w:gridCol w:w="200"/>
        <w:gridCol w:w="201"/>
        <w:gridCol w:w="524"/>
        <w:gridCol w:w="241"/>
        <w:gridCol w:w="196"/>
        <w:gridCol w:w="154"/>
      </w:tblGrid>
      <w:tr>
        <w:trPr/>
        <w:tc>
          <w:tcPr>
            <w:tcW w:w="36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23" w:type="dxa"/>
            <w:gridSpan w:val="4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c>
          <w:tcPr>
            <w:tcW w:w="661" w:type="dxa"/>
            <w:gridSpan w:val="3"/>
            <w:tcBorders/>
            <w:vAlign w:val="center"/>
          </w:tcPr>
          <w:p>
            <w:pPr>
              <w:pStyle w:val="TableContents"/>
              <w:bidi w:val="0"/>
              <w:spacing w:before="0" w:after="283"/>
              <w:jc w:val="left"/>
              <w:rPr>
                <w:sz w:val="4"/>
                <w:szCs w:val="4"/>
              </w:rPr>
            </w:pPr>
            <w:r>
              <w:rPr>
                <w:sz w:val="4"/>
                <w:szCs w:val="4"/>
              </w:rPr>
            </w:r>
          </w:p>
        </w:tc>
        <w:tc>
          <w:tcPr>
            <w:tcW w:w="2178" w:type="dxa"/>
            <w:gridSpan w:val="10"/>
            <w:tcBorders/>
          </w:tcPr>
          <w:p>
            <w:pPr>
              <w:pStyle w:val="TableContents"/>
              <w:bidi w:val="0"/>
              <w:spacing w:before="0" w:after="283"/>
              <w:jc w:val="left"/>
              <w:rPr>
                <w:sz w:val="4"/>
                <w:szCs w:val="4"/>
              </w:rPr>
            </w:pPr>
            <w:r>
              <w:rPr>
                <w:sz w:val="4"/>
                <w:szCs w:val="4"/>
              </w:rPr>
            </w:r>
          </w:p>
        </w:tc>
      </w:tr>
      <w:tr>
        <w:trPr/>
        <w:tc>
          <w:tcPr>
            <w:tcW w:w="10323" w:type="dxa"/>
            <w:gridSpan w:val="4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Real Estate Status Report</w:t>
            </w:r>
          </w:p>
        </w:tc>
        <w:tc>
          <w:tcPr>
            <w:tcW w:w="661" w:type="dxa"/>
            <w:gridSpan w:val="3"/>
            <w:tcBorders/>
            <w:vAlign w:val="center"/>
          </w:tcPr>
          <w:p>
            <w:pPr>
              <w:pStyle w:val="TableContents"/>
              <w:bidi w:val="0"/>
              <w:spacing w:before="0" w:after="283"/>
              <w:jc w:val="left"/>
              <w:rPr>
                <w:sz w:val="4"/>
                <w:szCs w:val="4"/>
              </w:rPr>
            </w:pPr>
            <w:r>
              <w:rPr>
                <w:sz w:val="4"/>
                <w:szCs w:val="4"/>
              </w:rPr>
            </w:r>
          </w:p>
        </w:tc>
        <w:tc>
          <w:tcPr>
            <w:tcW w:w="2178" w:type="dxa"/>
            <w:gridSpan w:val="10"/>
            <w:tcBorders/>
          </w:tcPr>
          <w:p>
            <w:pPr>
              <w:pStyle w:val="TableContents"/>
              <w:bidi w:val="0"/>
              <w:spacing w:before="0" w:after="283"/>
              <w:jc w:val="left"/>
              <w:rPr>
                <w:sz w:val="4"/>
                <w:szCs w:val="4"/>
              </w:rPr>
            </w:pPr>
            <w:r>
              <w:rPr>
                <w:sz w:val="4"/>
                <w:szCs w:val="4"/>
              </w:rPr>
            </w:r>
          </w:p>
        </w:tc>
      </w:tr>
      <w:tr>
        <w:trPr/>
        <w:tc>
          <w:tcPr>
            <w:tcW w:w="10323" w:type="dxa"/>
            <w:gridSpan w:val="4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June 30, 2023</w:t>
            </w:r>
          </w:p>
        </w:tc>
        <w:tc>
          <w:tcPr>
            <w:tcW w:w="661" w:type="dxa"/>
            <w:gridSpan w:val="3"/>
            <w:tcBorders/>
            <w:vAlign w:val="center"/>
          </w:tcPr>
          <w:p>
            <w:pPr>
              <w:pStyle w:val="TableContents"/>
              <w:bidi w:val="0"/>
              <w:spacing w:before="0" w:after="283"/>
              <w:jc w:val="left"/>
              <w:rPr>
                <w:sz w:val="4"/>
                <w:szCs w:val="4"/>
              </w:rPr>
            </w:pPr>
            <w:r>
              <w:rPr>
                <w:sz w:val="4"/>
                <w:szCs w:val="4"/>
              </w:rPr>
            </w:r>
          </w:p>
        </w:tc>
        <w:tc>
          <w:tcPr>
            <w:tcW w:w="2178" w:type="dxa"/>
            <w:gridSpan w:val="10"/>
            <w:tcBorders/>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Property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MSA Description</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Real Estate at Cost (1)</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Mortgage/Finance Lease Liabilities (2)</w:t>
            </w:r>
          </w:p>
        </w:tc>
        <w:tc>
          <w:tcPr>
            <w:tcW w:w="13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Acreage</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GLA (3)</w:t>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Leased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Residential Units</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4"/>
              </w:rPr>
              <w:t>Grocery Anchor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Grocery Anchor (4)</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Other Retail Tenants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(in thousands)</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2"/>
              </w:rPr>
              <w:t>(in thousands)</w:t>
            </w:r>
          </w:p>
        </w:tc>
        <w:tc>
          <w:tcPr>
            <w:tcW w:w="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Lawrence Park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63,350 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357,000 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Acme Markets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HomeGoods / Barnes &amp; Noble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Northeast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35,623 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Lidl (S)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Ulta / Skechers / Crunch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Willow Grove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45,218 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TBA</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Five Below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Wynnewood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43,962 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9</w:t>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98,000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Old Navy / DSW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Philadelphia Metropolitan Area</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378,962 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189 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2,005,000 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1" w:type="dxa"/>
            <w:gridSpan w:val="3"/>
            <w:tcBorders/>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470"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49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South 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CocoWalk</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 (9)</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Miami-Fort Lauderdale-West Palm Beach, FL</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203,250 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Cinepolis Theaters / Youfit Health Club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Del Mar Village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Miami-Fort Lauderdale-West Palm Beach, FL</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75,443 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Winn Dixie</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L.A.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The Shops at Pembroke Gardens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Miami-Fort Lauderdale-West Palm Beach, FL</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181,043 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Nike Factory / Old Navy / DSW / Barnes &amp; Noble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Tower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Miami-Fort Lauderdale-West Palm Beach, FL</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102,551 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430,000 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Trader Joe's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Ross Dress For Less / Best Buy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South Florida</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562,287 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1,285,000 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Baltimore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Governor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34,877 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16,500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Aldi</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Dick's Sporting Goods / Ross Dress for Less / Petco</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Perring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35,504</w:t>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Shoppers Food Warehouse</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Home Depot / Micro Center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THE AVENUE at White Marsh</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129,611 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AMC / Ulta / Old Navy / Nike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The Shoppes at Nottingham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19,514 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White Marsh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27,063 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White Marsh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27,927 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Baltimore</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274,496 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1,125,000 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Chicago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Crossroads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Chicago-Naperville-Elgin, IL-IN-WI</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36,651 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 Fitness / Ulta / Binny's / Ferguson's Bath, Kitchen &amp; Lighting Gallery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Finley Square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Chicago-Naperville-Elgin, IL-IN-WI</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42,344 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Bed, Bath &amp; Beyond / Michaels / Portillo's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Garden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Chicago-Naperville-Elgin, IL-IN-WI</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15,744 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Mariano's Fresh Market</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Walgreens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Riverpoint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Chicago-Naperville-Elgin, IL-IN-WI</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122,339 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86,000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Jewel Osco</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Old Navy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Chicago</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217,078 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799,000 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Barracks Road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Charlottesville, VA</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75,611 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99,000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Harris Teeter / Kroger</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Anthropologie / Old Navy / Ulta / Michaels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Bristol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Hartford-West Hartford-East Hartford, CT</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36,791 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Stop &amp; Shop</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Camelback Colonnade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Phoenix-Mesa-Chandler, AZ</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180,390 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642,000 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82,000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Fry's Food &amp; Drug</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Floor &amp; Décor / Marshalls / Nordstrom Last Chance / Best Buy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Gratiot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Detroit-Warren-Dearborn, MI</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20,776 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Kroger</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Bed, Bath &amp; Beyond / Best Buy / DSW</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tbl>
      <w:tblPr>
        <w:tblW w:w="11576" w:type="dxa"/>
        <w:jc w:val="center"/>
        <w:tblInd w:w="0" w:type="dxa"/>
        <w:tblLayout w:type="fixed"/>
        <w:tblCellMar>
          <w:top w:w="28" w:type="dxa"/>
          <w:left w:w="28" w:type="dxa"/>
          <w:bottom w:w="28" w:type="dxa"/>
          <w:right w:w="28" w:type="dxa"/>
        </w:tblCellMar>
      </w:tblPr>
      <w:tblGrid>
        <w:gridCol w:w="249"/>
        <w:gridCol w:w="205"/>
        <w:gridCol w:w="207"/>
        <w:gridCol w:w="109"/>
        <w:gridCol w:w="109"/>
        <w:gridCol w:w="109"/>
        <w:gridCol w:w="509"/>
        <w:gridCol w:w="509"/>
        <w:gridCol w:w="513"/>
        <w:gridCol w:w="109"/>
        <w:gridCol w:w="181"/>
        <w:gridCol w:w="826"/>
        <w:gridCol w:w="109"/>
        <w:gridCol w:w="181"/>
        <w:gridCol w:w="646"/>
        <w:gridCol w:w="109"/>
        <w:gridCol w:w="247"/>
        <w:gridCol w:w="249"/>
        <w:gridCol w:w="109"/>
        <w:gridCol w:w="109"/>
        <w:gridCol w:w="109"/>
        <w:gridCol w:w="109"/>
        <w:gridCol w:w="412"/>
        <w:gridCol w:w="414"/>
        <w:gridCol w:w="131"/>
        <w:gridCol w:w="109"/>
        <w:gridCol w:w="109"/>
        <w:gridCol w:w="109"/>
        <w:gridCol w:w="164"/>
        <w:gridCol w:w="164"/>
        <w:gridCol w:w="363"/>
        <w:gridCol w:w="109"/>
        <w:gridCol w:w="109"/>
        <w:gridCol w:w="109"/>
        <w:gridCol w:w="109"/>
        <w:gridCol w:w="109"/>
        <w:gridCol w:w="109"/>
        <w:gridCol w:w="260"/>
        <w:gridCol w:w="260"/>
        <w:gridCol w:w="261"/>
        <w:gridCol w:w="220"/>
        <w:gridCol w:w="220"/>
        <w:gridCol w:w="221"/>
        <w:gridCol w:w="109"/>
        <w:gridCol w:w="109"/>
        <w:gridCol w:w="109"/>
        <w:gridCol w:w="200"/>
        <w:gridCol w:w="200"/>
        <w:gridCol w:w="201"/>
        <w:gridCol w:w="420"/>
        <w:gridCol w:w="195"/>
        <w:gridCol w:w="196"/>
        <w:gridCol w:w="154"/>
      </w:tblGrid>
      <w:tr>
        <w:trPr/>
        <w:tc>
          <w:tcPr>
            <w:tcW w:w="24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22" w:type="dxa"/>
            <w:gridSpan w:val="4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893" w:type="dxa"/>
            <w:gridSpan w:val="10"/>
            <w:tcBorders/>
          </w:tcPr>
          <w:p>
            <w:pPr>
              <w:pStyle w:val="TableContents"/>
              <w:bidi w:val="0"/>
              <w:spacing w:before="0" w:after="283"/>
              <w:jc w:val="left"/>
              <w:rPr>
                <w:sz w:val="4"/>
                <w:szCs w:val="4"/>
              </w:rPr>
            </w:pPr>
            <w:r>
              <w:rPr>
                <w:sz w:val="4"/>
                <w:szCs w:val="4"/>
              </w:rPr>
            </w:r>
          </w:p>
        </w:tc>
      </w:tr>
      <w:tr>
        <w:trPr/>
        <w:tc>
          <w:tcPr>
            <w:tcW w:w="9022" w:type="dxa"/>
            <w:gridSpan w:val="4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Real Estate Status Report</w:t>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893" w:type="dxa"/>
            <w:gridSpan w:val="10"/>
            <w:tcBorders/>
          </w:tcPr>
          <w:p>
            <w:pPr>
              <w:pStyle w:val="TableContents"/>
              <w:bidi w:val="0"/>
              <w:spacing w:before="0" w:after="283"/>
              <w:jc w:val="left"/>
              <w:rPr>
                <w:sz w:val="4"/>
                <w:szCs w:val="4"/>
              </w:rPr>
            </w:pPr>
            <w:r>
              <w:rPr>
                <w:sz w:val="4"/>
                <w:szCs w:val="4"/>
              </w:rPr>
            </w:r>
          </w:p>
        </w:tc>
      </w:tr>
      <w:tr>
        <w:trPr/>
        <w:tc>
          <w:tcPr>
            <w:tcW w:w="9022" w:type="dxa"/>
            <w:gridSpan w:val="4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June 30, 2023</w:t>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893" w:type="dxa"/>
            <w:gridSpan w:val="10"/>
            <w:tcBorders/>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Property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MSA Description</w:t>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Real Estate at Cost (1)</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Mortgage/Finance Lease Liabilities (2)</w:t>
            </w:r>
          </w:p>
        </w:tc>
        <w:tc>
          <w:tcPr>
            <w:tcW w:w="9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Acreage</w:t>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GLA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Leased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Residential Units</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4"/>
              </w:rPr>
              <w:t>Grocery Anchor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Grocery Anchor (4)</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Other Retail Tenants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2"/>
              </w:rPr>
              <w:t>(in thousands)</w:t>
            </w:r>
          </w:p>
        </w:tc>
        <w:tc>
          <w:tcPr>
            <w:tcW w:w="6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Hilton Village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Phoenix-Mesa-Chandler, AZ</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Houston's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Lancaster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w:t>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Lancaster, PA</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AutoZone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29th Place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Charlottesville, VA</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Lidl</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HomeGoods / DSW / Staples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Willow Lawn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Richmond, VA</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Kroger</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Old Navy / Ross Dress For Less / Gold's Gym / Dick's Sporting Goods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Other</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560,510 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2,678,000 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Grand Total</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10,467,690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388,393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2,037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25,951,000</w:t>
            </w:r>
            <w:r>
              <w:rPr>
                <w:color w:val="000000"/>
              </w:rPr>
              <w:t>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94</w:t>
            </w:r>
            <w:r>
              <w:rPr>
                <w:color w:val="000000"/>
              </w:rPr>
              <w:t> </w:t>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3,103</w:t>
            </w:r>
          </w:p>
        </w:tc>
        <w:tc>
          <w:tcPr>
            <w:tcW w:w="66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93"/>
        <w:gridCol w:w="169"/>
        <w:gridCol w:w="171"/>
        <w:gridCol w:w="2951"/>
        <w:gridCol w:w="2784"/>
        <w:gridCol w:w="3937"/>
      </w:tblGrid>
      <w:tr>
        <w:trPr/>
        <w:tc>
          <w:tcPr>
            <w:tcW w:w="1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3937" w:type="dxa"/>
            <w:tcBorders/>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Notes:</w:t>
            </w:r>
          </w:p>
        </w:tc>
        <w:tc>
          <w:tcPr>
            <w:tcW w:w="9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Includes "Finance lease right of use assets."</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The mortgage or finance lease liabilities differ from the total reported on the consolidated balance sheet due to the unamortized discount, premium, and/or debt issuance costs on certain mortgages payable.</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Represents the GLA and the percentage leased of the commercial portion of the property. Some of our properties include office space which is included in this square footage. Excludes newly created redevelopment square footage not yet in service, as well as residential and hotel square footage.</w:t>
            </w:r>
          </w:p>
        </w:tc>
      </w:tr>
      <w:tr>
        <w:trPr/>
        <w:tc>
          <w:tcPr>
            <w:tcW w:w="533" w:type="dxa"/>
            <w:gridSpan w:val="3"/>
            <w:tcBorders/>
            <w:vAlign w:val="center"/>
          </w:tcPr>
          <w:p>
            <w:pPr>
              <w:pStyle w:val="TableContents"/>
              <w:bidi w:val="0"/>
              <w:spacing w:before="0" w:after="283"/>
              <w:jc w:val="left"/>
              <w:rPr>
                <w:sz w:val="4"/>
                <w:szCs w:val="4"/>
              </w:rPr>
            </w:pPr>
            <w:r>
              <w:rPr>
                <w:sz w:val="4"/>
                <w:szCs w:val="4"/>
              </w:rPr>
            </w:r>
          </w:p>
        </w:tc>
        <w:tc>
          <w:tcPr>
            <w:tcW w:w="9672" w:type="dxa"/>
            <w:gridSpan w:val="3"/>
            <w:tcBorders/>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TBA indicates that a lease is signed and tenant is currently in the process of building out its space.</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The Trust has a controlling financial interest in this property.</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All or a portion of the property is owned in a "downREIT" partnership, of which a wholly owned subsidiary of the Trust is the sole general partner, with third party partners holding operating partnership units.</w:t>
            </w:r>
          </w:p>
        </w:tc>
      </w:tr>
      <w:tr>
        <w:trPr/>
        <w:tc>
          <w:tcPr>
            <w:tcW w:w="533" w:type="dxa"/>
            <w:gridSpan w:val="3"/>
            <w:tcBorders/>
            <w:vAlign w:val="center"/>
          </w:tcPr>
          <w:p>
            <w:pPr>
              <w:pStyle w:val="TableContents"/>
              <w:bidi w:val="0"/>
              <w:spacing w:before="0" w:after="283"/>
              <w:jc w:val="left"/>
              <w:rPr>
                <w:sz w:val="4"/>
                <w:szCs w:val="4"/>
              </w:rPr>
            </w:pPr>
            <w:r>
              <w:rPr>
                <w:sz w:val="4"/>
                <w:szCs w:val="4"/>
              </w:rPr>
            </w:r>
          </w:p>
        </w:tc>
        <w:tc>
          <w:tcPr>
            <w:tcW w:w="9672" w:type="dxa"/>
            <w:gridSpan w:val="3"/>
            <w:tcBorders/>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All or a portion of the property is subject to finance lease liabilities.</w:t>
            </w:r>
          </w:p>
        </w:tc>
      </w:tr>
      <w:tr>
        <w:trPr/>
        <w:tc>
          <w:tcPr>
            <w:tcW w:w="533" w:type="dxa"/>
            <w:gridSpan w:val="3"/>
            <w:tcBorders/>
            <w:vAlign w:val="center"/>
          </w:tcPr>
          <w:p>
            <w:pPr>
              <w:pStyle w:val="TableContents"/>
              <w:bidi w:val="0"/>
              <w:spacing w:before="0" w:after="283"/>
              <w:jc w:val="left"/>
              <w:rPr>
                <w:sz w:val="4"/>
                <w:szCs w:val="4"/>
              </w:rPr>
            </w:pPr>
            <w:r>
              <w:rPr>
                <w:sz w:val="4"/>
                <w:szCs w:val="4"/>
              </w:rPr>
            </w:r>
          </w:p>
        </w:tc>
        <w:tc>
          <w:tcPr>
            <w:tcW w:w="9672" w:type="dxa"/>
            <w:gridSpan w:val="3"/>
            <w:tcBorders/>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This property includes 40 buildings primarily along Washington Street and 14th Street in Hoboken, New Jersey.</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This property includes CocoWalk and interests in four buildings in Coconut Grove.</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Grocer is a shadow anchor and is not part of the owned property.</w:t>
            </w:r>
          </w:p>
        </w:tc>
      </w:tr>
      <w:tr>
        <w:trPr/>
        <w:tc>
          <w:tcPr>
            <w:tcW w:w="533" w:type="dxa"/>
            <w:gridSpan w:val="3"/>
            <w:tcBorders/>
            <w:vAlign w:val="center"/>
          </w:tcPr>
          <w:p>
            <w:pPr>
              <w:pStyle w:val="TableContents"/>
              <w:bidi w:val="0"/>
              <w:spacing w:before="0" w:after="283"/>
              <w:jc w:val="left"/>
              <w:rPr>
                <w:sz w:val="4"/>
                <w:szCs w:val="4"/>
              </w:rPr>
            </w:pPr>
            <w:r>
              <w:rPr>
                <w:sz w:val="4"/>
                <w:szCs w:val="4"/>
              </w:rPr>
            </w:r>
          </w:p>
        </w:tc>
        <w:tc>
          <w:tcPr>
            <w:tcW w:w="96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tbl>
      <w:tblPr>
        <w:tblW w:w="14305" w:type="dxa"/>
        <w:jc w:val="center"/>
        <w:tblInd w:w="0" w:type="dxa"/>
        <w:tblLayout w:type="fixed"/>
        <w:tblCellMar>
          <w:top w:w="28" w:type="dxa"/>
          <w:left w:w="28" w:type="dxa"/>
          <w:bottom w:w="28" w:type="dxa"/>
          <w:right w:w="28" w:type="dxa"/>
        </w:tblCellMar>
      </w:tblPr>
      <w:tblGrid>
        <w:gridCol w:w="233"/>
        <w:gridCol w:w="205"/>
        <w:gridCol w:w="208"/>
        <w:gridCol w:w="109"/>
        <w:gridCol w:w="109"/>
        <w:gridCol w:w="109"/>
        <w:gridCol w:w="241"/>
        <w:gridCol w:w="180"/>
        <w:gridCol w:w="181"/>
        <w:gridCol w:w="109"/>
        <w:gridCol w:w="109"/>
        <w:gridCol w:w="109"/>
        <w:gridCol w:w="243"/>
        <w:gridCol w:w="178"/>
        <w:gridCol w:w="395"/>
        <w:gridCol w:w="109"/>
        <w:gridCol w:w="109"/>
        <w:gridCol w:w="109"/>
        <w:gridCol w:w="435"/>
        <w:gridCol w:w="436"/>
        <w:gridCol w:w="146"/>
        <w:gridCol w:w="109"/>
        <w:gridCol w:w="109"/>
        <w:gridCol w:w="109"/>
        <w:gridCol w:w="196"/>
        <w:gridCol w:w="556"/>
        <w:gridCol w:w="109"/>
        <w:gridCol w:w="109"/>
        <w:gridCol w:w="109"/>
        <w:gridCol w:w="109"/>
        <w:gridCol w:w="196"/>
        <w:gridCol w:w="556"/>
        <w:gridCol w:w="109"/>
        <w:gridCol w:w="109"/>
        <w:gridCol w:w="109"/>
        <w:gridCol w:w="109"/>
        <w:gridCol w:w="196"/>
        <w:gridCol w:w="871"/>
        <w:gridCol w:w="109"/>
        <w:gridCol w:w="109"/>
        <w:gridCol w:w="109"/>
        <w:gridCol w:w="109"/>
        <w:gridCol w:w="239"/>
        <w:gridCol w:w="167"/>
        <w:gridCol w:w="372"/>
        <w:gridCol w:w="109"/>
        <w:gridCol w:w="109"/>
        <w:gridCol w:w="109"/>
        <w:gridCol w:w="196"/>
        <w:gridCol w:w="556"/>
        <w:gridCol w:w="241"/>
        <w:gridCol w:w="109"/>
        <w:gridCol w:w="109"/>
        <w:gridCol w:w="109"/>
        <w:gridCol w:w="266"/>
        <w:gridCol w:w="200"/>
        <w:gridCol w:w="201"/>
        <w:gridCol w:w="109"/>
        <w:gridCol w:w="109"/>
        <w:gridCol w:w="109"/>
        <w:gridCol w:w="196"/>
        <w:gridCol w:w="961"/>
        <w:gridCol w:w="109"/>
        <w:gridCol w:w="327"/>
        <w:gridCol w:w="198"/>
        <w:gridCol w:w="562"/>
        <w:gridCol w:w="111"/>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4151"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51"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Retail Leasing Summary (1)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51"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June 30, 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51" w:type="dxa"/>
            <w:gridSpan w:val="6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51"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Total Lease Summary - Comparable (2)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Number of Leases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of Comparable Leases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GLA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Contractual Rent (3) Per Sq. Ft. (PSF)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Prior Rent (4) PSF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2"/>
              </w:rPr>
              <w:t>Annual Increase in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Cash Basis % Increase Over Prior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Straight-lined Basis % Increase Over Prior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Weighted Average Lease Term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2nd Quarter 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576,345 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1,295,986 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9,582,941 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1st Quarter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504,502 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1,777,121 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19,911,347 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4th Quarter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415,519 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1,624,898 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12,991,578 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3rd Quarter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562,859 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14,564,905 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2,059,225 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5,238,012 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57,050,771 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51"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New Lease Summary - Comparable (2)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Number of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of Comparable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GLA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Contractual Rent (3)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Prior Rent (4)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Annual Increase in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Cash Basis % Increase Over Prior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Straight-lined Basis % Increase Over Prior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Weighted Average Lease Term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2nd Quarter 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128,861 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8,784,091 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1st Quarter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242,022 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19,167,487 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79.20 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4th Quarter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146,428 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934,794 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10,896,153 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3rd Quarter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215,351 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13,415,915 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732,662 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2,318,810 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52,263,646 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51"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Renewal Lease Summary - Comparable (2) (7)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Number of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of Comparable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GLA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Contractual Rent (3)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Prior Rent (4)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Annual Increase in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Cash Basis % Increase Over Prior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Straight-lined Basis % Increase Over Prior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Weighted Average Lease Term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2nd Quarter 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447,484 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798,850 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1st Quarter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262,480 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1,066,298 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743,860 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4th Quarter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269,091 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2,095,425 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3rd Quarter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347,508 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1,148,990 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1,326,563 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2,919,202 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4,787,125 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51"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Total Lease Summary - Comparable and Non-comparable (2) (8)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Number of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GLA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Contractual Rent (3)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Weighted Average Lease Term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2nd Quarter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8"/>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602,911 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11,511,825 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1st Quarter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524,286 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20,974,263 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4th Quarter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425,159 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13,601,431 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3rd Quarter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8"/>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584,949 </w:t>
            </w:r>
          </w:p>
        </w:tc>
        <w:tc>
          <w:tcPr>
            <w:tcW w:w="37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16,825,343 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8"/>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2,137,305 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62,912,862 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88"/>
        <w:gridCol w:w="165"/>
        <w:gridCol w:w="167"/>
        <w:gridCol w:w="2908"/>
        <w:gridCol w:w="2805"/>
        <w:gridCol w:w="3972"/>
      </w:tblGrid>
      <w:tr>
        <w:trPr/>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908"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c>
          <w:tcPr>
            <w:tcW w:w="3972" w:type="dxa"/>
            <w:tcBorders/>
            <w:vAlign w:val="center"/>
          </w:tcPr>
          <w:p>
            <w:pPr>
              <w:pStyle w:val="TableContents"/>
              <w:bidi w:val="0"/>
              <w:spacing w:before="0" w:after="283"/>
              <w:jc w:val="left"/>
              <w:rPr>
                <w:sz w:val="4"/>
                <w:szCs w:val="4"/>
              </w:rPr>
            </w:pPr>
            <w:r>
              <w:rPr>
                <w:sz w:val="4"/>
                <w:szCs w:val="4"/>
              </w:rPr>
            </w:r>
          </w:p>
        </w:tc>
      </w:tr>
      <w:tr>
        <w:trPr/>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Notes:</w:t>
            </w:r>
          </w:p>
        </w:tc>
        <w:tc>
          <w:tcPr>
            <w:tcW w:w="9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Information reflects activity in retail spaces only for consolidated properties and Escondido Promenade, which was not consolidated from Q3 2022 through Q1 2023; office and residential spaces are not included. Contractual option exercises are not included. See Glossary of Terms for further discussion of information included above.</w:t>
            </w:r>
          </w:p>
        </w:tc>
      </w:tr>
      <w:tr>
        <w:trPr/>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Comparable leases represent those leases signed on spaces for which there was a former tenant.</w:t>
            </w:r>
          </w:p>
        </w:tc>
      </w:tr>
      <w:tr>
        <w:trPr/>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Contractual rent represents annual rent under the new lease.</w:t>
            </w:r>
          </w:p>
        </w:tc>
      </w:tr>
      <w:tr>
        <w:trPr/>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9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Prior rent represents contractual rent, including percentage rent, from the prior tenant in the final 12 months of the term.</w:t>
            </w:r>
          </w:p>
        </w:tc>
      </w:tr>
      <w:tr>
        <w:trPr/>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9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is determined on the basis of contractual rent for the lease.</w:t>
            </w:r>
          </w:p>
        </w:tc>
      </w:tr>
      <w:tr>
        <w:trPr/>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9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See Glossary of Terms.</w:t>
            </w:r>
          </w:p>
        </w:tc>
      </w:tr>
      <w:tr>
        <w:trPr/>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9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Renewal leases represent expiring leases rolling over with the same tenant in the same location. All other leases are categorized as new.</w:t>
            </w:r>
          </w:p>
        </w:tc>
      </w:tr>
      <w:tr>
        <w:trPr/>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9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Number of Leases Signed, GLA Signed, Contractual Rent Per Sq. Ft. and Weighted Average Lease Term columns include information for leases signed at Phase 3 of both of our Assembly Row and Pike &amp; Rose projects and Phase 4 of Pike &amp; Rose. The Tenant Improvements &amp; Incentives and Tenant Improvements &amp; Incentives Per Sq. Ft. columns do not include the tenant improvements and incentives on leases signed for those projects; these amounts for leases signed are included in the projected costs for the respective projects.</w:t>
            </w:r>
          </w:p>
        </w:tc>
      </w:tr>
      <w:tr>
        <w:trPr/>
        <w:tc>
          <w:tcPr>
            <w:tcW w:w="520" w:type="dxa"/>
            <w:gridSpan w:val="3"/>
            <w:tcBorders/>
            <w:vAlign w:val="center"/>
          </w:tcPr>
          <w:p>
            <w:pPr>
              <w:pStyle w:val="TableContents"/>
              <w:bidi w:val="0"/>
              <w:spacing w:before="0" w:after="283"/>
              <w:jc w:val="left"/>
              <w:rPr>
                <w:sz w:val="4"/>
                <w:szCs w:val="4"/>
              </w:rPr>
            </w:pPr>
            <w:r>
              <w:rPr>
                <w:sz w:val="4"/>
                <w:szCs w:val="4"/>
              </w:rPr>
            </w:r>
          </w:p>
        </w:tc>
        <w:tc>
          <w:tcPr>
            <w:tcW w:w="9685" w:type="dxa"/>
            <w:gridSpan w:val="3"/>
            <w:tcBorders/>
            <w:vAlign w:val="center"/>
          </w:tcPr>
          <w:p>
            <w:pPr>
              <w:pStyle w:val="TableContents"/>
              <w:bidi w:val="0"/>
              <w:spacing w:before="0" w:after="283"/>
              <w:jc w:val="left"/>
              <w:rPr>
                <w:sz w:val="4"/>
                <w:szCs w:val="4"/>
              </w:rPr>
            </w:pPr>
            <w:r>
              <w:rPr>
                <w:sz w:val="4"/>
                <w:szCs w:val="4"/>
              </w:rPr>
            </w:r>
          </w:p>
        </w:tc>
      </w:tr>
      <w:tr>
        <w:trPr/>
        <w:tc>
          <w:tcPr>
            <w:tcW w:w="520" w:type="dxa"/>
            <w:gridSpan w:val="3"/>
            <w:tcBorders/>
            <w:vAlign w:val="center"/>
          </w:tcPr>
          <w:p>
            <w:pPr>
              <w:pStyle w:val="TableContents"/>
              <w:bidi w:val="0"/>
              <w:spacing w:before="0" w:after="283"/>
              <w:jc w:val="left"/>
              <w:rPr>
                <w:sz w:val="4"/>
                <w:szCs w:val="4"/>
              </w:rPr>
            </w:pPr>
            <w:r>
              <w:rPr>
                <w:sz w:val="4"/>
                <w:szCs w:val="4"/>
              </w:rPr>
            </w:r>
          </w:p>
        </w:tc>
        <w:tc>
          <w:tcPr>
            <w:tcW w:w="96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472"/>
        <w:gridCol w:w="247"/>
        <w:gridCol w:w="212"/>
        <w:gridCol w:w="479"/>
        <w:gridCol w:w="482"/>
        <w:gridCol w:w="267"/>
        <w:gridCol w:w="246"/>
        <w:gridCol w:w="178"/>
        <w:gridCol w:w="263"/>
        <w:gridCol w:w="365"/>
        <w:gridCol w:w="290"/>
        <w:gridCol w:w="291"/>
        <w:gridCol w:w="109"/>
        <w:gridCol w:w="109"/>
        <w:gridCol w:w="109"/>
        <w:gridCol w:w="435"/>
        <w:gridCol w:w="436"/>
        <w:gridCol w:w="267"/>
        <w:gridCol w:w="299"/>
        <w:gridCol w:w="127"/>
        <w:gridCol w:w="266"/>
        <w:gridCol w:w="365"/>
        <w:gridCol w:w="290"/>
        <w:gridCol w:w="291"/>
        <w:gridCol w:w="109"/>
        <w:gridCol w:w="109"/>
        <w:gridCol w:w="109"/>
        <w:gridCol w:w="559"/>
        <w:gridCol w:w="402"/>
        <w:gridCol w:w="268"/>
        <w:gridCol w:w="273"/>
        <w:gridCol w:w="150"/>
        <w:gridCol w:w="292"/>
        <w:gridCol w:w="384"/>
        <w:gridCol w:w="268"/>
        <w:gridCol w:w="387"/>
      </w:tblGrid>
      <w:tr>
        <w:trPr/>
        <w:tc>
          <w:tcPr>
            <w:tcW w:w="47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Lease Expirations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June 30, 2023</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1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Assumes no exercise of lease options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Anchor Tenants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Small Shop Tenants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Expiring SF</w:t>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 of Anchor SF</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Minimum Rent PSF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Expiring SF</w:t>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 of Small Shop SF</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Minimum Rent PSF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Expiring SF (4)</w:t>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 of Total SF</w:t>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Minimum Rent PSF (2)</w:t>
            </w:r>
          </w:p>
        </w:tc>
      </w:tr>
      <w:tr>
        <w:trPr/>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$20.80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$34.99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664,000 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$28.24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2,692,000 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$29.80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2025</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2,320,000 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1,176,000 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3,497,000 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$26.70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2026</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2,118,000 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$33.40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2027</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3,010,000 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$34.07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2028</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1,703,000 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2,678,000 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$31.54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2029</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1,670,000 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2,270,000 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$32.58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2030</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$30.03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2031</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$32.93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1,638,000 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2,225,000 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$33.42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Thereafter</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2,168,000 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$25.08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2,737,000 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$29.10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 (3)</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16,155,000 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$23.26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7,922,000 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$46.87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24,077,000 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$31.03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1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Assumes all lease options are exercised</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Anchor Tenants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Small Shop Tenants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Expiring SF</w:t>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 of Anchor SF</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Minimum Rent PSF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Expiring SF</w:t>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 of Small Shop SF</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Minimum Rent PSF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Expiring SF (4)</w:t>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 of Total SF</w:t>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Minimum Rent PSF (2)</w:t>
            </w:r>
          </w:p>
        </w:tc>
      </w:tr>
      <w:tr>
        <w:trPr/>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$21.11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$34.56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637,000 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$28.10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1,294,000 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$33.85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2025</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$39.19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$27.15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2026</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$39.28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2027</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$36.83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2028</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$34.28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2029</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1,338,000 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$31.55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2030</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$35.47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2031</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$21.48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$49.08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$34.82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$42.73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Thereafter</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11,014,000 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2,926,000 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13,940,000 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$28.98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 (3)</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16,155,000 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$23.26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7,922,000 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$46.87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24,077,000 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$31.03 </w:t>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09"/>
        <w:gridCol w:w="183"/>
        <w:gridCol w:w="184"/>
        <w:gridCol w:w="2815"/>
        <w:gridCol w:w="2815"/>
        <w:gridCol w:w="3999"/>
      </w:tblGrid>
      <w:tr>
        <w:trPr/>
        <w:tc>
          <w:tcPr>
            <w:tcW w:w="2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3999" w:type="dxa"/>
            <w:tcBorders/>
            <w:vAlign w:val="center"/>
          </w:tcPr>
          <w:p>
            <w:pPr>
              <w:pStyle w:val="TableContents"/>
              <w:bidi w:val="0"/>
              <w:spacing w:before="0" w:after="283"/>
              <w:jc w:val="left"/>
              <w:rPr>
                <w:sz w:val="4"/>
                <w:szCs w:val="4"/>
              </w:rPr>
            </w:pPr>
            <w:r>
              <w:rPr>
                <w:sz w:val="4"/>
                <w:szCs w:val="4"/>
              </w:rPr>
            </w:r>
          </w:p>
        </w:tc>
      </w:tr>
      <w:tr>
        <w:trPr/>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w:t>
            </w:r>
          </w:p>
        </w:tc>
        <w:tc>
          <w:tcPr>
            <w:tcW w:w="9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9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Anchor is defined as a commercial tenant leasing 10,000 square feet or more.</w:t>
            </w:r>
          </w:p>
        </w:tc>
      </w:tr>
      <w:tr>
        <w:trPr/>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9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Minimum Rent reflects in-place contractual (defined as rents on a cash-basis without taking the impacts of rent abatements into account) rent as of June 30, 2023.</w:t>
            </w:r>
          </w:p>
        </w:tc>
      </w:tr>
      <w:tr>
        <w:trPr/>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9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Represents occupied square footage of the commercial portion of our portfolio as of June 30, 2023.</w:t>
            </w:r>
          </w:p>
        </w:tc>
      </w:tr>
      <w:tr>
        <w:trPr/>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9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Individual items may not add up to total due to rounding.</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tbl>
      <w:tblPr>
        <w:tblW w:w="7162" w:type="dxa"/>
        <w:jc w:val="left"/>
        <w:tblInd w:w="0" w:type="dxa"/>
        <w:tblLayout w:type="fixed"/>
        <w:tblCellMar>
          <w:top w:w="28" w:type="dxa"/>
          <w:left w:w="28" w:type="dxa"/>
          <w:bottom w:w="28" w:type="dxa"/>
          <w:right w:w="28" w:type="dxa"/>
        </w:tblCellMar>
      </w:tblPr>
      <w:tblGrid>
        <w:gridCol w:w="1038"/>
        <w:gridCol w:w="910"/>
        <w:gridCol w:w="916"/>
        <w:gridCol w:w="264"/>
        <w:gridCol w:w="264"/>
        <w:gridCol w:w="627"/>
        <w:gridCol w:w="109"/>
        <w:gridCol w:w="109"/>
        <w:gridCol w:w="109"/>
        <w:gridCol w:w="295"/>
        <w:gridCol w:w="295"/>
        <w:gridCol w:w="699"/>
        <w:gridCol w:w="109"/>
        <w:gridCol w:w="109"/>
        <w:gridCol w:w="109"/>
        <w:gridCol w:w="251"/>
        <w:gridCol w:w="251"/>
        <w:gridCol w:w="698"/>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Portfolio Leased Statistics</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June 30, 2023</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2022</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Commercial Properties</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Overall Portfolio (1)(2)</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Leasable Area (GLA)</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25,951,000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25,852,000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25,234,000</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w:t>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94.1 </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Occupied %</w:t>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92.8 </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92.0 </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 - anchor tenants</w:t>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96.6 </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 - small shop tenants</w:t>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90.2 </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89.3 </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Active commercial tenant leases</w:t>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3,119</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Comparable Properties (1)</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GLA </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23,316,000</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w:t>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94.1 </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Occupied %</w:t>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92.4 </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92.2 </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Residential Properties</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Overall Portfolio (1)(2)(3)</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units</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3,369</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w:t>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96.8 </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Comparable Properties (1)</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units</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w:t>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98.3 </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2"/>
        <w:gridCol w:w="177"/>
        <w:gridCol w:w="178"/>
        <w:gridCol w:w="2993"/>
        <w:gridCol w:w="2751"/>
        <w:gridCol w:w="3904"/>
      </w:tblGrid>
      <w:tr>
        <w:trPr/>
        <w:tc>
          <w:tcPr>
            <w:tcW w:w="2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993"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3904" w:type="dxa"/>
            <w:tcBorders/>
            <w:vAlign w:val="center"/>
          </w:tcPr>
          <w:p>
            <w:pPr>
              <w:pStyle w:val="TableContents"/>
              <w:bidi w:val="0"/>
              <w:spacing w:before="0" w:after="283"/>
              <w:jc w:val="left"/>
              <w:rPr>
                <w:sz w:val="4"/>
                <w:szCs w:val="4"/>
              </w:rPr>
            </w:pPr>
            <w:r>
              <w:rPr>
                <w:sz w:val="4"/>
                <w:szCs w:val="4"/>
              </w:rPr>
            </w:r>
          </w:p>
        </w:tc>
      </w:tr>
      <w:tr>
        <w:trPr/>
        <w:tc>
          <w:tcPr>
            <w:tcW w:w="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w:t>
            </w:r>
          </w:p>
        </w:tc>
        <w:tc>
          <w:tcPr>
            <w:tcW w:w="9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9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See Glossary of terms.</w:t>
            </w:r>
          </w:p>
        </w:tc>
      </w:tr>
      <w:tr>
        <w:trPr/>
        <w:tc>
          <w:tcPr>
            <w:tcW w:w="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9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31, 2023 statistics include our 77.7% pro-rata share of Escondido Promenade.</w:t>
            </w:r>
          </w:p>
        </w:tc>
      </w:tr>
      <w:tr>
        <w:trPr/>
        <w:tc>
          <w:tcPr>
            <w:tcW w:w="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9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Excludes redevelopment square footage and residential units not yet placed in service.</w:t>
            </w:r>
          </w:p>
        </w:tc>
      </w:tr>
      <w:tr>
        <w:trPr/>
        <w:tc>
          <w:tcPr>
            <w:tcW w:w="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9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Excludes our new residential building at Darien Commons that opened in 4Q22 and is currently in the process of being leased-up for the first time. If these units were included, our total residential units would be 3,103 at both June 30, 2023 and March 31, 2023, and our percentage leased would be 97.6% and 95.0%, respectively.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85"/>
        <w:gridCol w:w="162"/>
        <w:gridCol w:w="164"/>
        <w:gridCol w:w="109"/>
        <w:gridCol w:w="109"/>
        <w:gridCol w:w="109"/>
        <w:gridCol w:w="682"/>
        <w:gridCol w:w="576"/>
        <w:gridCol w:w="475"/>
        <w:gridCol w:w="334"/>
        <w:gridCol w:w="334"/>
        <w:gridCol w:w="336"/>
        <w:gridCol w:w="205"/>
        <w:gridCol w:w="1104"/>
        <w:gridCol w:w="114"/>
        <w:gridCol w:w="439"/>
        <w:gridCol w:w="332"/>
        <w:gridCol w:w="786"/>
        <w:gridCol w:w="479"/>
        <w:gridCol w:w="482"/>
        <w:gridCol w:w="234"/>
        <w:gridCol w:w="380"/>
        <w:gridCol w:w="273"/>
        <w:gridCol w:w="645"/>
        <w:gridCol w:w="335"/>
        <w:gridCol w:w="335"/>
        <w:gridCol w:w="487"/>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Summary of Top 25 Tenants</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June 30, 2023</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Rank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Tenant Name</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Credit Ratings </w:t>
              <w:br/>
              <w:t>(S&amp;P/Moody's/Fitch) (1)</w:t>
            </w:r>
          </w:p>
        </w:tc>
        <w:tc>
          <w:tcPr>
            <w:tcW w:w="14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Annualized Base Rent</w:t>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Percentage of Total Annualized Base Rent (3)</w:t>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Tenant GLA</w:t>
            </w:r>
          </w:p>
        </w:tc>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Percentage of Total GLA (3)</w:t>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Number of Locations Leased</w:t>
            </w:r>
          </w:p>
        </w:tc>
      </w:tr>
      <w:tr>
        <w:trPr/>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TJX Companies, The</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 / A2 / NR</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23,010,000 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2.70 </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1,130,000 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3.92 </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Ahold Delhaize</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Baa1 / NR</w:t>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14,885,000 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776,000 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2.69 </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NetApp, Inc.</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Baa2 / NR</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14,769,000 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304,000 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Splunk, Inc.</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NR / NR / NR</w:t>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12,271,000 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235,000 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0.81 </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CVS Corporation</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Baa2 / NR</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11,172,000 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288,000 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Gap, Inc., The</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 / Ba3 / NR</w:t>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11,013,000 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320,000 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 Fitness International LLC</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 / B3 / NR</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10,807,000 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415,000 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Albertsons Companies Inc. (Acme, Balducci's, Safeway)</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 / Ba2 / NR</w:t>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8,455,000 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0.99 </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568,000 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Ross Stores, Inc.</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A2 / NR</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7,554,000 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0.89 </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365,000 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Home Depot, Inc.</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 / A2 / A</w:t>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7,386,000 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0.87 </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478,000 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Kroger Co., The</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Baa1 / NR</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7,166,000 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0.84 </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611,000 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Entertainment Inc.</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CCC+ / Caa2 / NR</w:t>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7,105,000 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0.83 </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283,000 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0.98 </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PUMA North America, Inc.</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NR / NR / NR</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6,813,000 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0.80 </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0.54 </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Bank of America, N.A.</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 / A1 / AA-</w:t>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0.76 </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0.38 </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Dick's Sporting Goods, Inc.</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Baa3 / NR</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6,389,000 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0.75 </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289,000 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Target Corporation</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 / A2 / A</w:t>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0.74 </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627,000 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Ulta Beauty, Inc.</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NR / NR / NR</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0.69 </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171,000 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0.59 </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Michaels Stores, Inc.</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 / B3 / NR</w:t>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5,774,000 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0.68 </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316,000 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Wells Fargo Bank, N.A.</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A1 / A+</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5,182,000 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0.61 </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0.23 </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Hudson's Bay Company (Saks)</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NR / NR / NR</w:t>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5,155,000 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0.61 </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0.35 </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Whole Foods Market, Inc.</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AA- / A1 / NR</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5,016,000 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0.59 </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167,000 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0.58 </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Starbucks Corporation</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Baa1 / NR</w:t>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4,935,000 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0.58 </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0.25 </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Bed, Bath &amp; Beyond, Inc.</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NR / NR / NR</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4,906,000 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0.58 </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323,000 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JPMorgan Chase Bank</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 / A1 / AA-</w:t>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4,893,000 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0.57 </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0.27 </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DSW, Inc</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NR / NR / NR</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4,869,000 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0.57 </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215,000 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0.75 </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Totals - Top 25 Tenants</w:t>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208,155,000 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24.45 </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8,463,000 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29.35 </w:t>
            </w:r>
          </w:p>
        </w:tc>
        <w:tc>
          <w:tcPr>
            <w:tcW w:w="6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(5):</w:t>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851,253,000 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28,838,000 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w:t>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Ratings are as of June 30, 2023. Subsequent rating changes have not been reflected.</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See Glossary of Terms.</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Individual items may not add up to total due to rounding.</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Excludes redevelopment square footage not yet placed in service.</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Totals reflect both the commercial and residential portions of our properties.</w:t>
            </w:r>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7634" w:type="dxa"/>
            <w:gridSpan w:val="18"/>
            <w:tcBorders/>
          </w:tcPr>
          <w:p>
            <w:pPr>
              <w:pStyle w:val="TableContents"/>
              <w:bidi w:val="0"/>
              <w:spacing w:before="0" w:after="283"/>
              <w:jc w:val="left"/>
              <w:rPr>
                <w:sz w:val="4"/>
                <w:szCs w:val="4"/>
              </w:rPr>
            </w:pPr>
            <w:r>
              <w:rPr>
                <w:sz w:val="4"/>
                <w:szCs w:val="4"/>
              </w:rPr>
            </w:r>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7634" w:type="dxa"/>
            <w:gridSpan w:val="18"/>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tbl>
      <w:tblPr>
        <w:tblW w:w="365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7"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3657"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FFO Guidance</w:t>
            </w:r>
          </w:p>
        </w:tc>
      </w:tr>
      <w:tr>
        <w:trPr/>
        <w:tc>
          <w:tcPr>
            <w:tcW w:w="3657"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June 30, 2023</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range of estimated earnings per diluted share to estimated FFO per diluted share for the full year 2023. Estimates do not include the impact from potential acquisitions or dispositions which have not closed as of July 31, 2023.</w:t>
      </w:r>
    </w:p>
    <w:p>
      <w:pPr>
        <w:pStyle w:val="TextBody"/>
        <w:bidi w:val="0"/>
        <w:spacing w:before="0" w:after="0"/>
        <w:jc w:val="left"/>
        <w:rPr/>
      </w:pPr>
      <w:r>
        <w:rPr/>
      </w:r>
    </w:p>
    <w:p>
      <w:pPr>
        <w:pStyle w:val="TextBody"/>
        <w:bidi w:val="0"/>
        <w:spacing w:before="0" w:after="0"/>
        <w:jc w:val="left"/>
        <w:rPr/>
      </w:pPr>
      <w:r>
        <w:rPr/>
      </w:r>
    </w:p>
    <w:tbl>
      <w:tblPr>
        <w:tblW w:w="8996" w:type="dxa"/>
        <w:jc w:val="left"/>
        <w:tblInd w:w="0" w:type="dxa"/>
        <w:tblLayout w:type="fixed"/>
        <w:tblCellMar>
          <w:top w:w="28" w:type="dxa"/>
          <w:left w:w="28" w:type="dxa"/>
          <w:bottom w:w="28" w:type="dxa"/>
          <w:right w:w="28" w:type="dxa"/>
        </w:tblCellMar>
      </w:tblPr>
      <w:tblGrid>
        <w:gridCol w:w="2224"/>
        <w:gridCol w:w="1950"/>
        <w:gridCol w:w="1960"/>
        <w:gridCol w:w="297"/>
        <w:gridCol w:w="720"/>
        <w:gridCol w:w="153"/>
        <w:gridCol w:w="153"/>
        <w:gridCol w:w="153"/>
        <w:gridCol w:w="153"/>
        <w:gridCol w:w="297"/>
        <w:gridCol w:w="720"/>
        <w:gridCol w:w="216"/>
      </w:tblGrid>
      <w:tr>
        <w:trPr/>
        <w:tc>
          <w:tcPr>
            <w:tcW w:w="2224"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Full Year 2023 Guidance Range</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Low</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High</w:t>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net income available to common shareholders, per diluted share</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gain on sale of real estate, net</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depreciation and amortization</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FFO per diluted share</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Glossary of Terms. Individual items may not add up to total due to rounding.</w:t>
      </w:r>
    </w:p>
    <w:p>
      <w:pPr>
        <w:pStyle w:val="TextBody"/>
        <w:bidi w:val="0"/>
        <w:spacing w:before="0" w:after="0"/>
        <w:jc w:val="left"/>
        <w:rPr/>
      </w:pPr>
      <w:r>
        <w:rPr/>
      </w:r>
    </w:p>
    <w:p>
      <w:pPr>
        <w:pStyle w:val="TextBody"/>
        <w:bidi w:val="0"/>
        <w:spacing w:before="0" w:after="0"/>
        <w:jc w:val="left"/>
        <w:rPr/>
      </w:pPr>
      <w:r>
        <w:rPr/>
      </w:r>
    </w:p>
    <w:tbl>
      <w:tblPr>
        <w:tblW w:w="8504" w:type="dxa"/>
        <w:jc w:val="left"/>
        <w:tblInd w:w="0" w:type="dxa"/>
        <w:tblLayout w:type="fixed"/>
        <w:tblCellMar>
          <w:top w:w="28" w:type="dxa"/>
          <w:left w:w="28" w:type="dxa"/>
          <w:bottom w:w="28" w:type="dxa"/>
          <w:right w:w="28" w:type="dxa"/>
        </w:tblCellMar>
      </w:tblPr>
      <w:tblGrid>
        <w:gridCol w:w="2175"/>
        <w:gridCol w:w="1908"/>
        <w:gridCol w:w="1917"/>
        <w:gridCol w:w="731"/>
        <w:gridCol w:w="731"/>
        <w:gridCol w:w="1042"/>
      </w:tblGrid>
      <w:tr>
        <w:trPr/>
        <w:tc>
          <w:tcPr>
            <w:tcW w:w="2175"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Guidance Assumptions (1):</w:t>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Comparable properties growth</w:t>
            </w:r>
          </w:p>
        </w:tc>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- 4%</w:t>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Comparable properties growth excluding prior period rents and term fees</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- 5%</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redevelopment/expansion POI (2)</w:t>
            </w:r>
          </w:p>
        </w:tc>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$16 - $19 million</w:t>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$51 - $54 million (annual)</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Dispositions POI</w:t>
            </w:r>
          </w:p>
        </w:tc>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million</w:t>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Development/redevelopment capital</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$175 - $200 million (annual)</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to be issued</w:t>
            </w:r>
          </w:p>
        </w:tc>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$100 - $125 million (annual)</w:t>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$20 - $22 million (annual)</w:t>
            </w:r>
          </w:p>
        </w:tc>
      </w:tr>
    </w:tbl>
    <w:p>
      <w:pPr>
        <w:pStyle w:val="TextBody"/>
        <w:bidi w:val="0"/>
        <w:spacing w:lineRule="auto" w:line="288" w:before="1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Notes:</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(1)Does not assume any material changes of tenants moving to or from a cash basis of accounting.</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(2)Includes the expected additional POI to be recognized in 2023 compared to the amount recognized in 2022 from all of the redevelopments listed on pages 16 and 17 of our supplemental information document filed on Form 8-K on February 8, 2023. Does not include any additional POI from "Active Property Improvement Projects."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140"/>
        <w:jc w:val="center"/>
        <w:rPr>
          <w:rFonts w:ascii="Times New Roman;sans-serif" w:hAnsi="Times New Roman;sans-serif"/>
          <w:b/>
          <w:color w:val="000000"/>
          <w:sz w:val="20"/>
        </w:rPr>
      </w:pPr>
      <w:r>
        <w:rPr>
          <w:rFonts w:ascii="Times New Roman;sans-serif" w:hAnsi="Times New Roman;sans-serif"/>
          <w:b/>
          <w:color w:val="000000"/>
          <w:sz w:val="20"/>
        </w:rPr>
        <w:t>Glossary of Terms</w:t>
      </w:r>
    </w:p>
    <w:p>
      <w:pPr>
        <w:pStyle w:val="TextBody"/>
        <w:bidi w:val="0"/>
        <w:spacing w:lineRule="auto" w:line="288" w:before="0" w:after="0"/>
        <w:jc w:val="left"/>
        <w:rPr/>
      </w:pPr>
      <w:r>
        <w:rPr>
          <w:rFonts w:ascii="Times New Roman;sans-serif" w:hAnsi="Times New Roman;sans-serif"/>
          <w:b/>
          <w:color w:val="000000"/>
          <w:sz w:val="18"/>
        </w:rPr>
        <w:t>EBITDA for Real Estate ("EBITDAre"):</w:t>
      </w:r>
      <w:r>
        <w:rPr>
          <w:color w:val="000000"/>
        </w:rPr>
        <w:t xml:space="preserve"> </w:t>
      </w:r>
      <w:r>
        <w:rPr>
          <w:rFonts w:ascii="Times New Roman;sans-serif" w:hAnsi="Times New Roman;sans-serif"/>
          <w:b w:val="false"/>
          <w:color w:val="000000"/>
          <w:sz w:val="18"/>
        </w:rPr>
        <w:t>EBITDAre is a non-GAAP measure that the National Association of Real Estate Investment Trusts ("NAREIT") defines as: net income computed in accordance with GAAP plus net interest expense, income tax expense, depreciation and amortization, gain or loss on sale of real estate, impairments of real estate and change in control of interest, and adjustments to reflect the entity's share of EBITDAre of unconsolidated affiliates. We calculate EBITDAre consistent with the NAREIT definition. As EBITDA is a widely known and understood measure of performance, management believes EBITDAre represents an additional non-GAAP performance measure, independent of a company's capital structure, that will provide investors with a uniform basis to measure the enterprise value of a company. EBITDAre also approximates a key performance measure in our debt covenants, but it should not be considered an alternative measure of operating results or cash flow from operations as determined in accordance with GAAP. The reconciliation of net income to EBITDAre for the three and six months ended June 30, 2023 and 2022 is as follows:</w:t>
      </w:r>
    </w:p>
    <w:tbl>
      <w:tblPr>
        <w:tblW w:w="9412" w:type="dxa"/>
        <w:jc w:val="center"/>
        <w:tblInd w:w="0" w:type="dxa"/>
        <w:tblLayout w:type="fixed"/>
        <w:tblCellMar>
          <w:top w:w="28" w:type="dxa"/>
          <w:left w:w="28" w:type="dxa"/>
          <w:bottom w:w="28" w:type="dxa"/>
          <w:right w:w="28" w:type="dxa"/>
        </w:tblCellMar>
      </w:tblPr>
      <w:tblGrid>
        <w:gridCol w:w="1448"/>
        <w:gridCol w:w="1276"/>
        <w:gridCol w:w="1280"/>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54"/>
      </w:tblGrid>
      <w:tr>
        <w:trPr/>
        <w:tc>
          <w:tcPr>
            <w:tcW w:w="144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Gain on sale of real estate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of EBITDAre of unconsolidated affiliates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EBITDAre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185,516 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171,609 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362,293 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330,689 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100" w:after="283"/>
        <w:jc w:val="left"/>
        <w:rPr/>
      </w:pPr>
      <w:r>
        <w:rPr>
          <w:rFonts w:ascii="Times New Roman;sans-serif" w:hAnsi="Times New Roman;sans-serif"/>
          <w:b/>
          <w:color w:val="000000"/>
          <w:sz w:val="18"/>
        </w:rPr>
        <w:t>Funds From Operations (FFO):</w:t>
      </w:r>
      <w:r>
        <w:rPr>
          <w:color w:val="000000"/>
        </w:rPr>
        <w:t xml:space="preserve"> </w:t>
      </w:r>
      <w:r>
        <w:rPr>
          <w:rFonts w:ascii="Times New Roman;sans-serif" w:hAnsi="Times New Roman;sans-serif"/>
          <w:b w:val="false"/>
          <w:color w:val="000000"/>
          <w:sz w:val="18"/>
        </w:rPr>
        <w:t xml:space="preserve">FFO is a supplemental measure of real estate companies' operating performances. NAREIT defines FFO as follows: net income, computed in accordance with GAAP plus real estate related depreciation and amortization,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 </w:t>
      </w:r>
    </w:p>
    <w:p>
      <w:pPr>
        <w:pStyle w:val="TextBody"/>
        <w:bidi w:val="0"/>
        <w:spacing w:lineRule="auto" w:line="288" w:before="140" w:after="283"/>
        <w:jc w:val="left"/>
        <w:rPr/>
      </w:pPr>
      <w:r>
        <w:rPr>
          <w:rFonts w:ascii="Times New Roman;sans-serif" w:hAnsi="Times New Roman;sans-serif"/>
          <w:b/>
          <w:color w:val="000000"/>
          <w:sz w:val="18"/>
        </w:rPr>
        <w:t xml:space="preserve">Property Operating Income: </w:t>
      </w:r>
      <w:r>
        <w:rPr>
          <w:rFonts w:ascii="Times New Roman;sans-serif" w:hAnsi="Times New Roman;sans-serif"/>
          <w:b w:val="false"/>
          <w:color w:val="000000"/>
          <w:sz w:val="18"/>
        </w:rPr>
        <w:t>Rental income and mortgage interest income, less rental expenses and real estate taxes.</w:t>
      </w:r>
    </w:p>
    <w:p>
      <w:pPr>
        <w:pStyle w:val="TextBody"/>
        <w:bidi w:val="0"/>
        <w:spacing w:lineRule="auto" w:line="288" w:before="140" w:after="283"/>
        <w:jc w:val="left"/>
        <w:rPr/>
      </w:pPr>
      <w:r>
        <w:rPr>
          <w:rFonts w:ascii="Times New Roman;sans-serif" w:hAnsi="Times New Roman;sans-serif"/>
          <w:b/>
          <w:color w:val="000000"/>
          <w:sz w:val="18"/>
        </w:rPr>
        <w:t>Overall Portfolio:</w:t>
      </w:r>
      <w:r>
        <w:rPr>
          <w:color w:val="000000"/>
        </w:rPr>
        <w:t xml:space="preserve"> </w:t>
      </w:r>
      <w:r>
        <w:rPr>
          <w:rFonts w:ascii="Times New Roman;sans-serif" w:hAnsi="Times New Roman;sans-serif"/>
          <w:b w:val="false"/>
          <w:color w:val="000000"/>
          <w:sz w:val="18"/>
        </w:rPr>
        <w:t>Includes all operating properties owned in reporting period.</w:t>
      </w:r>
    </w:p>
    <w:p>
      <w:pPr>
        <w:pStyle w:val="TextBody"/>
        <w:bidi w:val="0"/>
        <w:spacing w:lineRule="auto" w:line="288" w:before="140" w:after="283"/>
        <w:jc w:val="left"/>
        <w:rPr/>
      </w:pPr>
      <w:r>
        <w:rPr>
          <w:rFonts w:ascii="Times New Roman;sans-serif" w:hAnsi="Times New Roman;sans-serif"/>
          <w:b/>
          <w:color w:val="000000"/>
          <w:sz w:val="18"/>
        </w:rPr>
        <w:t xml:space="preserve">Comparable Properties: </w:t>
      </w:r>
      <w:r>
        <w:rPr>
          <w:rFonts w:ascii="Times New Roman;sans-serif" w:hAnsi="Times New Roman;sans-serif"/>
          <w:b w:val="false"/>
          <w:color w:val="000000"/>
          <w:sz w:val="18"/>
        </w:rPr>
        <w:t xml:space="preserve">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Comparable property growth statistics are calculated on a GAAP basis. </w:t>
      </w:r>
    </w:p>
    <w:p>
      <w:pPr>
        <w:pStyle w:val="TextBody"/>
        <w:bidi w:val="0"/>
        <w:spacing w:lineRule="auto" w:line="288" w:before="140" w:after="283"/>
        <w:jc w:val="left"/>
        <w:rPr/>
      </w:pPr>
      <w:r>
        <w:rPr>
          <w:rFonts w:ascii="Times New Roman;sans-serif" w:hAnsi="Times New Roman;sans-serif"/>
          <w:b/>
          <w:color w:val="000000"/>
          <w:sz w:val="18"/>
        </w:rPr>
        <w:t xml:space="preserve">Annualized Base Rent (ABR): </w:t>
      </w:r>
      <w:r>
        <w:rPr>
          <w:rFonts w:ascii="Times New Roman;sans-serif" w:hAnsi="Times New Roman;sans-serif"/>
          <w:b w:val="false"/>
          <w:color w:val="000000"/>
          <w:sz w:val="18"/>
        </w:rPr>
        <w:t xml:space="preserve">Represents aggregate, annualized in-place contractual (defined as rents billed on a cash basis without taking the impact of rent abatements into account) minimum rent for all occupied spaces as of the reporting period. </w:t>
      </w:r>
    </w:p>
    <w:p>
      <w:pPr>
        <w:pStyle w:val="TextBody"/>
        <w:bidi w:val="0"/>
        <w:spacing w:lineRule="auto" w:line="288" w:before="140" w:after="283"/>
        <w:jc w:val="left"/>
        <w:rPr/>
      </w:pPr>
      <w:r>
        <w:rPr>
          <w:rFonts w:ascii="Times New Roman;sans-serif" w:hAnsi="Times New Roman;sans-serif"/>
          <w:b/>
          <w:color w:val="000000"/>
          <w:sz w:val="18"/>
        </w:rPr>
        <w:t xml:space="preserve">Retail Leasing Summary - Lease Rollover Calculation: </w:t>
      </w:r>
      <w:r>
        <w:rPr>
          <w:rFonts w:ascii="Times New Roman;sans-serif" w:hAnsi="Times New Roman;sans-serif"/>
          <w:b w:val="false"/>
          <w:color w:val="000000"/>
          <w:sz w:val="18"/>
        </w:rPr>
        <w:t>The rental increases associated with comparable spaces generally include all leases signed for retail space in arms-length transactions reflecting market leverage between landlords and tenants during the period. The comparison between the rent for expiring leases and new leases is determined by including contractual rent on the expiring lease, including percentage rent, and the comparable annual rent and in some instances, projections of percentage rent, to be paid on the new lease. In atypical circumstances, management may exercise judgement as to how to most effectively reflect the comparability of rents reported in the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w:t>
      </w:r>
    </w:p>
    <w:p>
      <w:pPr>
        <w:pStyle w:val="TextBody"/>
        <w:bidi w:val="0"/>
        <w:spacing w:lineRule="auto" w:line="288" w:before="140" w:after="283"/>
        <w:jc w:val="left"/>
        <w:rPr/>
      </w:pPr>
      <w:r>
        <w:rPr>
          <w:rFonts w:ascii="Times New Roman;sans-serif" w:hAnsi="Times New Roman;sans-serif"/>
          <w:b/>
          <w:color w:val="000000"/>
          <w:sz w:val="18"/>
        </w:rPr>
        <w:t xml:space="preserve">Tenant Improvements and Incentives: </w:t>
      </w:r>
      <w:r>
        <w:rPr>
          <w:rFonts w:ascii="Times New Roman;sans-serif" w:hAnsi="Times New Roman;sans-serif"/>
          <w:b w:val="false"/>
          <w:color w:val="000000"/>
          <w:sz w:val="18"/>
        </w:rPr>
        <w:t>Represents the total dollars committed for the improvement (fit-out) of a space as it relates to a specific lease. Incentives include amounts paid to tenants as an inducement to sign a lease that do not represent building improvements.</w:t>
      </w:r>
    </w:p>
    <w:p>
      <w:pPr>
        <w:pStyle w:val="TextBody"/>
        <w:bidi w:val="0"/>
        <w:spacing w:lineRule="auto" w:line="288" w:before="140" w:after="283"/>
        <w:jc w:val="left"/>
        <w:rPr/>
      </w:pPr>
      <w:r>
        <w:rPr>
          <w:rFonts w:ascii="Times New Roman;sans-serif" w:hAnsi="Times New Roman;sans-serif"/>
          <w:b/>
          <w:color w:val="000000"/>
          <w:sz w:val="18"/>
        </w:rPr>
        <w:t>General:</w:t>
      </w:r>
      <w:r>
        <w:rPr>
          <w:color w:val="000000"/>
        </w:rPr>
        <w:t xml:space="preserve"> </w:t>
      </w:r>
      <w:r>
        <w:rPr>
          <w:rFonts w:ascii="Times New Roman;sans-serif" w:hAnsi="Times New Roman;sans-serif"/>
          <w:b w:val="false"/>
          <w:color w:val="000000"/>
          <w:sz w:val="18"/>
        </w:rPr>
        <w:t xml:space="preserve">Property related statistics are the for the consolidated property portfolio except where noted. </w:t>
      </w:r>
    </w:p>
    <w:p>
      <w:pPr>
        <w:pStyle w:val="TextBody"/>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13045</Words>
  <Characters>69981</Characters>
  <CharactersWithSpaces>80755</CharactersWithSpaces>
  <Paragraphs>3996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