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1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ans-serif" w:hAnsi="Times New Roman;sans-serif"/>
          <w:b/>
          <w:color w:val="000000"/>
          <w:sz w:val="22"/>
        </w:rPr>
        <w:t>Date of Report (Date of earliest event reported) May 8, 2025</w:t>
      </w:r>
      <w:r>
        <w:rPr>
          <w:color w:val="000000"/>
        </w:rPr>
        <w:t xml:space="preserve"> </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Federal Realty Investment Trust</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 xml:space="preserve">Federal Realty OP LP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301/998-8100 </w:t>
      </w:r>
    </w:p>
    <w:p>
      <w:pPr>
        <w:pStyle w:val="TextBody"/>
        <w:bidi w:val="0"/>
        <w:spacing w:lineRule="auto" w:line="288"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18"/>
        <w:gridCol w:w="1665"/>
        <w:gridCol w:w="1663"/>
        <w:gridCol w:w="448"/>
        <w:gridCol w:w="448"/>
        <w:gridCol w:w="444"/>
        <w:gridCol w:w="1057"/>
        <w:gridCol w:w="1057"/>
        <w:gridCol w:w="1505"/>
      </w:tblGrid>
      <w:tr>
        <w:trPr/>
        <w:tc>
          <w:tcPr>
            <w:tcW w:w="19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Depositary Shares, each representing 1/1000 of a 5.00%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FRT-C</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Series C Cumulative Redeemable Preferred Stock, $.01 par value per share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OP LP</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On May 8, 2025, Federal Realty Investment Trust issued supplemental data pertaining to its operations, as well as a press release, to report its financial results for the quarter ended March 31, 2025. The supplemental data and press release are furnished as Exhibit 99.1 hereto.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Item 9.01.</w:t>
      </w:r>
      <w:r>
        <w:rPr>
          <w:color w:val="000000"/>
        </w:rPr>
        <w:t xml:space="preserve">     </w:t>
      </w:r>
      <w:r>
        <w:rPr>
          <w:rFonts w:ascii="Times New Roman;sans-serif" w:hAnsi="Times New Roman;sans-serif"/>
          <w:b/>
          <w:color w:val="000000"/>
          <w:sz w:val="24"/>
        </w:rPr>
        <w:t>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ans-serif" w:hAnsi="Times New Roman;sans-serif"/>
          <w:b w:val="false"/>
          <w:color w:val="000000"/>
          <w:sz w:val="24"/>
        </w:rPr>
        <w:t>99.1</w:t>
      </w:r>
      <w:r>
        <w:rPr>
          <w:color w:val="000000"/>
        </w:rPr>
        <w:t>    </w:t>
      </w:r>
      <w:r>
        <w:rPr>
          <w:rFonts w:ascii="Times New Roman;sans-serif" w:hAnsi="Times New Roman;sans-serif"/>
          <w:b w:val="false"/>
          <w:color w:val="000000"/>
          <w:sz w:val="24"/>
        </w:rPr>
        <w:t>Supplemental information at March 31, 2025 (including press release dated May 8, 2025)</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300" w:type="dxa"/>
        <w:jc w:val="center"/>
        <w:tblInd w:w="0" w:type="dxa"/>
        <w:tblLayout w:type="fixed"/>
        <w:tblCellMar>
          <w:top w:w="28" w:type="dxa"/>
          <w:left w:w="28" w:type="dxa"/>
          <w:bottom w:w="28" w:type="dxa"/>
          <w:right w:w="28" w:type="dxa"/>
        </w:tblCellMar>
      </w:tblPr>
      <w:tblGrid>
        <w:gridCol w:w="228"/>
        <w:gridCol w:w="200"/>
        <w:gridCol w:w="202"/>
        <w:gridCol w:w="439"/>
        <w:gridCol w:w="439"/>
        <w:gridCol w:w="441"/>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6"/>
        <w:gridCol w:w="2476"/>
        <w:gridCol w:w="3543"/>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3312025xex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at March 31, 2025</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754" w:type="dxa"/>
        <w:jc w:val="center"/>
        <w:tblInd w:w="0" w:type="dxa"/>
        <w:tblLayout w:type="fixed"/>
        <w:tblCellMar>
          <w:top w:w="28" w:type="dxa"/>
          <w:left w:w="28" w:type="dxa"/>
          <w:bottom w:w="28" w:type="dxa"/>
          <w:right w:w="28" w:type="dxa"/>
        </w:tblCellMar>
      </w:tblPr>
      <w:tblGrid>
        <w:gridCol w:w="360"/>
        <w:gridCol w:w="317"/>
        <w:gridCol w:w="317"/>
        <w:gridCol w:w="577"/>
        <w:gridCol w:w="577"/>
        <w:gridCol w:w="577"/>
        <w:gridCol w:w="1980"/>
        <w:gridCol w:w="1980"/>
        <w:gridCol w:w="198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8760" w:type="dxa"/>
            <w:gridSpan w:val="9"/>
            <w:tcBorders/>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7">
              <w:r>
                <w:rPr>
                  <w:rStyle w:val="InternetLink"/>
                  <w:rFonts w:ascii="Times New Roman;sans-serif" w:hAnsi="Times New Roman;sans-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10">
              <w:r>
                <w:rPr>
                  <w:rStyle w:val="InternetLink"/>
                  <w:rFonts w:ascii="Times New Roman;sans-serif" w:hAnsi="Times New Roman;sans-serif"/>
                  <w:b w:val="false"/>
                  <w:color w:val="0000FF"/>
                  <w:sz w:val="20"/>
                  <w:u w:val="single"/>
                </w:rPr>
                <w:t>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13">
              <w:r>
                <w:rPr>
                  <w:rStyle w:val="InternetLink"/>
                  <w:rFonts w:ascii="Times New Roman;sans-serif" w:hAnsi="Times New Roman;sans-serif"/>
                  <w:b w:val="false"/>
                  <w:color w:val="0000FF"/>
                  <w:sz w:val="20"/>
                  <w:u w:val="single"/>
                </w:rPr>
                <w:t>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 Other Supplemental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16">
              <w:r>
                <w:rPr>
                  <w:rStyle w:val="InternetLink"/>
                  <w:rFonts w:ascii="Times New Roman;sans-serif" w:hAnsi="Times New Roman;sans-serif"/>
                  <w:b w:val="false"/>
                  <w:color w:val="0000FF"/>
                  <w:sz w:val="20"/>
                  <w:u w:val="single"/>
                </w:rPr>
                <w:t>9</w:t>
              </w:r>
            </w:hyperlink>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Rental Income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19">
              <w:r>
                <w:rPr>
                  <w:rStyle w:val="InternetLink"/>
                  <w:rFonts w:ascii="Times New Roman;sans-serif" w:hAnsi="Times New Roman;sans-serif"/>
                  <w:b w:val="false"/>
                  <w:color w:val="0000FF"/>
                  <w:sz w:val="20"/>
                  <w:u w:val="single"/>
                </w:rPr>
                <w:t>10</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Property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22">
              <w:r>
                <w:rPr>
                  <w:rStyle w:val="InternetLink"/>
                  <w:rFonts w:ascii="Times New Roman;sans-serif" w:hAnsi="Times New Roman;sans-serif"/>
                  <w:b w:val="false"/>
                  <w:color w:val="0000FF"/>
                  <w:sz w:val="20"/>
                  <w:u w:val="single"/>
                </w:rPr>
                <w:t>11</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Debt Metrics, and Senior Notes and Debentures Covenants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25">
              <w:r>
                <w:rPr>
                  <w:rStyle w:val="InternetLink"/>
                  <w:rFonts w:ascii="Times New Roman;sans-serif" w:hAnsi="Times New Roman;sans-serif"/>
                  <w:b w:val="false"/>
                  <w:color w:val="0000FF"/>
                  <w:sz w:val="20"/>
                  <w:u w:val="single"/>
                </w:rPr>
                <w:t>12</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Outstanding Debt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28">
              <w:r>
                <w:rPr>
                  <w:rStyle w:val="InternetLink"/>
                  <w:rFonts w:ascii="Times New Roman;sans-serif" w:hAnsi="Times New Roman;sans-serif"/>
                  <w:b w:val="false"/>
                  <w:color w:val="0000FF"/>
                  <w:sz w:val="20"/>
                  <w:u w:val="single"/>
                </w:rPr>
                <w:t>13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 Maturities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31">
              <w:r>
                <w:rPr>
                  <w:rStyle w:val="InternetLink"/>
                  <w:rFonts w:ascii="Times New Roman;sans-serif" w:hAnsi="Times New Roman;sans-serif"/>
                  <w:b w:val="false"/>
                  <w:color w:val="0000FF"/>
                  <w:sz w:val="20"/>
                  <w:u w:val="single"/>
                </w:rPr>
                <w:t>14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34">
              <w:r>
                <w:rPr>
                  <w:rStyle w:val="InternetLink"/>
                  <w:rFonts w:ascii="Times New Roman;sans-serif" w:hAnsi="Times New Roman;sans-serif"/>
                  <w:b w:val="false"/>
                  <w:color w:val="0000FF"/>
                  <w:sz w:val="20"/>
                  <w:u w:val="single"/>
                </w:rPr>
                <w:t>15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37">
              <w:r>
                <w:rPr>
                  <w:rStyle w:val="InternetLink"/>
                  <w:rFonts w:ascii="Times New Roman;sans-serif" w:hAnsi="Times New Roman;sans-serif"/>
                  <w:b w:val="false"/>
                  <w:color w:val="0000FF"/>
                  <w:sz w:val="20"/>
                  <w:u w:val="single"/>
                </w:rPr>
                <w:t>16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Transactions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40">
              <w:r>
                <w:rPr>
                  <w:rStyle w:val="InternetLink"/>
                  <w:rFonts w:ascii="Times New Roman;sans-serif" w:hAnsi="Times New Roman;sans-serif"/>
                  <w:b w:val="false"/>
                  <w:color w:val="0000FF"/>
                  <w:sz w:val="20"/>
                  <w:u w:val="single"/>
                </w:rPr>
                <w:t>17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Status Report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43">
              <w:r>
                <w:rPr>
                  <w:rStyle w:val="InternetLink"/>
                  <w:rFonts w:ascii="Times New Roman;sans-serif" w:hAnsi="Times New Roman;sans-serif"/>
                  <w:b w:val="false"/>
                  <w:color w:val="0000FF"/>
                  <w:sz w:val="20"/>
                  <w:u w:val="single"/>
                </w:rPr>
                <w:t>18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Leasing Summary</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46">
              <w:r>
                <w:rPr>
                  <w:rStyle w:val="InternetLink"/>
                  <w:rFonts w:ascii="Times New Roman;sans-serif" w:hAnsi="Times New Roman;sans-serif"/>
                  <w:b w:val="false"/>
                  <w:color w:val="0000FF"/>
                  <w:sz w:val="20"/>
                  <w:u w:val="single"/>
                </w:rPr>
                <w:t>22</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Expirations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49">
              <w:r>
                <w:rPr>
                  <w:rStyle w:val="InternetLink"/>
                  <w:rFonts w:ascii="Times New Roman;sans-serif" w:hAnsi="Times New Roman;sans-serif"/>
                  <w:b w:val="false"/>
                  <w:color w:val="0000FF"/>
                  <w:sz w:val="20"/>
                  <w:u w:val="single"/>
                </w:rPr>
                <w:t>23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Leased Statistics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52">
              <w:r>
                <w:rPr>
                  <w:rStyle w:val="InternetLink"/>
                  <w:rFonts w:ascii="Times New Roman;sans-serif" w:hAnsi="Times New Roman;sans-serif"/>
                  <w:b w:val="false"/>
                  <w:color w:val="0000FF"/>
                  <w:sz w:val="20"/>
                  <w:u w:val="single"/>
                </w:rPr>
                <w:t>24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Top 25 Tenants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55">
              <w:r>
                <w:rPr>
                  <w:rStyle w:val="InternetLink"/>
                  <w:rFonts w:ascii="Times New Roman;sans-serif" w:hAnsi="Times New Roman;sans-serif"/>
                  <w:b w:val="false"/>
                  <w:color w:val="0000FF"/>
                  <w:sz w:val="20"/>
                  <w:u w:val="single"/>
                </w:rPr>
                <w:t>25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FFO Guidance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58">
              <w:r>
                <w:rPr>
                  <w:rStyle w:val="InternetLink"/>
                  <w:rFonts w:ascii="Times New Roman;sans-serif" w:hAnsi="Times New Roman;sans-serif"/>
                  <w:b w:val="false"/>
                  <w:color w:val="0000FF"/>
                  <w:sz w:val="20"/>
                  <w:u w:val="single"/>
                </w:rPr>
                <w:t>26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291983c3ec4dc5b9a0ac1f1d1bbcdf_61">
              <w:r>
                <w:rPr>
                  <w:rStyle w:val="InternetLink"/>
                  <w:rFonts w:ascii="Times New Roman;sans-serif" w:hAnsi="Times New Roman;sans-serif"/>
                  <w:b w:val="false"/>
                  <w:color w:val="0000FF"/>
                  <w:sz w:val="20"/>
                  <w:u w:val="single"/>
                </w:rPr>
                <w:t>27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 Rose Avenue, Suite 200</w:t>
            </w:r>
          </w:p>
        </w:tc>
      </w:tr>
      <w:tr>
        <w:trPr/>
        <w:tc>
          <w:tcPr>
            <w:tcW w:w="975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Bethesda, Maryland 20852</w:t>
            </w:r>
          </w:p>
        </w:tc>
      </w:tr>
      <w:tr>
        <w:trPr/>
        <w:tc>
          <w:tcPr>
            <w:tcW w:w="975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Safe Harbor Language</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2025,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618" w:type="dxa"/>
        <w:jc w:val="left"/>
        <w:tblInd w:w="0" w:type="dxa"/>
        <w:tblLayout w:type="fixed"/>
        <w:tblCellMar>
          <w:top w:w="28" w:type="dxa"/>
          <w:left w:w="28" w:type="dxa"/>
          <w:bottom w:w="28" w:type="dxa"/>
          <w:right w:w="28" w:type="dxa"/>
        </w:tblCellMar>
      </w:tblPr>
      <w:tblGrid>
        <w:gridCol w:w="1342"/>
        <w:gridCol w:w="1177"/>
        <w:gridCol w:w="1185"/>
        <w:gridCol w:w="1145"/>
        <w:gridCol w:w="1145"/>
        <w:gridCol w:w="162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7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Jill Sawyer</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jsawyer@federalrealty.com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Reports First Quarter 2025 Results</w:t>
      </w:r>
    </w:p>
    <w:p>
      <w:pPr>
        <w:pStyle w:val="TextBody"/>
        <w:bidi w:val="0"/>
        <w:spacing w:lineRule="auto" w:line="417" w:before="0" w:after="160"/>
        <w:jc w:val="left"/>
        <w:rPr/>
      </w:pPr>
      <w:r>
        <w:rPr>
          <w:rFonts w:ascii="Arial;sans-serif" w:hAnsi="Arial;sans-serif"/>
          <w:b w:val="false"/>
          <w:color w:val="000000"/>
          <w:sz w:val="20"/>
        </w:rPr>
        <w:t xml:space="preserve">NORTH BETHESDA, Md. (May 8, 2025) - </w:t>
      </w:r>
      <w:r>
        <w:rPr>
          <w:rFonts w:ascii="Arial;sans-serif" w:hAnsi="Arial;sans-serif"/>
          <w:b w:val="false"/>
          <w:color w:val="000000"/>
          <w:sz w:val="20"/>
          <w:u w:val="single"/>
        </w:rPr>
        <w:t>Federal Realty Investment Trust</w:t>
      </w:r>
      <w:r>
        <w:rPr>
          <w:color w:val="000000"/>
        </w:rPr>
        <w:t xml:space="preserve"> </w:t>
      </w:r>
      <w:r>
        <w:rPr>
          <w:rFonts w:ascii="Arial;sans-serif" w:hAnsi="Arial;sans-serif"/>
          <w:b w:val="false"/>
          <w:color w:val="000000"/>
          <w:sz w:val="20"/>
        </w:rPr>
        <w:t>(NYSE:FRT) today reported its results for the first quarter ended March 31, 2025. For the three months ended March 31, 2025 and 2024, net income available for common shareholders was $0.72 per diluted share and $0.66 per diluted share, respectively. Operating income for the same periods was $108.1 million and $100.2 million, respectively.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Highlights for the first quarter and subsequent to quarter-end include: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Generated funds from operations available to common shareholders (FFO) per diluted share of $1.70 for the quarter, compared to $1.64 for the first quarter of 2024.</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Generated comparable property operating income (POI) growth of 2.8%, excluding lease termination fees and prior period rents collected.</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Reported comparable portfolio occupancy of 93.6% and a leased rate of 95.9% at quarter end, representing a change of:</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+180 basis points of occupancy and +160 basis points of leased rate year-over-year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-10 basis points of occupancy and -20 basis points of leased rate quarter-over-quarter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Continued strong small shop leased rate, ending the quarter at 93.5% leased representing an increase of +210 basis points year-over-year.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Extended our $600 million unsecured term loan maturity date to March 2028, plus 2 one-year extension options, and increased the potential size to $750 million. We ended the quarter with nearly $1.5 billion of total liquidity.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Subsequent to quarter end, announced a new common share repurchase program, under which we may purchase up to $300 million of our outstanding common shares.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Closed on our previously announced acquisition of Del Monte Shopping Center in Monterey, California. </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Maintained 2025 earnings per diluted share guidance of $3.00 to $3.12 and raised 2025 FFO per share guidance to $7.11 to $7.23, which represents 6% growth at the midpoint year-over-year.</w:t>
      </w:r>
    </w:p>
    <w:p>
      <w:pPr>
        <w:pStyle w:val="TextBody"/>
        <w:bidi w:val="0"/>
        <w:spacing w:before="0" w:after="283"/>
        <w:jc w:val="left"/>
        <w:rPr/>
      </w:pPr>
      <w:r>
        <w:rPr/>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160"/>
        <w:jc w:val="left"/>
        <w:rPr>
          <w:color w:val="000000"/>
        </w:rPr>
      </w:pPr>
      <w:r>
        <w:rPr>
          <w:color w:val="000000"/>
        </w:rPr>
        <w:t>“</w:t>
      </w:r>
      <w:r>
        <w:rPr>
          <w:rFonts w:ascii="Arial;sans-serif" w:hAnsi="Arial;sans-serif"/>
          <w:b w:val="false"/>
          <w:color w:val="000000"/>
          <w:sz w:val="20"/>
        </w:rPr>
        <w:t>We started the year with strong operating results and are encouraged to see continuing elevated foot traffic across our properties,” said Donald C. Wood, Federal Realty’s Chief Executive Officer. “Decades of experience have taught us how to insulate our portfolio against economic cycles and disruptive forces. With irreplaceable real estate and a high-quality, diverse tenant base in affluent markets, we are well positioned for continued growth and stability.”</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Financial Results</w:t>
      </w:r>
    </w:p>
    <w:p>
      <w:pPr>
        <w:pStyle w:val="TextBody"/>
        <w:bidi w:val="0"/>
        <w:spacing w:lineRule="auto" w:line="417" w:before="0" w:after="160"/>
        <w:jc w:val="left"/>
        <w:rPr/>
      </w:pPr>
      <w:r>
        <w:rPr>
          <w:rFonts w:ascii="Arial;sans-serif" w:hAnsi="Arial;sans-serif"/>
          <w:b w:val="false"/>
          <w:i/>
          <w:color w:val="000000"/>
          <w:sz w:val="20"/>
        </w:rPr>
        <w:t>Net Incom</w:t>
      </w:r>
      <w:r>
        <w:rPr>
          <w:rFonts w:ascii="Arial;sans-serif" w:hAnsi="Arial;sans-serif"/>
          <w:b w:val="false"/>
          <w:color w:val="000000"/>
          <w:sz w:val="20"/>
        </w:rPr>
        <w:t>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For the first quarter 2025, net income available for common shareholders was $61.8 million and earnings per diluted share was $0.72 versus $54.7 million and $0.66, respectively, for the first quarter 2024.</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FFO</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For the first quarter 2025, FFO was $146.5 million, or $1.70 per diluted share, compared to $136.7 million, or $1.64 per diluted share for the first quarter 2024.</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FFO is a non-GAAP supplemental earnings measure which the Trust considers meaningful in measuring its operating performance. A reconciliation of FFO to net income is attached to this press release.</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Operational Update</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Occupancy</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following operational metrics for the commercial portfolio are as of March 31, 2025:</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The comparable portfolio was 93.6% occupied, an increase of 180 basis points year-over-year and down 10 basis points sequentially.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Leased rate for the comparable portfolio was 95.9%, an increase of 160 basis points year-over-year and down 20 basis points sequentially.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Small shop leased rate was 93.5%, an increase of 210 basis points year-over-year and down 10 basis points sequentially.</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Anchor tenant leased rate was 96.8%, an increase of +100 basis points year-over-year and down 70 basis points sequentially.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The residential leased rate was 94.9% as of March 31, 2025.</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Leasing Activity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During the first quarter 2025, Federal Realty signed 91 leases for 429,865 square feet of retail space. On a comparable space basis (i.e., spaces for which there was a former tenant), Federal Realty signed 87 leases for 368,759 square feet at an average rent of $40.63 per square foot, compared to the average contractual rent of $38.51 per square foot for the last year of the prior leases, representing a cash basis rollover growth on those comparable spaces of 6%, and 17% on a straight-line basis. Comparable leases represented 96% of total comparable and non-comparable retail leases signed during the first quarter 2025.</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Acquisitions</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closed on the previously announced $123.5 million acquisition of Del Monte Shopping Center in Monterey, California on February 25, 2025.</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Financing Activity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Amended and restated our $600 million unsecured term loan, extending the maturity date to March 20, 2028 plus 2 one-year extensions, at our option. In addition, we have the right until December 20, 2025 to borrow up to an additional $150 million in the form of one or more unsecured term loans.</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Subsequent to quarter end, announced a new common share repurchase program, under which we may purchase up to $300 million of our outstanding common shares.</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Regular Quarterly Dividends</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announced today that its Board of Trustees declared a regular quarterly cash dividend of $1.10 per common share, resulting in an indicated annual rate of $4.40 per common share. The regular common dividend will be payable on July 15, 2025 to common shareholders of record as of July 1, 2025.</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July 15, 2025 to shareholders of record as of July 1, 2025.</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2025 Guidance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has raised its 2025 FFO guidance, as summarized in the table below:</w:t>
      </w:r>
    </w:p>
    <w:tbl>
      <w:tblPr>
        <w:tblW w:w="5998" w:type="dxa"/>
        <w:jc w:val="left"/>
        <w:tblInd w:w="0" w:type="dxa"/>
        <w:tblLayout w:type="fixed"/>
        <w:tblCellMar>
          <w:top w:w="28" w:type="dxa"/>
          <w:left w:w="28" w:type="dxa"/>
          <w:bottom w:w="28" w:type="dxa"/>
          <w:right w:w="28" w:type="dxa"/>
        </w:tblCellMar>
      </w:tblPr>
      <w:tblGrid>
        <w:gridCol w:w="1036"/>
        <w:gridCol w:w="912"/>
        <w:gridCol w:w="917"/>
        <w:gridCol w:w="564"/>
        <w:gridCol w:w="564"/>
        <w:gridCol w:w="566"/>
        <w:gridCol w:w="420"/>
        <w:gridCol w:w="420"/>
        <w:gridCol w:w="599"/>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 2025 Guidance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Revised Guidance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Prior Guidance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Earnings per diluted share</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$3.00 to $3.12</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$3.00 to $3.12</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FFO per diluted share</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$7.11 to $7.23</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$7.10 to $7.22</w:t>
            </w:r>
          </w:p>
        </w:tc>
      </w:tr>
    </w:tbl>
    <w:p>
      <w:pPr>
        <w:pStyle w:val="TextBody"/>
        <w:bidi w:val="0"/>
        <w:spacing w:lineRule="auto" w:line="417" w:before="160" w:after="16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Realty’s management team will present an in-depth discussion of Federal Realty’s operating performance on its first quarter 2025 earnings conference call, which is scheduled for Thursday, May 8, 2025 at 5:00 PM ET. To participate, please call 833-821-4548 or 412-652-1258 five to ten minutes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May 22, 2025 by dialing 844-512-2921 or 412-317-6671; Passcode: 10197791.</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About Federal Realty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 xml:space="preserve">Federal Realty is a recognized leader in the ownership, operation and redevelopment of high-quality retail-based properties located primarily in major coastal markets from Washington, D.C. to Boston as well as Northern and Southern California. Founded in 1962, Federal Realty’s mission is to deliver long-term, sustainable growth through investing in communities where retail demand exceeds supply. Its expertise includes creating urban, mixed-use neighborhoods like </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103 properties include approximately 3,500 tenants, in 27 million commercial square feet, and approximately 3,100 residential units.</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has increased its quarterly dividends to its shareholders for 57 consecutive years, the longest record in the REIT industry. Federal Realty is an S&amp;P 500 index member and its shares are traded on the NYSE under the symbol FRT. For additional information about Federal Realty and its properties, visit www.federalrealty.com.</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2025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8621" w:type="dxa"/>
        <w:jc w:val="center"/>
        <w:tblInd w:w="0" w:type="dxa"/>
        <w:tblLayout w:type="fixed"/>
        <w:tblCellMar>
          <w:top w:w="28" w:type="dxa"/>
          <w:left w:w="28" w:type="dxa"/>
          <w:bottom w:w="28" w:type="dxa"/>
          <w:right w:w="28" w:type="dxa"/>
        </w:tblCellMar>
      </w:tblPr>
      <w:tblGrid>
        <w:gridCol w:w="1946"/>
        <w:gridCol w:w="1706"/>
        <w:gridCol w:w="1717"/>
        <w:gridCol w:w="223"/>
        <w:gridCol w:w="875"/>
        <w:gridCol w:w="115"/>
        <w:gridCol w:w="115"/>
        <w:gridCol w:w="115"/>
        <w:gridCol w:w="115"/>
        <w:gridCol w:w="223"/>
        <w:gridCol w:w="875"/>
        <w:gridCol w:w="115"/>
        <w:gridCol w:w="109"/>
        <w:gridCol w:w="109"/>
        <w:gridCol w:w="109"/>
        <w:gridCol w:w="154"/>
      </w:tblGrid>
      <w:tr>
        <w:trPr/>
        <w:tc>
          <w:tcPr>
            <w:tcW w:w="194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Statements</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income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309,154 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202,192 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attributable to noncontrolling interests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85,472 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909"/>
        <w:gridCol w:w="1985"/>
        <w:gridCol w:w="1956"/>
        <w:gridCol w:w="222"/>
        <w:gridCol w:w="1142"/>
        <w:gridCol w:w="114"/>
        <w:gridCol w:w="114"/>
        <w:gridCol w:w="114"/>
        <w:gridCol w:w="114"/>
        <w:gridCol w:w="222"/>
        <w:gridCol w:w="1142"/>
        <w:gridCol w:w="171"/>
      </w:tblGrid>
      <w:tr>
        <w:trPr/>
        <w:tc>
          <w:tcPr>
            <w:tcW w:w="290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6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$1,817,974 and $1,825,656 of consolidated variable interest entities, respectively)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10,521,108 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10,363,961 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$18,161 and $9,939 of consolidated variable interest entities,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11,082,209 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10,903,713 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(including$434,226 and $424,044 of consolidated variable interest entities,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(3,152,799)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7,862,096 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7,750,914 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8,621,850 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$184,813 and $186,643 of consolidated variable interest entities, respectively)</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5,176,245 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5,100,327 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$0.01 par, 200,000,000 shares authorized, 86,255,005 and 85,666,220 shares issued and outstanding,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4,303,363 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4,248,824 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(1,275,769)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(1,242,654)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3,191,881 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3,171,594 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3,264,266 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8,621,850 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9088" w:type="dxa"/>
        <w:jc w:val="center"/>
        <w:tblInd w:w="0" w:type="dxa"/>
        <w:tblLayout w:type="fixed"/>
        <w:tblCellMar>
          <w:top w:w="28" w:type="dxa"/>
          <w:left w:w="28" w:type="dxa"/>
          <w:bottom w:w="28" w:type="dxa"/>
          <w:right w:w="28" w:type="dxa"/>
        </w:tblCellMar>
      </w:tblPr>
      <w:tblGrid>
        <w:gridCol w:w="1843"/>
        <w:gridCol w:w="1615"/>
        <w:gridCol w:w="1627"/>
        <w:gridCol w:w="139"/>
        <w:gridCol w:w="139"/>
        <w:gridCol w:w="139"/>
        <w:gridCol w:w="284"/>
        <w:gridCol w:w="1117"/>
        <w:gridCol w:w="146"/>
        <w:gridCol w:w="115"/>
        <w:gridCol w:w="115"/>
        <w:gridCol w:w="115"/>
        <w:gridCol w:w="223"/>
        <w:gridCol w:w="875"/>
        <w:gridCol w:w="115"/>
        <w:gridCol w:w="109"/>
        <w:gridCol w:w="109"/>
        <w:gridCol w:w="109"/>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0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 / Other Supplemental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704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Funds from Operations available for common shareholders (FFO) (1)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(2)</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146,476 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(2)(3)</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86,177 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 per diluted share (3)</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 and Payout Ratios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Regular common dividends declared</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payout ratio as a percentage of FFO</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Summary of Capital Expenditures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Non-maintenance capital expenditures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and expansions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 and incentives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non-maintenance capital expenditures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Information</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(non-cash)</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Noncontrolling Interests Supplemental Information (4)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(1)See Glossary of Terms.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(2)For the three months ended March 31, 2025 and 2024, dividends on our Series 1 preferred stock were not deducted in the calculation of FFO available to common shareholders, as the related shares were dilutive and are included in "weighted average number of common shares, diluted." </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diluted EPS.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(4)Amounts reflect the components of "net income attributable to noncontrolling interests," but excludes "income attributable to downREIT operating partnership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602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Rental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Components of Rental Income (1)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Percentage rents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lease related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impacts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283,986 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(2)Minimum rents include the following:</w:t>
      </w:r>
    </w:p>
    <w:tbl>
      <w:tblPr>
        <w:tblW w:w="5226"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40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(3)Includes lease termination fees of $1.3 million and $0.7 million for the three months ended March 31, 2025 and 2024, respectively.</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(4)For the three months ended March 31, 2025 and 2024, our collectability related impacts include the collection of approximately $0.1 million and $0.9 million, respectively, of prior period rents which were contractually deferred or payments renegotiated specifically related to the COVID-19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74"/>
        <w:gridCol w:w="1065"/>
        <w:gridCol w:w="1072"/>
        <w:gridCol w:w="392"/>
        <w:gridCol w:w="1373"/>
        <w:gridCol w:w="203"/>
        <w:gridCol w:w="203"/>
        <w:gridCol w:w="203"/>
        <w:gridCol w:w="203"/>
        <w:gridCol w:w="392"/>
        <w:gridCol w:w="1373"/>
        <w:gridCol w:w="203"/>
        <w:gridCol w:w="510"/>
        <w:gridCol w:w="203"/>
        <w:gridCol w:w="203"/>
        <w:gridCol w:w="109"/>
        <w:gridCol w:w="109"/>
        <w:gridCol w:w="109"/>
        <w:gridCol w:w="109"/>
        <w:gridCol w:w="109"/>
        <w:gridCol w:w="109"/>
        <w:gridCol w:w="109"/>
        <w:gridCol w:w="109"/>
        <w:gridCol w:w="161"/>
      </w:tblGrid>
      <w:tr>
        <w:trPr/>
        <w:tc>
          <w:tcPr>
            <w:tcW w:w="15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Federal Realty Investment Trust</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Comparable Property Information</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March 31, 2025</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Friendship Center, Grossmont Center, Huntington Shopping Center, Pike &amp; Rose Phase IV, Santana West, Willow Grove Shopping Center, and all properties acquired, disposed of, or not consolidated from Q1 2024 to Q1 2025. Comparable Property property operating income ("Comparable Property POI") is a non-GAAP measure used by management in evaluating the operating performance of our properties period over period.</w:t>
            </w:r>
          </w:p>
        </w:tc>
        <w:tc>
          <w:tcPr>
            <w:tcW w:w="1033" w:type="dxa"/>
            <w:gridSpan w:val="9"/>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Reconciliation of GAAP operating income to Comparable Property POI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income</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108,133 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100,194 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Add: </w:t>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86,946 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83,404 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sale of real estate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income (POI)</w:t>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204,783 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195,604 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Non-comparable POI - acquisitions/dispositions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(6,255)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Non-comparable POI - redevelopment, development &amp; other</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(7,690)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190,838 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185,949 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Additional information regarding the components of Comparable Property POI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Minimum rents (1)</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213,518 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207,827 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Cost reimbursements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13,666 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13,270 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Collectibility related impacts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property revenue</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285,665 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274,621 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expenses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(60,973)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(56,249)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(33,854)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(32,423)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property expenses</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(94,827)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(88,672)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190,838 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185,949 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Less: </w:t>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 termination fees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Prior period rents collected (2)</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 excluding lease termination fees and prior period rents collected</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189,461 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184,312 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Comparable Property - Summary of Capital Expenditures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Redevelopment and tenant improvements and incentives</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Maintenance capital expenditures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37,130 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40,666 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Comparable Property - Occupancy Statistics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At March 31,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GLA - comparable commercial properties</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24,491,000 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24,535,000 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Leased % - comparable commercial properties</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95.9%</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94.3%</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Occupancy % - comparable commercial properties</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93.6%</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91.8%</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17"/>
          <w:u w:val="single"/>
        </w:rPr>
      </w:pPr>
      <w:r>
        <w:rPr>
          <w:rFonts w:ascii="Times New Roman;sans-serif" w:hAnsi="Times New Roman;sans-serif"/>
          <w:b w:val="false"/>
          <w:color w:val="000000"/>
          <w:sz w:val="17"/>
          <w:u w:val="single"/>
        </w:rPr>
        <w:t>Notes:</w:t>
      </w:r>
    </w:p>
    <w:p>
      <w:pPr>
        <w:pStyle w:val="TextBody"/>
        <w:bidi w:val="0"/>
        <w:spacing w:lineRule="auto" w:line="288" w:before="0" w:after="0"/>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(1)For the three months ended March 31, 2025 and 2024, amount includes straight-line rents of $5.1 million and $3.0 million, respectively, and amortization of in-place leases of $2.3 million and $3.1 million, respectively. </w:t>
      </w:r>
    </w:p>
    <w:p>
      <w:pPr>
        <w:pStyle w:val="TextBody"/>
        <w:bidi w:val="0"/>
        <w:spacing w:lineRule="auto" w:line="288" w:before="0" w:after="0"/>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(2)Amount represents collection of prior period rents which were contractually deferred or payment renegotiated specifically related to the COVID-19 pandemic.</w:t>
      </w:r>
    </w:p>
    <w:p>
      <w:pPr>
        <w:pStyle w:val="TextBody"/>
        <w:bidi w:val="0"/>
        <w:spacing w:lineRule="auto" w:line="288" w:before="0" w:after="0"/>
        <w:ind w:left="0" w:right="0" w:hanging="720"/>
        <w:jc w:val="left"/>
        <w:rPr/>
      </w:pPr>
      <w:r>
        <w:rPr>
          <w:rFonts w:ascii="Times New Roman;sans-serif" w:hAnsi="Times New Roman;sans-serif"/>
          <w:b w:val="false"/>
          <w:color w:val="000000"/>
          <w:sz w:val="17"/>
        </w:rPr>
        <w:t xml:space="preserve">(3)See page </w:t>
      </w:r>
      <w:hyperlink w:anchor="id6291983c3ec4dc5b9a0ac1f1d1bbcdf_16">
        <w:r>
          <w:rPr>
            <w:rStyle w:val="InternetLink"/>
            <w:rFonts w:ascii="Times New Roman;sans-serif" w:hAnsi="Times New Roman;sans-serif"/>
            <w:b w:val="false"/>
            <w:strike w:val="false"/>
            <w:dstrike w:val="false"/>
            <w:color w:val="000000"/>
            <w:sz w:val="17"/>
            <w:u w:val="none"/>
            <w:effect w:val="none"/>
          </w:rPr>
          <w:t>9</w:t>
        </w:r>
      </w:hyperlink>
      <w:r>
        <w:rPr>
          <w:rFonts w:ascii="Times New Roman;sans-serif" w:hAnsi="Times New Roman;sans-serif"/>
          <w:b w:val="false"/>
          <w:color w:val="000000"/>
          <w:sz w:val="17"/>
        </w:rPr>
        <w:t xml:space="preserve"> for "Summary of Capital Expenditures" and page </w:t>
      </w:r>
      <w:hyperlink w:anchor="id6291983c3ec4dc5b9a0ac1f1d1bbcdf_52">
        <w:r>
          <w:rPr>
            <w:rStyle w:val="InternetLink"/>
            <w:rFonts w:ascii="Times New Roman;sans-serif" w:hAnsi="Times New Roman;sans-serif"/>
            <w:b w:val="false"/>
            <w:strike w:val="false"/>
            <w:dstrike w:val="false"/>
            <w:color w:val="000000"/>
            <w:sz w:val="17"/>
            <w:u w:val="none"/>
            <w:effect w:val="none"/>
          </w:rPr>
          <w:t>24</w:t>
        </w:r>
      </w:hyperlink>
      <w:r>
        <w:rPr>
          <w:rFonts w:ascii="Times New Roman;sans-serif" w:hAnsi="Times New Roman;sans-serif"/>
          <w:b w:val="false"/>
          <w:color w:val="000000"/>
          <w:sz w:val="17"/>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6"/>
        <w:gridCol w:w="148"/>
        <w:gridCol w:w="148"/>
        <w:gridCol w:w="1797"/>
        <w:gridCol w:w="1679"/>
        <w:gridCol w:w="1684"/>
        <w:gridCol w:w="137"/>
        <w:gridCol w:w="137"/>
        <w:gridCol w:w="137"/>
        <w:gridCol w:w="266"/>
        <w:gridCol w:w="1365"/>
        <w:gridCol w:w="137"/>
        <w:gridCol w:w="137"/>
        <w:gridCol w:w="137"/>
        <w:gridCol w:w="137"/>
        <w:gridCol w:w="286"/>
        <w:gridCol w:w="1470"/>
        <w:gridCol w:w="217"/>
      </w:tblGrid>
      <w:tr>
        <w:trPr/>
        <w:tc>
          <w:tcPr>
            <w:tcW w:w="1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Market Data, Debt Metrics, and Senior Notes and Debentures Covenants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6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and downREIT operating partnership units (1)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per common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market capitalization including downREIT operating partnership units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8,496,841 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8,535,190 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shares outstanding</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C preferred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shares outstanding (2)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1 preferred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8,656,666 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8,695,015 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4,513,293 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4,483,397 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(109,224)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4,404,069 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4,387,461 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13,060,735 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13,082,476 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and Liquidity Ratios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to market capitalization at market price per common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three months ended (4)(5)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3.8x</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3.5x</w:t>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Covenants (6)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Covenant Threshold (7)</w:t>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to Total Assets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 60%</w:t>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Debt to Total Assets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 40%</w:t>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to Annual Debt Service Charge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3.9x</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 1.5x</w:t>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Unencumbered Assets to Unsecured Debt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 150%</w:t>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(1)Amounts include 607,190 and 631,271 downREIT operating partnership units outstanding at March 31, 2025 and 2024, respectively.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(4)EBITDAre is reconciled to net income in the Glossary of Terms.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(5)Fixed charges consist of interest on borrowed funds and finance leases (including capitalized interest), amortization of debt discount/premium and debt costs, and the portion of rent expense representing an interest factor.</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(6)The reference period for calculating these covenants is the most recent twelve months ended March 31, 2025.</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(7)For a detailed description of the senior unsecured notes covenants and definitions of the terms, please refer to our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4"/>
        <w:gridCol w:w="222"/>
        <w:gridCol w:w="222"/>
        <w:gridCol w:w="665"/>
        <w:gridCol w:w="629"/>
        <w:gridCol w:w="541"/>
        <w:gridCol w:w="429"/>
        <w:gridCol w:w="429"/>
        <w:gridCol w:w="431"/>
        <w:gridCol w:w="109"/>
        <w:gridCol w:w="109"/>
        <w:gridCol w:w="109"/>
        <w:gridCol w:w="522"/>
        <w:gridCol w:w="478"/>
        <w:gridCol w:w="480"/>
        <w:gridCol w:w="109"/>
        <w:gridCol w:w="109"/>
        <w:gridCol w:w="109"/>
        <w:gridCol w:w="196"/>
        <w:gridCol w:w="871"/>
        <w:gridCol w:w="109"/>
        <w:gridCol w:w="109"/>
        <w:gridCol w:w="109"/>
        <w:gridCol w:w="109"/>
        <w:gridCol w:w="162"/>
        <w:gridCol w:w="152"/>
        <w:gridCol w:w="147"/>
        <w:gridCol w:w="109"/>
        <w:gridCol w:w="109"/>
        <w:gridCol w:w="109"/>
        <w:gridCol w:w="313"/>
        <w:gridCol w:w="301"/>
        <w:gridCol w:w="301"/>
        <w:gridCol w:w="301"/>
        <w:gridCol w:w="301"/>
        <w:gridCol w:w="441"/>
      </w:tblGrid>
      <w:tr>
        <w:trPr/>
        <w:tc>
          <w:tcPr>
            <w:tcW w:w="2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effective rate (6)</w:t>
            </w:r>
          </w:p>
        </w:tc>
      </w:tr>
      <w:tr>
        <w:trPr/>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Mortgages payable (1)</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12/28/2025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5.03%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3.67%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(13 Buildings)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3.91% to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 payable</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(4)(5)</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Senior notes and debentures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notes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variable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38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p>
      <w:pPr>
        <w:pStyle w:val="TextBody"/>
        <w:bidi w:val="0"/>
        <w:spacing w:lineRule="auto" w:line="288" w:before="60" w:after="283"/>
        <w:jc w:val="left"/>
        <w:rPr>
          <w:rFonts w:ascii="Times New Roman;sans-serif" w:hAnsi="Times New Roman;sans-serif"/>
          <w:b w:val="false"/>
          <w:color w:val="000000"/>
          <w:sz w:val="17"/>
          <w:u w:val="single"/>
        </w:rPr>
      </w:pPr>
      <w:r>
        <w:rPr>
          <w:rFonts w:ascii="Times New Roman;sans-serif" w:hAnsi="Times New Roman;sans-serif"/>
          <w:b w:val="false"/>
          <w:color w:val="000000"/>
          <w:sz w:val="17"/>
          <w:u w:val="single"/>
        </w:rPr>
        <w:t>Notes:</w:t>
      </w:r>
    </w:p>
    <w:p>
      <w:pPr>
        <w:pStyle w:val="TextBody"/>
        <w:bidi w:val="0"/>
        <w:spacing w:lineRule="auto" w:line="288" w:before="4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(1)Mortgages payable does not include our share of debt on our unconsolidated real estate partnerships. At March 31, 2025, our share of unconsolidated debt was approximately $61.8 million. At March 31, 2025, our noncontrolling interests' share of mortgages payable was $15.0 million.</w:t>
      </w:r>
    </w:p>
    <w:p>
      <w:pPr>
        <w:pStyle w:val="TextBody"/>
        <w:bidi w:val="0"/>
        <w:spacing w:lineRule="auto" w:line="288" w:before="4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(2)We have two one-year extensions, at our option to extend the maturity date to December 28, 2027.</w:t>
      </w:r>
    </w:p>
    <w:p>
      <w:pPr>
        <w:pStyle w:val="TextBody"/>
        <w:bidi w:val="0"/>
        <w:spacing w:lineRule="auto" w:line="288" w:before="4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(3)The mortgage loans have interest rate swap agreements that effectively fix the interest rate through the initial maturity date.</w:t>
      </w:r>
    </w:p>
    <w:p>
      <w:pPr>
        <w:pStyle w:val="TextBody"/>
        <w:bidi w:val="0"/>
        <w:spacing w:lineRule="auto" w:line="288" w:before="4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(4)Our revolving credit facility SOFR loans and our term loan bear interest at Daily Simple SOFR or Term SOFR, as defined in the respective credit agreements, plus 0.10%, plus a spread, based on our current credit rating. On May 1, 2025, the 0.10% adjustment to SOFR was removed from the term loan.</w:t>
      </w:r>
    </w:p>
    <w:p>
      <w:pPr>
        <w:pStyle w:val="TextBody"/>
        <w:bidi w:val="0"/>
        <w:spacing w:lineRule="auto" w:line="288" w:before="4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(5)The maximum amount drawn under our $1.25 billion revolving credit facility during the three months and year ended March 31, 2025 was $109.0 million. The weighted average interest rate on borrowings under our credit facility, before amortization of debt fees, was 5.2%.</w:t>
      </w:r>
    </w:p>
    <w:p>
      <w:pPr>
        <w:pStyle w:val="TextBody"/>
        <w:bidi w:val="0"/>
        <w:spacing w:lineRule="auto" w:line="288" w:before="4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(6)The weighted average effective interest rate includes the amortization of any debt issuance costs and discounts and premiums, if applicable, except as described in Note 7.</w:t>
      </w:r>
    </w:p>
    <w:p>
      <w:pPr>
        <w:pStyle w:val="TextBody"/>
        <w:bidi w:val="0"/>
        <w:spacing w:lineRule="auto" w:line="288" w:before="4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(7)The weighted average effective interest rate excludes $0.9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Debt Maturities</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950"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 (5)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4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(1)Our $200.0 million mortgage loan secured by Bethesda Row matures on December 28, 2025 plus two one-year extensions, at our option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(2)Our $1.25 billion revolving credit facility matures on April 5, 2027, plus two six-month extensions at our option to April 5, 2028. As of March 31, 2025, there was $44.6 million balance outstanding under this credit facility.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(3)Our $600.0 million term loan matures on March 20, 2028, plus two one-year extensions at our option to March 20, 2030.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(4)The total debt maturities differ from the total reported on the consolidated balance sheet due to the debt issuance costs and unamortized net premium/discount on certain mortgage loans, notes payable, and senior notes as of March 31, 2025. The weighted average remaining term on our mortgages payable, notes payable, and senior notes and debentures is approximately 6 years.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(5)The weighted average rate reflects the weighted average interest rate on debt maturing in the respective year.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(6)The weighted average rate excludes $0.9 million in quarterly financing fees and quarterly debt fee amortization on our $1.25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67"/>
        <w:gridCol w:w="246"/>
        <w:gridCol w:w="246"/>
        <w:gridCol w:w="728"/>
        <w:gridCol w:w="294"/>
        <w:gridCol w:w="235"/>
        <w:gridCol w:w="1432"/>
        <w:gridCol w:w="1248"/>
        <w:gridCol w:w="1263"/>
        <w:gridCol w:w="209"/>
        <w:gridCol w:w="209"/>
        <w:gridCol w:w="466"/>
        <w:gridCol w:w="295"/>
        <w:gridCol w:w="295"/>
        <w:gridCol w:w="296"/>
        <w:gridCol w:w="339"/>
        <w:gridCol w:w="191"/>
        <w:gridCol w:w="174"/>
        <w:gridCol w:w="525"/>
        <w:gridCol w:w="341"/>
        <w:gridCol w:w="342"/>
        <w:gridCol w:w="164"/>
      </w:tblGrid>
      <w:tr>
        <w:trPr/>
        <w:tc>
          <w:tcPr>
            <w:tcW w:w="6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3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Redevelopment and Expansion Opportunities</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following redevelopment opportunities are actively being worked on by the Trust. (1)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9046" w:type="dxa"/>
            <w:gridSpan w:val="19"/>
            <w:tcBorders/>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372" w:type="dxa"/>
            <w:gridSpan w:val="4"/>
            <w:tcBorders/>
          </w:tcPr>
          <w:p>
            <w:pPr>
              <w:pStyle w:val="TableContents"/>
              <w:bidi w:val="0"/>
              <w:spacing w:before="0" w:after="283"/>
              <w:jc w:val="left"/>
              <w:rPr>
                <w:sz w:val="4"/>
                <w:szCs w:val="4"/>
              </w:rPr>
            </w:pPr>
            <w:r>
              <w:rPr>
                <w:sz w:val="4"/>
                <w:szCs w:val="4"/>
              </w:rPr>
            </w:r>
          </w:p>
        </w:tc>
      </w:tr>
      <w:tr>
        <w:trPr/>
        <w:tc>
          <w:tcPr>
            <w:tcW w:w="63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2025 POI Delivered (2)</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a % of Total)</w:t>
            </w:r>
          </w:p>
        </w:tc>
        <w:tc>
          <w:tcPr>
            <w:tcW w:w="164" w:type="dxa"/>
            <w:tcBorders/>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West (3)</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369,000 square foot office building. 302,000 square feet of office space leased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- 6%</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 $335</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 - 10%</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- 915 Meeting Street (3)</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Bethesda, MD</w:t>
            </w:r>
          </w:p>
        </w:tc>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266,000 square foot office building with 10,000 square feet of retail space. 250,000 square feet of office and 10,000 square feet of retail space leased.</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 $190</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 - 75%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on City Avenue</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PA</w:t>
            </w:r>
          </w:p>
        </w:tc>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two level department store building to construct a new six story building with 217 residential units, 16,000 square feet of retail and a two-story parking structure with 234 parking stalls</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 $95</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NY</w:t>
            </w:r>
          </w:p>
        </w:tc>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the main two level building consisting of 161,000 square feet of anchor and small shop space to construct 102,000 square feet of new ground-level anchor and small shop retail space</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 $85</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 - 95%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Hoboken - 301 Washington Street </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Hoboken, NJ</w:t>
            </w:r>
          </w:p>
        </w:tc>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5 story, 45-unit residential building with 10,200 square feet of ground floor retail space</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- 7%</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 $48</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372" w:type="dxa"/>
            <w:gridSpan w:val="4"/>
            <w:tcBorders/>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(4)</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Anticipated Stabilization (5)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Andorra</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Philadelphia, PA</w:t>
            </w:r>
          </w:p>
        </w:tc>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31,500 square feet of anchor and small shop spaces to construct a 50,000 square foot turnkey building for a national grocer tenant and redevelopment of 27,000 square feet of vacant small shop space at the north end of the property to construct 10,400 square feet of small shop, and a 10,000 square foot anchor tenant</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- 8%</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 PA</w:t>
            </w:r>
          </w:p>
        </w:tc>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17,000 square foot multi-tenant pad building</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Installation and implementation of paid parking system</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Mercer on One</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Lawrenceville, NJ</w:t>
            </w:r>
          </w:p>
        </w:tc>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of a 2,225 square foot pad building with drive-thru for a restaurant tenant</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372" w:type="dxa"/>
            <w:gridSpan w:val="4"/>
            <w:tcBorders/>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943"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6"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 Property Improvement Projects (6)</w:t>
            </w:r>
          </w:p>
        </w:tc>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Ongoing improvements at 6 properties to better position those properties to capture a disproportionate amount of retail demand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- 13%</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bidi w:val="0"/>
        <w:spacing w:lineRule="auto" w:line="288" w:before="100" w:after="283"/>
        <w:ind w:left="0" w:right="0" w:hanging="288"/>
        <w:jc w:val="left"/>
        <w:rPr>
          <w:rFonts w:ascii="Times New Roman;sans-serif" w:hAnsi="Times New Roman;sans-serif"/>
          <w:b w:val="false"/>
          <w:color w:val="000000"/>
          <w:sz w:val="16"/>
        </w:rPr>
      </w:pPr>
      <w:r>
        <w:rPr>
          <w:rFonts w:ascii="Times New Roman;sans-serif" w:hAnsi="Times New Roman;sans-serif"/>
          <w:b w:val="false"/>
          <w:color w:val="000000"/>
          <w:sz w:val="16"/>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40" w:after="283"/>
        <w:ind w:left="0" w:right="0" w:hanging="288"/>
        <w:jc w:val="left"/>
        <w:rPr>
          <w:rFonts w:ascii="Times New Roman;sans-serif" w:hAnsi="Times New Roman;sans-serif"/>
          <w:b w:val="false"/>
          <w:color w:val="000000"/>
          <w:sz w:val="16"/>
        </w:rPr>
      </w:pPr>
      <w:r>
        <w:rPr>
          <w:rFonts w:ascii="Times New Roman;sans-serif" w:hAnsi="Times New Roman;sans-serif"/>
          <w:b w:val="false"/>
          <w:color w:val="000000"/>
          <w:sz w:val="16"/>
        </w:rPr>
        <w:t>(2)Projected ROI for mixed-use redevelopment/expansion projects reflects the unleveraged Property Operating Income (POI) generated by the project and is calculated as POI divided by cost. Projected POI delivered includes straight line rent.</w:t>
      </w:r>
    </w:p>
    <w:p>
      <w:pPr>
        <w:pStyle w:val="TextBody"/>
        <w:bidi w:val="0"/>
        <w:spacing w:lineRule="auto" w:line="288" w:before="40" w:after="283"/>
        <w:ind w:left="0" w:right="0" w:hanging="288"/>
        <w:jc w:val="left"/>
        <w:rPr>
          <w:rFonts w:ascii="Times New Roman;sans-serif" w:hAnsi="Times New Roman;sans-serif"/>
          <w:b w:val="false"/>
          <w:color w:val="000000"/>
          <w:sz w:val="16"/>
        </w:rPr>
      </w:pPr>
      <w:r>
        <w:rPr>
          <w:rFonts w:ascii="Times New Roman;sans-serif" w:hAnsi="Times New Roman;sans-serif"/>
          <w:b w:val="false"/>
          <w:color w:val="000000"/>
          <w:sz w:val="16"/>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40" w:after="283"/>
        <w:ind w:left="0" w:right="0" w:hanging="288"/>
        <w:jc w:val="left"/>
        <w:rPr>
          <w:rFonts w:ascii="Times New Roman;sans-serif" w:hAnsi="Times New Roman;sans-serif"/>
          <w:b w:val="false"/>
          <w:color w:val="000000"/>
          <w:sz w:val="16"/>
        </w:rPr>
      </w:pPr>
      <w:r>
        <w:rPr>
          <w:rFonts w:ascii="Times New Roman;sans-serif" w:hAnsi="Times New Roman;sans-serif"/>
          <w:b w:val="false"/>
          <w:color w:val="000000"/>
          <w:sz w:val="16"/>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40" w:after="283"/>
        <w:ind w:left="0" w:right="0" w:hanging="288"/>
        <w:jc w:val="left"/>
        <w:rPr>
          <w:rFonts w:ascii="Times New Roman;sans-serif" w:hAnsi="Times New Roman;sans-serif"/>
          <w:b w:val="false"/>
          <w:color w:val="000000"/>
          <w:sz w:val="16"/>
        </w:rPr>
      </w:pPr>
      <w:r>
        <w:rPr>
          <w:rFonts w:ascii="Times New Roman;sans-serif" w:hAnsi="Times New Roman;sans-serif"/>
          <w:b w:val="false"/>
          <w:color w:val="000000"/>
          <w:sz w:val="16"/>
        </w:rPr>
        <w:t>(5)Stabilization is generally the year in which 90% physical occupancy of the redeveloped space is achieved. Economic stabilization may occur at a later point in time.</w:t>
      </w:r>
    </w:p>
    <w:p>
      <w:pPr>
        <w:pStyle w:val="TextBody"/>
        <w:bidi w:val="0"/>
        <w:spacing w:lineRule="auto" w:line="288" w:before="40" w:after="283"/>
        <w:ind w:left="0" w:right="0" w:hanging="288"/>
        <w:jc w:val="left"/>
        <w:rPr>
          <w:rFonts w:ascii="Times New Roman;sans-serif" w:hAnsi="Times New Roman;sans-serif"/>
          <w:b w:val="false"/>
          <w:color w:val="000000"/>
          <w:sz w:val="16"/>
        </w:rPr>
      </w:pPr>
      <w:r>
        <w:rPr>
          <w:rFonts w:ascii="Times New Roman;sans-serif" w:hAnsi="Times New Roman;sans-serif"/>
          <w:b w:val="false"/>
          <w:color w:val="000000"/>
          <w:sz w:val="16"/>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0"/>
        <w:gridCol w:w="451"/>
        <w:gridCol w:w="451"/>
        <w:gridCol w:w="451"/>
        <w:gridCol w:w="451"/>
        <w:gridCol w:w="451"/>
        <w:gridCol w:w="1318"/>
        <w:gridCol w:w="451"/>
        <w:gridCol w:w="451"/>
        <w:gridCol w:w="1013"/>
        <w:gridCol w:w="451"/>
        <w:gridCol w:w="451"/>
        <w:gridCol w:w="988"/>
        <w:gridCol w:w="451"/>
        <w:gridCol w:w="451"/>
        <w:gridCol w:w="466"/>
        <w:gridCol w:w="222"/>
        <w:gridCol w:w="327"/>
      </w:tblGrid>
      <w:tr>
        <w:trPr/>
        <w:tc>
          <w:tcPr>
            <w:tcW w:w="9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Federal Realty Investment Trust</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Future Redevelopment and Expansion Opportunities</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March 31, 2025</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Redevelopment Opportunities</w:t>
            </w:r>
          </w:p>
        </w:tc>
      </w:tr>
      <w:tr>
        <w:trPr/>
        <w:tc>
          <w:tcPr>
            <w:tcW w:w="3165"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1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Expansion/Conversion (4)</w:t>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Residential (5)</w:t>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Mixed Use - Long Term</w:t>
            </w:r>
          </w:p>
        </w:tc>
      </w:tr>
      <w:tr>
        <w:trPr/>
        <w:tc>
          <w:tcPr>
            <w:tcW w:w="316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Assembly Row (1)</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Somerville, MA</w:t>
            </w:r>
          </w:p>
        </w:tc>
        <w:tc>
          <w:tcPr>
            <w:tcW w:w="1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 Cynwyd on City Avenue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 Cynwyd,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Barracks Road</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Charlottesville,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MD</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Camelback Colonnade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Phoenix, AZ</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 Commons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 MA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Dedham Plaza</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Dedham, MA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 Monte Shopping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Monterey, CA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Escondido Promenade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Escondido, CA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Fairfax Junction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Fairfax,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Plaza</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Rockville,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Finley Square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Downers Grove, IL</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Fresh Meadows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Queens, NY</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Friendship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 DC</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Governor Plaza</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Glen Burnie, MD</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Grossmont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 Mesa, CA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Huntington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Huntington, NY</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Huntington Square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Northport, NY</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Langhorne Square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Levittown, PA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Northeast</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Philadelphia,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Pike &amp; Rose (2)</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Bethesda,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Pike 7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Vienna, VA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Providence Place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Fairfax,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Riverpoint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Chicago, IL</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Santana Row (3)</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Jose, CA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Shops at Pembroke Gardens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Pembroke Pines, FL</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AVENUE at White Marsh</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 Marsh,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Tower Shopping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Springfield,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Troy Hills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Parsippany-Troy, NJ</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Village at Shirlington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Arlington, VA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 Gateway</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Willow Grove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Willow Grove,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Willow Lawn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Richmond, VA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Wynnewood</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Wynnewood,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12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(3)Remaining entitlements at Santana Row include approximately 321,000 square feet of commercial space and 395 residential units, as well as approximately 604,000 square feet of commercial space across from Santana Row.</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Property Acquisition</w:t>
      </w:r>
    </w:p>
    <w:tbl>
      <w:tblPr>
        <w:tblW w:w="10205" w:type="dxa"/>
        <w:jc w:val="left"/>
        <w:tblInd w:w="0" w:type="dxa"/>
        <w:tblLayout w:type="fixed"/>
        <w:tblCellMar>
          <w:top w:w="28" w:type="dxa"/>
          <w:left w:w="28" w:type="dxa"/>
          <w:bottom w:w="28" w:type="dxa"/>
          <w:right w:w="28" w:type="dxa"/>
        </w:tblCellMar>
      </w:tblPr>
      <w:tblGrid>
        <w:gridCol w:w="415"/>
        <w:gridCol w:w="363"/>
        <w:gridCol w:w="370"/>
        <w:gridCol w:w="109"/>
        <w:gridCol w:w="109"/>
        <w:gridCol w:w="109"/>
        <w:gridCol w:w="499"/>
        <w:gridCol w:w="499"/>
        <w:gridCol w:w="506"/>
        <w:gridCol w:w="109"/>
        <w:gridCol w:w="109"/>
        <w:gridCol w:w="109"/>
        <w:gridCol w:w="430"/>
        <w:gridCol w:w="430"/>
        <w:gridCol w:w="436"/>
        <w:gridCol w:w="109"/>
        <w:gridCol w:w="109"/>
        <w:gridCol w:w="109"/>
        <w:gridCol w:w="447"/>
        <w:gridCol w:w="406"/>
        <w:gridCol w:w="319"/>
        <w:gridCol w:w="109"/>
        <w:gridCol w:w="109"/>
        <w:gridCol w:w="109"/>
        <w:gridCol w:w="251"/>
        <w:gridCol w:w="734"/>
        <w:gridCol w:w="129"/>
        <w:gridCol w:w="109"/>
        <w:gridCol w:w="109"/>
        <w:gridCol w:w="109"/>
        <w:gridCol w:w="681"/>
        <w:gridCol w:w="681"/>
        <w:gridCol w:w="974"/>
      </w:tblGrid>
      <w:tr>
        <w:trPr/>
        <w:tc>
          <w:tcPr>
            <w:tcW w:w="4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Principal Tenants</w:t>
            </w:r>
          </w:p>
        </w:tc>
      </w:tr>
      <w:tr>
        <w:trPr/>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February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 Monte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Monterey,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675,000 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Whole Foods / Macy's / Petco / Pottery Barn / Apple</w:t>
            </w:r>
          </w:p>
        </w:tc>
      </w:tr>
      <w:tr>
        <w:trPr/>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hanging="27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Property Disposition</w:t>
      </w:r>
    </w:p>
    <w:tbl>
      <w:tblPr>
        <w:tblW w:w="8428" w:type="dxa"/>
        <w:jc w:val="left"/>
        <w:tblInd w:w="0" w:type="dxa"/>
        <w:tblLayout w:type="fixed"/>
        <w:tblCellMar>
          <w:top w:w="28" w:type="dxa"/>
          <w:left w:w="28" w:type="dxa"/>
          <w:bottom w:w="28" w:type="dxa"/>
          <w:right w:w="28" w:type="dxa"/>
        </w:tblCellMar>
      </w:tblPr>
      <w:tblGrid>
        <w:gridCol w:w="509"/>
        <w:gridCol w:w="447"/>
        <w:gridCol w:w="454"/>
        <w:gridCol w:w="109"/>
        <w:gridCol w:w="109"/>
        <w:gridCol w:w="109"/>
        <w:gridCol w:w="804"/>
        <w:gridCol w:w="804"/>
        <w:gridCol w:w="807"/>
        <w:gridCol w:w="109"/>
        <w:gridCol w:w="109"/>
        <w:gridCol w:w="109"/>
        <w:gridCol w:w="597"/>
        <w:gridCol w:w="597"/>
        <w:gridCol w:w="605"/>
        <w:gridCol w:w="109"/>
        <w:gridCol w:w="109"/>
        <w:gridCol w:w="109"/>
        <w:gridCol w:w="327"/>
        <w:gridCol w:w="629"/>
        <w:gridCol w:w="168"/>
        <w:gridCol w:w="109"/>
        <w:gridCol w:w="109"/>
        <w:gridCol w:w="109"/>
        <w:gridCol w:w="109"/>
        <w:gridCol w:w="109"/>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Sales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January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White Marsh Other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Financing Transactions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Issuance of Common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settled our remaining open forward sales agreements by issuing 476,497 common shares which were sold at a weighted average gross offering price of $115.43.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Amendment and Restatement of Term Loan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2025, we amended and restated our $600.0 million unsecured term loan, extending the maturity date to March 20, 2028, plus two one-year extensions, at our option. In addition, we have the right until December 20, 2025 to borrow up to an additional $150.0 million in the form of one or more unsecured term loans. Under an accordion feature, we have the right to request additional loans, subject to an aggregate maximum of $1.0 billion borrowed under the restated agreement. Additionally, on May 1, 2025, the interest rate was reduced by removing the 0.10% adjustment to SOFR.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As of May 8, 2025, no common shares have been repurchased through the program.</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11671" w:type="dxa"/>
        <w:jc w:val="center"/>
        <w:tblInd w:w="0" w:type="dxa"/>
        <w:tblLayout w:type="fixed"/>
        <w:tblCellMar>
          <w:top w:w="28" w:type="dxa"/>
          <w:left w:w="28" w:type="dxa"/>
          <w:bottom w:w="28" w:type="dxa"/>
          <w:right w:w="28" w:type="dxa"/>
        </w:tblCellMar>
      </w:tblPr>
      <w:tblGrid>
        <w:gridCol w:w="364"/>
        <w:gridCol w:w="319"/>
        <w:gridCol w:w="278"/>
        <w:gridCol w:w="109"/>
        <w:gridCol w:w="109"/>
        <w:gridCol w:w="109"/>
        <w:gridCol w:w="709"/>
        <w:gridCol w:w="709"/>
        <w:gridCol w:w="713"/>
        <w:gridCol w:w="109"/>
        <w:gridCol w:w="181"/>
        <w:gridCol w:w="541"/>
        <w:gridCol w:w="109"/>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96"/>
        <w:gridCol w:w="220"/>
        <w:gridCol w:w="221"/>
        <w:gridCol w:w="109"/>
        <w:gridCol w:w="109"/>
        <w:gridCol w:w="109"/>
        <w:gridCol w:w="335"/>
        <w:gridCol w:w="200"/>
        <w:gridCol w:w="201"/>
        <w:gridCol w:w="449"/>
        <w:gridCol w:w="391"/>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Apple / Anthropologie / Equinox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Starbucks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Ulta / Barnes &amp; Noble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Courthouse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Target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 Depot Design Center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Shoppers Food Warehouse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 Depot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&amp; Rose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765</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7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Mercado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Providence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Talbots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Twinbrooke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Outback Steakhouse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Virginia Gateway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Target (S) / BJ's Wholesale Club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Total Wine &amp; More / Best Buy / Ulta / Lowe's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Westpost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Target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Wildwood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Balducci's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2,908,699 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7,139,000 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Walmart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 / El Super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11190" w:type="dxa"/>
        <w:jc w:val="center"/>
        <w:tblInd w:w="0" w:type="dxa"/>
        <w:tblLayout w:type="fixed"/>
        <w:tblCellMar>
          <w:top w:w="28" w:type="dxa"/>
          <w:left w:w="28" w:type="dxa"/>
          <w:bottom w:w="28" w:type="dxa"/>
          <w:right w:w="28" w:type="dxa"/>
        </w:tblCellMar>
      </w:tblPr>
      <w:tblGrid>
        <w:gridCol w:w="459"/>
        <w:gridCol w:w="205"/>
        <w:gridCol w:w="207"/>
        <w:gridCol w:w="113"/>
        <w:gridCol w:w="109"/>
        <w:gridCol w:w="109"/>
        <w:gridCol w:w="818"/>
        <w:gridCol w:w="745"/>
        <w:gridCol w:w="298"/>
        <w:gridCol w:w="109"/>
        <w:gridCol w:w="409"/>
        <w:gridCol w:w="312"/>
        <w:gridCol w:w="161"/>
        <w:gridCol w:w="109"/>
        <w:gridCol w:w="180"/>
        <w:gridCol w:w="181"/>
        <w:gridCol w:w="109"/>
        <w:gridCol w:w="109"/>
        <w:gridCol w:w="109"/>
        <w:gridCol w:w="109"/>
        <w:gridCol w:w="359"/>
        <w:gridCol w:w="362"/>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410"/>
        <w:gridCol w:w="200"/>
        <w:gridCol w:w="201"/>
        <w:gridCol w:w="570"/>
        <w:gridCol w:w="195"/>
        <w:gridCol w:w="196"/>
        <w:gridCol w:w="154"/>
      </w:tblGrid>
      <w:tr>
        <w:trPr/>
        <w:tc>
          <w:tcPr>
            <w:tcW w:w="4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Colorado Blvd</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Crow Canyon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93,707 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Sprouts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Del Monte Shopping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Salinas,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129,566 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Macy's / Petco / Pottery Barn / Apple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East Bay Bridge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178,946 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Pak-N-Save / 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Nordstrom Rack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Escondido Promenade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135,469 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Fourth Street</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Freedom Plaza</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Smart &amp; Final</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Grossmont Center</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178,133 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294,000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Walmart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Barnes &amp; Noble / Macy's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Hastings Ranch Plaza</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HomeGoods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Hollywood Blvd</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Town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Sephora / Arhaus Furniture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Olivo at Mission Hills</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82,908 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Pinole Vista Crossing</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FoodMaxx</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Nordstrom Rack / HomeGoods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Sol</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Superior Grocers (S)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El Segundo / The Point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310,925 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Antonio Center</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 / Walmart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Santana Row</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1,364,959 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662</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Crate &amp; Barrel / Container Store / Best Buy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Sylmar Towne Center</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Westgate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161,472 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TBA</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Nike Factory / TJ Maxx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3,261,084 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7,059,000 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Brick Plaza</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104,881 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Brook 35</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 (5)</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Gap / Tommy's Tavern + Tap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Darien Commons</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152,059 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124</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Equinox / Walgreens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Fresh Meadows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 / Island of Gold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Georgetowne Shopping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86,898 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Foodway</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Plaza</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Farms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Greenwich Avenue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Hauppauge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Hoboken</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 xml:space="preserve">(4) (6) </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230,298 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113,817 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Petsmart / REI / Ulta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 Square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 / Stop &amp; Shop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At Home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Melville Mall</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Uncle Giuseppe's Marketplace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Dick's Sporting Goods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13256" w:type="dxa"/>
        <w:jc w:val="center"/>
        <w:tblInd w:w="0" w:type="dxa"/>
        <w:tblLayout w:type="fixed"/>
        <w:tblCellMar>
          <w:top w:w="28" w:type="dxa"/>
          <w:left w:w="28" w:type="dxa"/>
          <w:bottom w:w="28" w:type="dxa"/>
          <w:right w:w="28" w:type="dxa"/>
        </w:tblCellMar>
      </w:tblPr>
      <w:tblGrid>
        <w:gridCol w:w="409"/>
        <w:gridCol w:w="225"/>
        <w:gridCol w:w="207"/>
        <w:gridCol w:w="109"/>
        <w:gridCol w:w="109"/>
        <w:gridCol w:w="109"/>
        <w:gridCol w:w="817"/>
        <w:gridCol w:w="817"/>
        <w:gridCol w:w="497"/>
        <w:gridCol w:w="616"/>
        <w:gridCol w:w="109"/>
        <w:gridCol w:w="409"/>
        <w:gridCol w:w="312"/>
        <w:gridCol w:w="161"/>
        <w:gridCol w:w="361"/>
        <w:gridCol w:w="109"/>
        <w:gridCol w:w="180"/>
        <w:gridCol w:w="181"/>
        <w:gridCol w:w="109"/>
        <w:gridCol w:w="360"/>
        <w:gridCol w:w="361"/>
        <w:gridCol w:w="109"/>
        <w:gridCol w:w="360"/>
        <w:gridCol w:w="361"/>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335"/>
        <w:gridCol w:w="200"/>
        <w:gridCol w:w="201"/>
        <w:gridCol w:w="825"/>
        <w:gridCol w:w="195"/>
        <w:gridCol w:w="196"/>
        <w:gridCol w:w="154"/>
      </w:tblGrid>
      <w:tr>
        <w:trPr/>
        <w:tc>
          <w:tcPr>
            <w:tcW w:w="4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4" w:type="dxa"/>
            <w:gridSpan w:val="13"/>
            <w:tcBorders/>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4" w:type="dxa"/>
            <w:gridSpan w:val="13"/>
            <w:tcBorders/>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4" w:type="dxa"/>
            <w:gridSpan w:val="13"/>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Mercer on One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Trenton, NJ</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123,480 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Grove at Shrewsbury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 (5)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137,031 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Bloomies / Lululemon / Anthropologie / Pottery Barn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Troy Hills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Floor &amp; Décor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NY Metro/New Jersey</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1,394,684 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3,278,000 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u w:val="single"/>
              </w:rPr>
            </w:pPr>
            <w:r>
              <w:rPr>
                <w:rFonts w:ascii="Times New Roman;sans-serif" w:hAnsi="Times New Roman;sans-serif"/>
                <w:b/>
                <w:color w:val="000000"/>
                <w:sz w:val="14"/>
                <w:u w:val="single"/>
              </w:rPr>
              <w:t>New England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Assembly Row / Assembly Square Marketplace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1,143,241 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947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AMC / Nike / Burlington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Campus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Burlington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Chelsea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Planet Fitness / CVS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Dedham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 Market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Linden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 Dartmouth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Providence-Warwick, RI-MA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Queen Anne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Big Y Foods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New England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1,457,075 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2,251,000 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Philadelphia Metropolitan Area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Andorra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 Cynwyd on City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96,806 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Ellisburg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RH Outlet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Flourtown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Langhorne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Redner's Warehouse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Lawrence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 (S)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Grove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54,503 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Amazon Food</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Wynnewood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Philadelphia Metropolitan Area</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South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CocoWalk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206,110 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Del Mar Village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Winn Dixie</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Shops at Pembroke Gardens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187,293 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Factory / Old Navy / DSW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 / Costco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Ross Dress For Less / Best Buy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South Florida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575,327 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Governor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Dick's Sporting Goods / Ross Dress for Less / Petco / Bob's Discount Furniture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11442" w:type="dxa"/>
        <w:jc w:val="center"/>
        <w:tblInd w:w="0" w:type="dxa"/>
        <w:tblLayout w:type="fixed"/>
        <w:tblCellMar>
          <w:top w:w="28" w:type="dxa"/>
          <w:left w:w="28" w:type="dxa"/>
          <w:bottom w:w="28" w:type="dxa"/>
          <w:right w:w="28" w:type="dxa"/>
        </w:tblCellMar>
      </w:tblPr>
      <w:tblGrid>
        <w:gridCol w:w="399"/>
        <w:gridCol w:w="205"/>
        <w:gridCol w:w="207"/>
        <w:gridCol w:w="109"/>
        <w:gridCol w:w="109"/>
        <w:gridCol w:w="109"/>
        <w:gridCol w:w="604"/>
        <w:gridCol w:w="604"/>
        <w:gridCol w:w="608"/>
        <w:gridCol w:w="109"/>
        <w:gridCol w:w="181"/>
        <w:gridCol w:w="826"/>
        <w:gridCol w:w="109"/>
        <w:gridCol w:w="109"/>
        <w:gridCol w:w="247"/>
        <w:gridCol w:w="249"/>
        <w:gridCol w:w="109"/>
        <w:gridCol w:w="109"/>
        <w:gridCol w:w="109"/>
        <w:gridCol w:w="109"/>
        <w:gridCol w:w="412"/>
        <w:gridCol w:w="414"/>
        <w:gridCol w:w="131"/>
        <w:gridCol w:w="109"/>
        <w:gridCol w:w="109"/>
        <w:gridCol w:w="109"/>
        <w:gridCol w:w="197"/>
        <w:gridCol w:w="164"/>
        <w:gridCol w:w="363"/>
        <w:gridCol w:w="109"/>
        <w:gridCol w:w="109"/>
        <w:gridCol w:w="109"/>
        <w:gridCol w:w="109"/>
        <w:gridCol w:w="109"/>
        <w:gridCol w:w="109"/>
        <w:gridCol w:w="260"/>
        <w:gridCol w:w="260"/>
        <w:gridCol w:w="261"/>
        <w:gridCol w:w="220"/>
        <w:gridCol w:w="220"/>
        <w:gridCol w:w="221"/>
        <w:gridCol w:w="109"/>
        <w:gridCol w:w="109"/>
        <w:gridCol w:w="109"/>
        <w:gridCol w:w="275"/>
        <w:gridCol w:w="200"/>
        <w:gridCol w:w="201"/>
        <w:gridCol w:w="570"/>
        <w:gridCol w:w="195"/>
        <w:gridCol w:w="196"/>
        <w:gridCol w:w="154"/>
      </w:tblGrid>
      <w:tr>
        <w:trPr/>
        <w:tc>
          <w:tcPr>
            <w:tcW w:w="3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88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88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Perring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Dick's Sporting Goods / Micro Center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AVENUE at White Marsh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Shoppes at Nottingham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Baltimore</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1,111,000 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Chicago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Crossroads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Fitness / Ulta / Binny's / Ferguson Home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Finley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Five Below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Garden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Mariano's Fresh Market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Riverpoint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Jewel Osco</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Chicago</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777,000 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Barracks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Bristol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Hartford-West Hartford-East Hartford, CT</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Camelback Colonnade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Fry's Food &amp; Drug</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Nordstrom Last Chance / Best Buy / Floor &amp; Décor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Gratiot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Detroit-Warren-Dearborn, MI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Best Buy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 PA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Shops at Hilton Village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29th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Lawn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Ross Dress for Less / Gold's Gym / Dick's Sporting 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2,669,000 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Grand 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11,082,209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2,210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27,499,000</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96</w:t>
            </w:r>
            <w:r>
              <w:rPr>
                <w:color w:val="000000"/>
              </w:rPr>
              <w:t> </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3,104</w:t>
            </w:r>
          </w:p>
        </w:tc>
        <w:tc>
          <w:tcPr>
            <w:tcW w:w="66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3"/>
        <w:gridCol w:w="169"/>
        <w:gridCol w:w="171"/>
        <w:gridCol w:w="2832"/>
        <w:gridCol w:w="2832"/>
        <w:gridCol w:w="4008"/>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Represents the GLA and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TBA indicates that a lease is signed.</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this property is owned pursuant to a ground lease.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The Trust has a controlling financial interest in this property.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40 buildings primarily along Washington Street and 14th Street in Hoboken, New Jersey.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CocoWalk and four buildings in Coconut Grove.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Grocer is a shadow anchor located adjacent to the property, but is not part of the owned property.</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14299"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241"/>
        <w:gridCol w:w="109"/>
        <w:gridCol w:w="109"/>
        <w:gridCol w:w="109"/>
        <w:gridCol w:w="196"/>
        <w:gridCol w:w="871"/>
        <w:gridCol w:w="109"/>
        <w:gridCol w:w="109"/>
        <w:gridCol w:w="109"/>
        <w:gridCol w:w="109"/>
        <w:gridCol w:w="167"/>
        <w:gridCol w:w="167"/>
        <w:gridCol w:w="372"/>
        <w:gridCol w:w="109"/>
        <w:gridCol w:w="109"/>
        <w:gridCol w:w="109"/>
        <w:gridCol w:w="196"/>
        <w:gridCol w:w="556"/>
        <w:gridCol w:w="241"/>
        <w:gridCol w:w="109"/>
        <w:gridCol w:w="109"/>
        <w:gridCol w:w="109"/>
        <w:gridCol w:w="200"/>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368,759 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7,139,430 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649,372 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2,193,469 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53,486,462 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6,851,351 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15,140,988 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313,365 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931,114 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50,201,620 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194,052 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351,241 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1,262,355 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3,780,944 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3,284,842 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and Non-comparable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429,865 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12,616,558 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653,869 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592,527 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600,669 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2,276,930 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Non-comparable, and Option Exercises (2) (8) (9)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827,104 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12,616,558 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883,840 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813,665 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805,880 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3,330,489 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60,317,435 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9"/>
        <w:gridCol w:w="165"/>
        <w:gridCol w:w="167"/>
        <w:gridCol w:w="2906"/>
        <w:gridCol w:w="2805"/>
        <w:gridCol w:w="3973"/>
      </w:tblGrid>
      <w:tr>
        <w:trPr/>
        <w:tc>
          <w:tcPr>
            <w:tcW w:w="1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reflects activity in retail spaces only for consolidated properties; office and residential spaces are not included. See Glossary of Terms for further discussion of information included above.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Comparable leases represent those leases signed on spaces for which there was a former tenant. Contractual option exercises are not included unless they are fair market value options. </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Contractual rent represents annual rent under the new lease.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Prior rent represents contractual rent, including percentage rent considered part of base rent, from the prior tenant in the final 12 months of the term.</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is determined on the basis of contractual rent for the lease.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Glossary of Terms.</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Renewal leases represent expiring leases rolling over with the same tenant in the same location. All other leases are categorized as new.</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Leases Signed, GLA Signed, Contractual Rent Per Sq. Ft. and Weighted Average Lease Term columns include information for leases signed at Phase III of Assembly Row and Phase IV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 exercises reflect a fixed rate contractual option under the lease agreement that was exercised during the period reflected.</w:t>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9684"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96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2"/>
        <w:gridCol w:w="247"/>
        <w:gridCol w:w="212"/>
        <w:gridCol w:w="479"/>
        <w:gridCol w:w="482"/>
        <w:gridCol w:w="267"/>
        <w:gridCol w:w="246"/>
        <w:gridCol w:w="178"/>
        <w:gridCol w:w="263"/>
        <w:gridCol w:w="365"/>
        <w:gridCol w:w="290"/>
        <w:gridCol w:w="291"/>
        <w:gridCol w:w="109"/>
        <w:gridCol w:w="109"/>
        <w:gridCol w:w="109"/>
        <w:gridCol w:w="435"/>
        <w:gridCol w:w="436"/>
        <w:gridCol w:w="267"/>
        <w:gridCol w:w="299"/>
        <w:gridCol w:w="127"/>
        <w:gridCol w:w="266"/>
        <w:gridCol w:w="365"/>
        <w:gridCol w:w="290"/>
        <w:gridCol w:w="291"/>
        <w:gridCol w:w="109"/>
        <w:gridCol w:w="109"/>
        <w:gridCol w:w="109"/>
        <w:gridCol w:w="479"/>
        <w:gridCol w:w="482"/>
        <w:gridCol w:w="268"/>
        <w:gridCol w:w="273"/>
        <w:gridCol w:w="150"/>
        <w:gridCol w:w="292"/>
        <w:gridCol w:w="384"/>
        <w:gridCol w:w="268"/>
        <w:gridCol w:w="387"/>
      </w:tblGrid>
      <w:tr>
        <w:trPr/>
        <w:tc>
          <w:tcPr>
            <w:tcW w:w="4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17,094,000 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8,654,000 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25,748,000 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17,094,000 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8,654,000 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25,748,000 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8"/>
        <w:gridCol w:w="183"/>
        <w:gridCol w:w="184"/>
        <w:gridCol w:w="2815"/>
        <w:gridCol w:w="2815"/>
        <w:gridCol w:w="4000"/>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Anchor is defined as a commercial tenant leasing 10,000 square feet or more.</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Rent reflects in-place contractual (defined as rents on a cash-basis without taking the impacts of rent abatements into account) rent as of March 31, 2025.</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occupied square footage of the commercial portion of our portfolio as of March 31, 2025.</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7685" w:type="dxa"/>
        <w:jc w:val="left"/>
        <w:tblInd w:w="0" w:type="dxa"/>
        <w:tblLayout w:type="fixed"/>
        <w:tblCellMar>
          <w:top w:w="28" w:type="dxa"/>
          <w:left w:w="28" w:type="dxa"/>
          <w:bottom w:w="28" w:type="dxa"/>
          <w:right w:w="28" w:type="dxa"/>
        </w:tblCellMar>
      </w:tblPr>
      <w:tblGrid>
        <w:gridCol w:w="1038"/>
        <w:gridCol w:w="910"/>
        <w:gridCol w:w="916"/>
        <w:gridCol w:w="295"/>
        <w:gridCol w:w="295"/>
        <w:gridCol w:w="699"/>
        <w:gridCol w:w="109"/>
        <w:gridCol w:w="109"/>
        <w:gridCol w:w="109"/>
        <w:gridCol w:w="354"/>
        <w:gridCol w:w="354"/>
        <w:gridCol w:w="836"/>
        <w:gridCol w:w="109"/>
        <w:gridCol w:w="109"/>
        <w:gridCol w:w="109"/>
        <w:gridCol w:w="278"/>
        <w:gridCol w:w="278"/>
        <w:gridCol w:w="778"/>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Leased Statistics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Properties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Leasable Area (GLA)</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26,198,000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anchor tenants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small shop tenants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commercial tenant leases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(1)(4)</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GLA </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24,535,000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Properties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(1)(2)(3)</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80" w:type="dxa"/>
        <w:jc w:val="left"/>
        <w:tblInd w:w="0" w:type="dxa"/>
        <w:tblLayout w:type="fixed"/>
        <w:tblCellMar>
          <w:top w:w="28" w:type="dxa"/>
          <w:left w:w="28" w:type="dxa"/>
          <w:bottom w:w="28" w:type="dxa"/>
          <w:right w:w="28" w:type="dxa"/>
        </w:tblCellMar>
      </w:tblPr>
      <w:tblGrid>
        <w:gridCol w:w="212"/>
        <w:gridCol w:w="186"/>
        <w:gridCol w:w="187"/>
        <w:gridCol w:w="1813"/>
        <w:gridCol w:w="1813"/>
        <w:gridCol w:w="256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and residential units not yet placed in service.</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2025, all of our residential units are considered comparable.</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Prior periods are adjusted for the current comparable property pool.</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814"/>
        <w:gridCol w:w="702"/>
        <w:gridCol w:w="594"/>
        <w:gridCol w:w="297"/>
        <w:gridCol w:w="297"/>
        <w:gridCol w:w="298"/>
        <w:gridCol w:w="203"/>
        <w:gridCol w:w="1092"/>
        <w:gridCol w:w="113"/>
        <w:gridCol w:w="418"/>
        <w:gridCol w:w="304"/>
        <w:gridCol w:w="718"/>
        <w:gridCol w:w="479"/>
        <w:gridCol w:w="482"/>
        <w:gridCol w:w="228"/>
        <w:gridCol w:w="372"/>
        <w:gridCol w:w="258"/>
        <w:gridCol w:w="610"/>
        <w:gridCol w:w="315"/>
        <w:gridCol w:w="315"/>
        <w:gridCol w:w="45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Tenant Name</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Credit Ratings </w:t>
              <w:br/>
              <w:t>(S&amp;P/Moody's) (1)</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Annualized Base Rent</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Annualized Base Rent (3)</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Tenant GLA</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GLA (3)</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TJX Companies,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Ahold Delhaize</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NetApp,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Cisco Systems,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Gap, Inc.,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 Corporation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Fitness International LLC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Albertsons Companies Inc. (Acme, Balducci's, Safeway)</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Ross Stores,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KnitWell Group (Ann Taylor, Chico's, Loft, Talbots, White House Black Market, Soma, Lane Bryant)</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Depot,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Entertainment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CCC+ / Caa2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Kroger Co.,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7,349,000 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Dick's Sporting Goods,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PUMA North America,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of America, N.A.</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Ulta Beauty,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Target Corporation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 Foods Market,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Bob's Discount Furniture, LLC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Michaels Stores,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B3</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Choice Hotels International,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Starbucks Corporation</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JPMorgan Chase Bank</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J.Crew Group, LLC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 Top 25 Tenants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225,102,000 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8,757,000 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(5):</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927,005,000 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Ratings are as of March 31, 2025.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FFO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range of estimated earnings per diluted share to estimated FFO per diluted share for the full year 2025.</w:t>
      </w:r>
    </w:p>
    <w:p>
      <w:pPr>
        <w:pStyle w:val="TextBody"/>
        <w:bidi w:val="0"/>
        <w:spacing w:before="0" w:after="0"/>
        <w:jc w:val="left"/>
        <w:rPr/>
      </w:pPr>
      <w:r>
        <w:rPr/>
      </w:r>
    </w:p>
    <w:p>
      <w:pPr>
        <w:pStyle w:val="TextBody"/>
        <w:bidi w:val="0"/>
        <w:spacing w:before="0" w:after="0"/>
        <w:jc w:val="left"/>
        <w:rPr/>
      </w:pPr>
      <w:r>
        <w:rPr/>
      </w:r>
    </w:p>
    <w:tbl>
      <w:tblPr>
        <w:tblW w:w="9267" w:type="dxa"/>
        <w:jc w:val="left"/>
        <w:tblInd w:w="0" w:type="dxa"/>
        <w:tblLayout w:type="fixed"/>
        <w:tblCellMar>
          <w:top w:w="28" w:type="dxa"/>
          <w:left w:w="28" w:type="dxa"/>
          <w:bottom w:w="28" w:type="dxa"/>
          <w:right w:w="28" w:type="dxa"/>
        </w:tblCellMar>
      </w:tblPr>
      <w:tblGrid>
        <w:gridCol w:w="2224"/>
        <w:gridCol w:w="1950"/>
        <w:gridCol w:w="1960"/>
        <w:gridCol w:w="325"/>
        <w:gridCol w:w="787"/>
        <w:gridCol w:w="168"/>
        <w:gridCol w:w="168"/>
        <w:gridCol w:w="168"/>
        <w:gridCol w:w="168"/>
        <w:gridCol w:w="325"/>
        <w:gridCol w:w="787"/>
        <w:gridCol w:w="237"/>
      </w:tblGrid>
      <w:tr>
        <w:trPr/>
        <w:tc>
          <w:tcPr>
            <w:tcW w:w="222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2025 Guidance Range (1)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net income available to common shareholders, per diluted share</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gain on sale of real estate,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FFO per diluted share</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Glossary of Terms. Individual items may not add up to total due to rounding.</w:t>
      </w:r>
    </w:p>
    <w:p>
      <w:pPr>
        <w:pStyle w:val="TextBody"/>
        <w:bidi w:val="0"/>
        <w:spacing w:before="0" w:after="0"/>
        <w:jc w:val="left"/>
        <w:rPr/>
      </w:pPr>
      <w:r>
        <w:rPr/>
      </w:r>
    </w:p>
    <w:p>
      <w:pPr>
        <w:pStyle w:val="TextBody"/>
        <w:bidi w:val="0"/>
        <w:spacing w:before="0" w:after="0"/>
        <w:jc w:val="left"/>
        <w:rPr/>
      </w:pPr>
      <w:r>
        <w:rPr/>
      </w:r>
    </w:p>
    <w:tbl>
      <w:tblPr>
        <w:tblW w:w="5638" w:type="dxa"/>
        <w:jc w:val="left"/>
        <w:tblInd w:w="0" w:type="dxa"/>
        <w:tblLayout w:type="fixed"/>
        <w:tblCellMar>
          <w:top w:w="28" w:type="dxa"/>
          <w:left w:w="28" w:type="dxa"/>
          <w:bottom w:w="28" w:type="dxa"/>
          <w:right w:w="28" w:type="dxa"/>
        </w:tblCellMar>
      </w:tblPr>
      <w:tblGrid>
        <w:gridCol w:w="1398"/>
        <w:gridCol w:w="1224"/>
        <w:gridCol w:w="1232"/>
        <w:gridCol w:w="520"/>
        <w:gridCol w:w="520"/>
        <w:gridCol w:w="744"/>
      </w:tblGrid>
      <w:tr>
        <w:trPr/>
        <w:tc>
          <w:tcPr>
            <w:tcW w:w="13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Guidance Assumptions:</w:t>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 (2)</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- 4%</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termination fees</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 $5 million</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redevelopment/expansion POI (3)</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 $5 million</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$45 - $47 million</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Development/redevelopment capital</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$175 - $225 million</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 $14 million</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transaction income, net</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$13 million</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Disposed Properties - 2024 POI</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million</w:t>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(1)Does not assume the impact of potential acquisitions or dispositions which have not closed as of May 7, 2025.</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(2)Includes a 0.4% negative impact from lower collection of prior period rents which were contractually deferred, specifically related to the COVID-19 pandemic.</w:t>
      </w:r>
    </w:p>
    <w:p>
      <w:pPr>
        <w:pStyle w:val="TextBody"/>
        <w:bidi w:val="0"/>
        <w:spacing w:lineRule="auto" w:line="288" w:before="0" w:after="0"/>
        <w:ind w:left="0" w:right="0" w:hanging="540"/>
        <w:jc w:val="left"/>
        <w:rPr/>
      </w:pPr>
      <w:r>
        <w:rPr>
          <w:rFonts w:ascii="Times New Roman;sans-serif" w:hAnsi="Times New Roman;sans-serif"/>
          <w:b w:val="false"/>
          <w:color w:val="000000"/>
          <w:sz w:val="20"/>
        </w:rPr>
        <w:t xml:space="preserve">(3)Includes the expected additional POI to be recognized in 2025 compared to the amount recognized in 2024 from all of the redevelopments listed on page </w:t>
      </w:r>
      <w:hyperlink w:anchor="id6291983c3ec4dc5b9a0ac1f1d1bbcdf_34">
        <w:r>
          <w:rPr>
            <w:rStyle w:val="InternetLink"/>
            <w:rFonts w:ascii="Times New Roman;sans-serif" w:hAnsi="Times New Roman;sans-serif"/>
            <w:b w:val="false"/>
            <w:strike w:val="false"/>
            <w:dstrike w:val="false"/>
            <w:color w:val="000000"/>
            <w:sz w:val="20"/>
            <w:u w:val="none"/>
            <w:effect w:val="none"/>
          </w:rPr>
          <w:t>15</w:t>
        </w:r>
      </w:hyperlink>
      <w:r>
        <w:rPr>
          <w:rFonts w:ascii="Times New Roman;sans-serif" w:hAnsi="Times New Roman;sans-serif"/>
          <w:b w:val="false"/>
          <w:color w:val="000000"/>
          <w:sz w:val="20"/>
        </w:rPr>
        <w:t>. Does not include any additional POI from "Active Property Improvement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0" w:after="0"/>
        <w:jc w:val="left"/>
        <w:rPr/>
      </w:pPr>
      <w:r>
        <w:rPr>
          <w:rFonts w:ascii="Times New Roman;sans-serif" w:hAnsi="Times New Roman;sans-serif"/>
          <w:b/>
          <w:color w:val="000000"/>
          <w:sz w:val="18"/>
        </w:rPr>
        <w:t>EBITDA for Real Estate ("EBITDAre"):</w:t>
      </w:r>
      <w:r>
        <w:rPr>
          <w:color w:val="000000"/>
        </w:rPr>
        <w:t xml:space="preserve"> </w:t>
      </w:r>
      <w:r>
        <w:rPr>
          <w:rFonts w:ascii="Times New Roman;sans-serif" w:hAnsi="Times New Roman;sans-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ended March 31, 2025 and 2024 is as follows:</w:t>
      </w:r>
    </w:p>
    <w:tbl>
      <w:tblPr>
        <w:tblW w:w="7113" w:type="dxa"/>
        <w:jc w:val="center"/>
        <w:tblInd w:w="0" w:type="dxa"/>
        <w:tblLayout w:type="fixed"/>
        <w:tblCellMar>
          <w:top w:w="28" w:type="dxa"/>
          <w:left w:w="28" w:type="dxa"/>
          <w:bottom w:w="28" w:type="dxa"/>
          <w:right w:w="28" w:type="dxa"/>
        </w:tblCellMar>
      </w:tblPr>
      <w:tblGrid>
        <w:gridCol w:w="1448"/>
        <w:gridCol w:w="1276"/>
        <w:gridCol w:w="1281"/>
        <w:gridCol w:w="196"/>
        <w:gridCol w:w="736"/>
        <w:gridCol w:w="109"/>
        <w:gridCol w:w="109"/>
        <w:gridCol w:w="109"/>
        <w:gridCol w:w="109"/>
        <w:gridCol w:w="196"/>
        <w:gridCol w:w="736"/>
        <w:gridCol w:w="109"/>
        <w:gridCol w:w="109"/>
        <w:gridCol w:w="109"/>
        <w:gridCol w:w="109"/>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of EBITDAre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00" w:after="283"/>
        <w:jc w:val="left"/>
        <w:rPr/>
      </w:pPr>
      <w:r>
        <w:rPr>
          <w:rFonts w:ascii="Times New Roman;sans-serif" w:hAnsi="Times New Roman;sans-serif"/>
          <w:b/>
          <w:color w:val="000000"/>
          <w:sz w:val="18"/>
        </w:rPr>
        <w:t>Funds From Operations (FFO):</w:t>
      </w:r>
      <w:r>
        <w:rPr>
          <w:color w:val="000000"/>
        </w:rPr>
        <w:t xml:space="preserve"> </w:t>
      </w:r>
      <w:r>
        <w:rPr>
          <w:rFonts w:ascii="Times New Roman;sans-serif" w:hAnsi="Times New Roman;sans-serif"/>
          <w:b w:val="false"/>
          <w:color w:val="000000"/>
          <w:sz w:val="18"/>
        </w:rPr>
        <w:t xml:space="preserve">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w:t>
      </w:r>
    </w:p>
    <w:p>
      <w:pPr>
        <w:pStyle w:val="TextBody"/>
        <w:bidi w:val="0"/>
        <w:spacing w:lineRule="auto" w:line="288" w:before="140" w:after="283"/>
        <w:jc w:val="left"/>
        <w:rPr/>
      </w:pPr>
      <w:r>
        <w:rPr>
          <w:rFonts w:ascii="Times New Roman;sans-serif" w:hAnsi="Times New Roman;sans-serif"/>
          <w:b/>
          <w:color w:val="000000"/>
          <w:sz w:val="18"/>
        </w:rPr>
        <w:t xml:space="preserve">Property Operating Income: </w:t>
      </w:r>
      <w:r>
        <w:rPr>
          <w:rFonts w:ascii="Times New Roman;sans-serif" w:hAnsi="Times New Roman;sans-serif"/>
          <w:b w:val="false"/>
          <w:color w:val="000000"/>
          <w:sz w:val="18"/>
        </w:rPr>
        <w:t>Rental income and mortgage interest income, less rental expenses and real estate taxes.</w:t>
      </w:r>
    </w:p>
    <w:p>
      <w:pPr>
        <w:pStyle w:val="TextBody"/>
        <w:bidi w:val="0"/>
        <w:spacing w:lineRule="auto" w:line="288" w:before="140" w:after="283"/>
        <w:jc w:val="left"/>
        <w:rPr/>
      </w:pPr>
      <w:r>
        <w:rPr>
          <w:rFonts w:ascii="Times New Roman;sans-serif" w:hAnsi="Times New Roman;sans-serif"/>
          <w:b/>
          <w:color w:val="000000"/>
          <w:sz w:val="18"/>
        </w:rPr>
        <w:t>Overall Portfolio:</w:t>
      </w:r>
      <w:r>
        <w:rPr>
          <w:color w:val="000000"/>
        </w:rPr>
        <w:t xml:space="preserve"> </w:t>
      </w:r>
      <w:r>
        <w:rPr>
          <w:rFonts w:ascii="Times New Roman;sans-serif" w:hAnsi="Times New Roman;sans-serif"/>
          <w:b w:val="false"/>
          <w:color w:val="000000"/>
          <w:sz w:val="18"/>
        </w:rPr>
        <w:t>Includes all consolidated operating properties owned in reporting period.</w:t>
      </w:r>
    </w:p>
    <w:p>
      <w:pPr>
        <w:pStyle w:val="TextBody"/>
        <w:bidi w:val="0"/>
        <w:spacing w:lineRule="auto" w:line="288" w:before="140" w:after="283"/>
        <w:jc w:val="left"/>
        <w:rPr/>
      </w:pPr>
      <w:r>
        <w:rPr>
          <w:rFonts w:ascii="Times New Roman;sans-serif" w:hAnsi="Times New Roman;sans-serif"/>
          <w:b/>
          <w:color w:val="000000"/>
          <w:sz w:val="18"/>
        </w:rPr>
        <w:t xml:space="preserve">Comparable Properties: </w:t>
      </w:r>
      <w:r>
        <w:rPr>
          <w:rFonts w:ascii="Times New Roman;sans-serif" w:hAnsi="Times New Roman;sans-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40" w:after="283"/>
        <w:jc w:val="left"/>
        <w:rPr/>
      </w:pPr>
      <w:r>
        <w:rPr>
          <w:rFonts w:ascii="Times New Roman;sans-serif" w:hAnsi="Times New Roman;sans-serif"/>
          <w:b/>
          <w:color w:val="000000"/>
          <w:sz w:val="18"/>
        </w:rPr>
        <w:t xml:space="preserve">Annualized Base Rent (ABR): </w:t>
      </w:r>
      <w:r>
        <w:rPr>
          <w:rFonts w:ascii="Times New Roman;sans-serif" w:hAnsi="Times New Roman;sans-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40" w:after="283"/>
        <w:jc w:val="left"/>
        <w:rPr/>
      </w:pPr>
      <w:r>
        <w:rPr>
          <w:rFonts w:ascii="Times New Roman;sans-serif" w:hAnsi="Times New Roman;sans-serif"/>
          <w:b/>
          <w:color w:val="000000"/>
          <w:sz w:val="18"/>
        </w:rPr>
        <w:t xml:space="preserve">Retail Leasing Summary - Lease Rollover Calculation: </w:t>
      </w:r>
      <w:r>
        <w:rPr>
          <w:rFonts w:ascii="Times New Roman;sans-serif" w:hAnsi="Times New Roman;sans-serif"/>
          <w:b w:val="false"/>
          <w:color w:val="000000"/>
          <w:sz w:val="18"/>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40" w:after="283"/>
        <w:jc w:val="left"/>
        <w:rPr/>
      </w:pPr>
      <w:r>
        <w:rPr>
          <w:rFonts w:ascii="Times New Roman;sans-serif" w:hAnsi="Times New Roman;sans-serif"/>
          <w:b/>
          <w:color w:val="000000"/>
          <w:sz w:val="18"/>
        </w:rPr>
        <w:t xml:space="preserve">Tenant Improvements and Incentives: </w:t>
      </w:r>
      <w:r>
        <w:rPr>
          <w:rFonts w:ascii="Times New Roman;sans-serif" w:hAnsi="Times New Roman;sans-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40" w:after="283"/>
        <w:jc w:val="left"/>
        <w:rPr/>
      </w:pPr>
      <w:r>
        <w:rPr>
          <w:rFonts w:ascii="Times New Roman;sans-serif" w:hAnsi="Times New Roman;sans-serif"/>
          <w:b/>
          <w:color w:val="000000"/>
          <w:sz w:val="18"/>
        </w:rPr>
        <w:t>General:</w:t>
      </w:r>
      <w:r>
        <w:rPr>
          <w:color w:val="000000"/>
        </w:rPr>
        <w:t xml:space="preserve"> </w:t>
      </w:r>
      <w:r>
        <w:rPr>
          <w:rFonts w:ascii="Times New Roman;sans-serif" w:hAnsi="Times New Roman;sans-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12949</Words>
  <Characters>69733</Characters>
  <CharactersWithSpaces>80401</CharactersWithSpaces>
  <Paragraphs>3900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