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333-224701</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2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2"/>
              </w:rPr>
              <w:t>Fee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3.50% Notes due 2030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$400,000,000</w:t>
            </w:r>
          </w:p>
        </w:tc>
        <w:tc>
          <w:tcPr>
            <w:tcW w:w="1540" w:type="dxa"/>
            <w:vAlign w:val="bottom"/>
            <w:tcBorders>
              <w:bottom w:val="single" w:sz="8" w:color="auto"/>
              <w:right w:val="single" w:sz="8" w:color="auto"/>
            </w:tcBorders>
          </w:tcPr>
          <w:p>
            <w:pPr>
              <w:jc w:val="right"/>
              <w:ind w:right="344"/>
              <w:spacing w:after="0"/>
              <w:rPr>
                <w:sz w:val="20"/>
                <w:szCs w:val="20"/>
                <w:color w:val="auto"/>
              </w:rPr>
            </w:pPr>
            <w:r>
              <w:rPr>
                <w:rFonts w:ascii="Arial" w:cs="Arial" w:eastAsia="Arial" w:hAnsi="Arial"/>
                <w:sz w:val="18"/>
                <w:szCs w:val="18"/>
                <w:color w:val="auto"/>
              </w:rPr>
              <w:t>98.911%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$395,644,000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$51,355</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3.95% Notes due 2024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$300,000,000</w:t>
            </w:r>
          </w:p>
        </w:tc>
        <w:tc>
          <w:tcPr>
            <w:tcW w:w="1540" w:type="dxa"/>
            <w:vAlign w:val="bottom"/>
            <w:tcBorders>
              <w:bottom w:val="single" w:sz="8" w:color="auto"/>
              <w:right w:val="single" w:sz="8" w:color="auto"/>
            </w:tcBorders>
          </w:tcPr>
          <w:p>
            <w:pPr>
              <w:jc w:val="right"/>
              <w:ind w:right="304"/>
              <w:spacing w:after="0"/>
              <w:rPr>
                <w:sz w:val="20"/>
                <w:szCs w:val="20"/>
                <w:color w:val="auto"/>
              </w:rPr>
            </w:pPr>
            <w:r>
              <w:rPr>
                <w:rFonts w:ascii="Arial" w:cs="Arial" w:eastAsia="Arial" w:hAnsi="Arial"/>
                <w:sz w:val="18"/>
                <w:szCs w:val="18"/>
                <w:color w:val="auto"/>
              </w:rPr>
              <w:t>103.257%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$309,771,000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$40,209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jc w:val="both"/>
        <w:ind w:left="540" w:right="120" w:hanging="424"/>
        <w:spacing w:after="0" w:line="286"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filing fee is calculated in accordance with Rule 457(r) under the Securities Act of 1933, as amended (the “Securities Act”), and relates to the Registration Statement on Form S-3 (No. 333-224701) filed on May 7, 2018 (the “Registration Statement”). In accordance with Rules 456(b) and 457(r) under the Securities Act, the registrant deferred payment of the registration fee for the Registration Statement.</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MAY 7, 2018)</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$700,000,000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109855</wp:posOffset>
            </wp:positionV>
            <wp:extent cx="1920240"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$400,000,000 3.50% Notes due 2030</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$300,000,000 3.95%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We are offering $700,000,000 aggregate principal amount of notes in two separate series. We are offering: (i) $400,000,000 aggregate principal amount of 3.50</w:t>
      </w:r>
    </w:p>
    <w:p>
      <w:pPr>
        <w:spacing w:after="0" w:line="44" w:lineRule="exact"/>
        <w:rPr>
          <w:sz w:val="20"/>
          <w:szCs w:val="20"/>
          <w:color w:val="auto"/>
        </w:rPr>
      </w:pPr>
    </w:p>
    <w:p>
      <w:pPr>
        <w:ind w:left="120" w:right="80" w:hanging="4"/>
        <w:spacing w:after="0" w:line="268"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Notes due 2030 (the “2030 Notes”); and (ii) $300,000,000 aggregate principal amount of 3.95% Notes due 2024 (the “2024 Notes” and, together with the 2030 Notes, the “notes”). The 2030 Notes will bear interest at the rate of 3.50 % per year, and the 2024 Notes will bear interest at the rate of 3.95% per year. Interest on the 2030 Notes will be payable semi-annually in arrears on June 1 and December 1 of each year, beginning on December 1, 2020, and interest on the 2024 Notes offered hereby will be payable semi-annually in arrears on January 15 and July 15 of each year, beginning on July 15, 2020. The 2030 Notes will mature on June 1, 2030, and the 2024 Notes will mature on January 15, 2024. We may redeem some or all of the notes at any time before maturity at the applicable redemption price discussed under the caption “Description of Notes — Optional Redemption.”</w:t>
      </w:r>
    </w:p>
    <w:p>
      <w:pPr>
        <w:spacing w:after="0" w:line="90" w:lineRule="exact"/>
        <w:rPr>
          <w:sz w:val="20"/>
          <w:szCs w:val="20"/>
          <w:color w:val="auto"/>
        </w:rPr>
      </w:pPr>
    </w:p>
    <w:p>
      <w:pPr>
        <w:ind w:left="120" w:right="360"/>
        <w:spacing w:after="0" w:line="261" w:lineRule="auto"/>
        <w:rPr>
          <w:sz w:val="20"/>
          <w:szCs w:val="20"/>
          <w:color w:val="auto"/>
        </w:rPr>
      </w:pPr>
      <w:r>
        <w:rPr>
          <w:rFonts w:ascii="Arial" w:cs="Arial" w:eastAsia="Arial" w:hAnsi="Arial"/>
          <w:sz w:val="17"/>
          <w:szCs w:val="17"/>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91" w:lineRule="exact"/>
        <w:rPr>
          <w:sz w:val="20"/>
          <w:szCs w:val="20"/>
          <w:color w:val="auto"/>
        </w:rPr>
      </w:pPr>
    </w:p>
    <w:p>
      <w:pPr>
        <w:jc w:val="both"/>
        <w:ind w:left="120" w:right="440"/>
        <w:spacing w:after="0" w:line="312" w:lineRule="auto"/>
        <w:rPr>
          <w:sz w:val="20"/>
          <w:szCs w:val="20"/>
          <w:color w:val="auto"/>
        </w:rPr>
      </w:pPr>
      <w:r>
        <w:rPr>
          <w:rFonts w:ascii="Arial" w:cs="Arial" w:eastAsia="Arial" w:hAnsi="Arial"/>
          <w:sz w:val="15"/>
          <w:szCs w:val="15"/>
          <w:color w:val="auto"/>
        </w:rPr>
        <w:t>The 2030 Notes are a new issue of securities with no established trading market. The 2024 Notes offered hereby will become part of the same series as our outstanding 3.95% Notes due 2024, $300,000,000 of which were originally issued on December 9, 2013, for all purposes, and the term 2024 Notes as used herein refers to the 2024 Notes offered hereby together with such outstanding notes. We do not intend to apply to list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2" w:lineRule="exact"/>
        <w:rPr>
          <w:sz w:val="20"/>
          <w:szCs w:val="20"/>
          <w:color w:val="auto"/>
        </w:rPr>
      </w:pPr>
    </w:p>
    <w:p>
      <w:pPr>
        <w:ind w:left="120" w:right="360"/>
        <w:spacing w:after="0" w:line="315"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notes involves risks. See “</w:t>
      </w:r>
      <w:hyperlink w:anchor="page11">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S-6 of this prospectus supplement, on page 3 of the accompanying prospectus, in our Annual Report on Form 10-K for the year ended December 31, 2019, filed with the Securities and Exchange Commission, or the SEC, on February 10, 2020 and in our Quarterly Report on Form 10-Q for the quarter ended March 31, 2020, filed with the SEC on May 6, 2020.</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 2030 Note</w:t>
            </w:r>
          </w:p>
        </w:tc>
        <w:tc>
          <w:tcPr>
            <w:tcW w:w="2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2030 Notes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 2024 Note</w:t>
            </w:r>
          </w:p>
        </w:tc>
        <w:tc>
          <w:tcPr>
            <w:tcW w:w="2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Total 2024 Notes</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Public offering price (1)(2)</w:t>
            </w: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98.911%</w:t>
            </w: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395,644,000</w:t>
            </w:r>
          </w:p>
        </w:tc>
        <w:tc>
          <w:tcPr>
            <w:tcW w:w="52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103.257%</w:t>
            </w: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309,771,000</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Underwriting discount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0.650%</w:t>
            </w:r>
          </w:p>
        </w:tc>
        <w:tc>
          <w:tcPr>
            <w:tcW w:w="4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2,600,000</w:t>
            </w:r>
          </w:p>
        </w:tc>
        <w:tc>
          <w:tcPr>
            <w:tcW w:w="5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0.500%</w:t>
            </w:r>
          </w:p>
        </w:tc>
        <w:tc>
          <w:tcPr>
            <w:tcW w:w="4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1,500,000</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 (2)</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98.261%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393,044,000</w:t>
            </w:r>
          </w:p>
        </w:tc>
        <w:tc>
          <w:tcPr>
            <w:tcW w:w="5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102.757%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308,271,000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Plus accrued interest with respect to the notes from May 11, 2020, if settlement occurs after that date.</w:t>
      </w:r>
    </w:p>
    <w:p>
      <w:pPr>
        <w:spacing w:after="0" w:line="22" w:lineRule="exact"/>
        <w:rPr>
          <w:rFonts w:ascii="Arial" w:cs="Arial" w:eastAsia="Arial" w:hAnsi="Arial"/>
          <w:sz w:val="16"/>
          <w:szCs w:val="16"/>
          <w:color w:val="auto"/>
        </w:rPr>
      </w:pPr>
    </w:p>
    <w:p>
      <w:pPr>
        <w:ind w:left="540" w:right="340" w:hanging="424"/>
        <w:spacing w:after="0" w:line="288"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Plus accrued interest with respect to the 2024 Notes from and including January 15, 2020 to, but not including, May 11, 2020 in the amount of $3,818,333.33. Accrued interest must be paid by purchasers of the 2024 Notes.</w:t>
      </w:r>
    </w:p>
    <w:p>
      <w:pPr>
        <w:spacing w:after="0" w:line="73"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color w:val="auto"/>
        </w:rPr>
        <w:t>The underwriters expect to deliver the notes to purchasers in book-entry only form through the facilities of The Depository Trust Company on or about May 11, 2020.</w:t>
      </w:r>
    </w:p>
    <w:p>
      <w:pPr>
        <w:spacing w:after="0" w:line="76"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126" w:lineRule="exact"/>
        <w:rPr>
          <w:sz w:val="20"/>
          <w:szCs w:val="20"/>
          <w:color w:val="auto"/>
        </w:rPr>
      </w:pPr>
    </w:p>
    <w:p>
      <w:pPr>
        <w:ind w:left="240"/>
        <w:spacing w:after="0"/>
        <w:tabs>
          <w:tab w:leader="none" w:pos="1880" w:val="left"/>
          <w:tab w:leader="none" w:pos="5100" w:val="left"/>
          <w:tab w:leader="none" w:pos="6440" w:val="left"/>
        </w:tabs>
        <w:rPr>
          <w:sz w:val="20"/>
          <w:szCs w:val="20"/>
          <w:color w:val="auto"/>
        </w:rPr>
      </w:pPr>
      <w:r>
        <w:rPr>
          <w:rFonts w:ascii="Arial" w:cs="Arial" w:eastAsia="Arial" w:hAnsi="Arial"/>
          <w:sz w:val="23"/>
          <w:szCs w:val="23"/>
          <w:b w:val="1"/>
          <w:bCs w:val="1"/>
          <w:color w:val="auto"/>
        </w:rPr>
        <w:t>Citigroup</w:t>
      </w:r>
      <w:r>
        <w:rPr>
          <w:sz w:val="20"/>
          <w:szCs w:val="20"/>
          <w:color w:val="auto"/>
        </w:rPr>
        <w:tab/>
      </w:r>
      <w:r>
        <w:rPr>
          <w:rFonts w:ascii="Arial" w:cs="Arial" w:eastAsia="Arial" w:hAnsi="Arial"/>
          <w:sz w:val="23"/>
          <w:szCs w:val="23"/>
          <w:b w:val="1"/>
          <w:bCs w:val="1"/>
          <w:color w:val="auto"/>
        </w:rPr>
        <w:t>Deutsche Bank Securities</w:t>
      </w:r>
      <w:r>
        <w:rPr>
          <w:sz w:val="20"/>
          <w:szCs w:val="20"/>
          <w:color w:val="auto"/>
        </w:rPr>
        <w:tab/>
      </w:r>
      <w:r>
        <w:rPr>
          <w:rFonts w:ascii="Arial" w:cs="Arial" w:eastAsia="Arial" w:hAnsi="Arial"/>
          <w:sz w:val="23"/>
          <w:szCs w:val="23"/>
          <w:b w:val="1"/>
          <w:bCs w:val="1"/>
          <w:color w:val="auto"/>
        </w:rPr>
        <w:t>Jefferies</w:t>
      </w:r>
      <w:r>
        <w:rPr>
          <w:sz w:val="20"/>
          <w:szCs w:val="20"/>
          <w:color w:val="auto"/>
        </w:rPr>
        <w:tab/>
      </w:r>
      <w:r>
        <w:rPr>
          <w:rFonts w:ascii="Arial" w:cs="Arial" w:eastAsia="Arial" w:hAnsi="Arial"/>
          <w:sz w:val="21"/>
          <w:szCs w:val="21"/>
          <w:b w:val="1"/>
          <w:bCs w:val="1"/>
          <w:color w:val="auto"/>
        </w:rPr>
        <w:t>US Bancorp</w:t>
      </w:r>
    </w:p>
    <w:p>
      <w:pPr>
        <w:spacing w:after="0" w:line="32" w:lineRule="exact"/>
        <w:rPr>
          <w:sz w:val="20"/>
          <w:szCs w:val="20"/>
          <w:color w:val="auto"/>
        </w:rPr>
      </w:pPr>
    </w:p>
    <w:p>
      <w:pPr>
        <w:ind w:left="700"/>
        <w:spacing w:after="0"/>
        <w:tabs>
          <w:tab w:leader="none" w:pos="4020" w:val="left"/>
        </w:tabs>
        <w:rPr>
          <w:sz w:val="20"/>
          <w:szCs w:val="20"/>
          <w:color w:val="auto"/>
        </w:rPr>
      </w:pPr>
      <w:r>
        <w:rPr>
          <w:rFonts w:ascii="Arial" w:cs="Arial" w:eastAsia="Arial" w:hAnsi="Arial"/>
          <w:sz w:val="23"/>
          <w:szCs w:val="23"/>
          <w:b w:val="1"/>
          <w:bCs w:val="1"/>
          <w:color w:val="auto"/>
        </w:rPr>
        <w:t>Regions Securities LLC</w:t>
      </w:r>
      <w:r>
        <w:rPr>
          <w:sz w:val="20"/>
          <w:szCs w:val="20"/>
          <w:color w:val="auto"/>
        </w:rPr>
        <w:tab/>
      </w:r>
      <w:r>
        <w:rPr>
          <w:rFonts w:ascii="Arial" w:cs="Arial" w:eastAsia="Arial" w:hAnsi="Arial"/>
          <w:sz w:val="21"/>
          <w:szCs w:val="21"/>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Wells Fargo Securities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TD Securities</w:t>
      </w:r>
    </w:p>
    <w:p>
      <w:pPr>
        <w:spacing w:after="0" w:line="119" w:lineRule="exact"/>
        <w:rPr>
          <w:sz w:val="20"/>
          <w:szCs w:val="20"/>
          <w:color w:val="auto"/>
        </w:rPr>
      </w:pPr>
    </w:p>
    <w:p>
      <w:pPr>
        <w:sectPr>
          <w:pgSz w:w="11900" w:h="16838" w:orient="portrait"/>
          <w:cols w:equalWidth="0" w:num="2">
            <w:col w:w="7760" w:space="720"/>
            <w:col w:w="266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140"/>
          </w:cols>
          <w:pgMar w:left="320" w:top="459" w:right="439" w:bottom="1440" w:gutter="0" w:footer="0" w:header="0"/>
          <w:type w:val="continuous"/>
        </w:sectPr>
      </w:pPr>
    </w:p>
    <w:p>
      <w:pPr>
        <w:spacing w:after="0" w:line="149" w:lineRule="exact"/>
        <w:rPr>
          <w:sz w:val="20"/>
          <w:szCs w:val="20"/>
          <w:color w:val="auto"/>
        </w:rPr>
      </w:pPr>
    </w:p>
    <w:p>
      <w:pPr>
        <w:ind w:left="2260"/>
        <w:spacing w:after="0"/>
        <w:rPr>
          <w:sz w:val="20"/>
          <w:szCs w:val="20"/>
          <w:color w:val="auto"/>
        </w:rPr>
      </w:pPr>
      <w:r>
        <w:rPr>
          <w:rFonts w:ascii="Arial" w:cs="Arial" w:eastAsia="Arial" w:hAnsi="Arial"/>
          <w:sz w:val="21"/>
          <w:szCs w:val="21"/>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Scotiabank</w:t>
      </w:r>
    </w:p>
    <w:p>
      <w:pPr>
        <w:spacing w:after="0" w:line="211" w:lineRule="exact"/>
        <w:rPr>
          <w:sz w:val="20"/>
          <w:szCs w:val="20"/>
          <w:color w:val="auto"/>
        </w:rPr>
      </w:pPr>
    </w:p>
    <w:p>
      <w:pPr>
        <w:sectPr>
          <w:pgSz w:w="11900" w:h="16838" w:orient="portrait"/>
          <w:cols w:equalWidth="0" w:num="2">
            <w:col w:w="7220" w:space="720"/>
            <w:col w:w="3200"/>
          </w:cols>
          <w:pgMar w:left="320" w:top="459" w:right="439" w:bottom="1440" w:gutter="0" w:footer="0" w:header="0"/>
          <w:type w:val="continuous"/>
        </w:sectPr>
      </w:pP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The date of this prospectus supplement is May 7,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58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w w:val="95"/>
              </w:rPr>
            </w:pPr>
            <w:hyperlink w:anchor="page4">
              <w:r>
                <w:rPr>
                  <w:rFonts w:ascii="Arial" w:cs="Arial" w:eastAsia="Arial" w:hAnsi="Arial"/>
                  <w:sz w:val="18"/>
                  <w:szCs w:val="18"/>
                  <w:u w:val="single" w:color="auto"/>
                  <w:color w:val="0000EE"/>
                  <w:w w:val="95"/>
                </w:rPr>
                <w:t>Cautionary Statement Concerning Forward-Looking Statements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Description of Notes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Additional Material Federal Income Tax Considerations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Underwriting (Conflicts of Interest)</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Experts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Matters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48"/>
        </w:trPr>
        <w:tc>
          <w:tcPr>
            <w:tcW w:w="4840" w:type="dxa"/>
            <w:vAlign w:val="bottom"/>
          </w:tcPr>
          <w:p>
            <w:pPr>
              <w:spacing w:after="0"/>
              <w:rPr>
                <w:sz w:val="24"/>
                <w:szCs w:val="24"/>
                <w:color w:val="auto"/>
              </w:rPr>
            </w:pPr>
          </w:p>
        </w:tc>
        <w:tc>
          <w:tcPr>
            <w:tcW w:w="6140" w:type="dxa"/>
            <w:vAlign w:val="bottom"/>
            <w:gridSpan w:val="3"/>
          </w:tcPr>
          <w:p>
            <w:pPr>
              <w:ind w:left="2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4840" w:type="dxa"/>
            <w:vAlign w:val="bottom"/>
            <w:vMerge w:val="restart"/>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58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Forward-Looking Statements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Prospectus Summary</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Use of Proceeds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Description of Debt Securities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Shares of Beneficial Interest</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Material Federal Income Tax Considerations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Plan of Distribution</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Legal Matters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Experts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84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Where You Can Find More Information</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120"/>
        <w:spacing w:after="0" w:line="314" w:lineRule="auto"/>
        <w:rPr>
          <w:sz w:val="20"/>
          <w:szCs w:val="20"/>
          <w:color w:val="auto"/>
        </w:rPr>
      </w:pPr>
      <w:r>
        <w:rPr>
          <w:rFonts w:ascii="Arial" w:cs="Arial" w:eastAsia="Arial" w:hAnsi="Arial"/>
          <w:sz w:val="15"/>
          <w:szCs w:val="15"/>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right="12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in our </w:t>
      </w:r>
      <w:hyperlink r:id="rId17">
        <w:r>
          <w:rPr>
            <w:rFonts w:ascii="Arial" w:cs="Arial" w:eastAsia="Arial" w:hAnsi="Arial"/>
            <w:sz w:val="17"/>
            <w:szCs w:val="17"/>
            <w:color w:val="auto"/>
          </w:rPr>
          <w:t xml:space="preserve">Annual Report on </w:t>
        </w:r>
        <w:r>
          <w:rPr>
            <w:rFonts w:ascii="Arial" w:cs="Arial" w:eastAsia="Arial" w:hAnsi="Arial"/>
            <w:sz w:val="17"/>
            <w:szCs w:val="17"/>
            <w:u w:val="single" w:color="auto"/>
            <w:color w:val="0000EE"/>
          </w:rPr>
          <w:t>Form 10-K for the year ended December 31, 2019</w:t>
        </w:r>
        <w:r>
          <w:rPr>
            <w:rFonts w:ascii="Arial" w:cs="Arial" w:eastAsia="Arial" w:hAnsi="Arial"/>
            <w:sz w:val="17"/>
            <w:szCs w:val="17"/>
            <w:color w:val="auto"/>
          </w:rPr>
          <w:t xml:space="preserve">, filed with the SEC on February 10, 2020 and in our Quarterly Report on </w:t>
        </w:r>
        <w:r>
          <w:rPr>
            <w:rFonts w:ascii="Arial" w:cs="Arial" w:eastAsia="Arial" w:hAnsi="Arial"/>
            <w:sz w:val="17"/>
            <w:szCs w:val="17"/>
            <w:u w:val="single" w:color="auto"/>
            <w:color w:val="0000EE"/>
          </w:rPr>
          <w:t>Form</w:t>
        </w:r>
      </w:hyperlink>
      <w:r>
        <w:rPr>
          <w:rFonts w:ascii="Arial" w:cs="Arial" w:eastAsia="Arial" w:hAnsi="Arial"/>
          <w:sz w:val="17"/>
          <w:szCs w:val="17"/>
          <w:color w:val="auto"/>
        </w:rPr>
        <w:t xml:space="preserve"> </w:t>
      </w:r>
      <w:hyperlink r:id="rId17">
        <w:r>
          <w:rPr>
            <w:rFonts w:ascii="Arial" w:cs="Arial" w:eastAsia="Arial" w:hAnsi="Arial"/>
            <w:sz w:val="17"/>
            <w:szCs w:val="17"/>
            <w:u w:val="single" w:color="auto"/>
            <w:color w:val="0000EE"/>
          </w:rPr>
          <w:t>10-Q for the quarter ended March 31, 2020</w:t>
        </w:r>
        <w:r>
          <w:rPr>
            <w:rFonts w:ascii="Arial" w:cs="Arial" w:eastAsia="Arial" w:hAnsi="Arial"/>
            <w:sz w:val="17"/>
            <w:szCs w:val="17"/>
            <w:color w:val="000000"/>
          </w:rPr>
          <w:t>, filed with the SEC on May 6, 2020, describe risks that may affect these statements but are not exhaustive,</w:t>
        </w:r>
      </w:hyperlink>
      <w:r>
        <w:rPr>
          <w:rFonts w:ascii="Arial" w:cs="Arial" w:eastAsia="Arial" w:hAnsi="Arial"/>
          <w:sz w:val="17"/>
          <w:szCs w:val="17"/>
          <w:color w:val="0000EE"/>
        </w:rPr>
        <w:t xml:space="preserve"> </w:t>
      </w:r>
      <w:r>
        <w:rPr>
          <w:rFonts w:ascii="Arial" w:cs="Arial" w:eastAsia="Arial" w:hAnsi="Arial"/>
          <w:sz w:val="17"/>
          <w:szCs w:val="17"/>
          <w:color w:val="000000"/>
        </w:rPr>
        <w:t>particularly with respect to possible future events. Many things can happen that can cause actual results to be different from those we describe. These factors include, but are not limited to:</w:t>
      </w:r>
    </w:p>
    <w:p>
      <w:pPr>
        <w:spacing w:after="0" w:line="87" w:lineRule="exact"/>
        <w:rPr>
          <w:sz w:val="20"/>
          <w:szCs w:val="20"/>
          <w:color w:val="auto"/>
        </w:rPr>
      </w:pPr>
    </w:p>
    <w:p>
      <w:pPr>
        <w:ind w:left="1080" w:right="3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occupancy levels at our properties and the amount of rent that we receive from our properties may be lower than expected,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0"/>
        <w:spacing w:after="0" w:line="263"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00" w:right="160"/>
        <w:spacing w:after="0" w:line="272" w:lineRule="auto"/>
        <w:rPr>
          <w:sz w:val="20"/>
          <w:szCs w:val="20"/>
          <w:color w:val="auto"/>
        </w:rPr>
      </w:pPr>
      <w:r>
        <w:rPr>
          <w:rFonts w:ascii="Arial" w:cs="Arial" w:eastAsia="Arial" w:hAnsi="Arial"/>
          <w:sz w:val="17"/>
          <w:szCs w:val="17"/>
          <w:color w:val="auto"/>
        </w:rPr>
        <w:t>Federal Realty Investment Trust (the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March 31, 2020, we owned or had a majority interest in community and neighborhood shopping centers and mixed-use properties which are operated as 104 predominantly retail real estate projects comprising approximately 24.1 million square feet. In total, the real estate projects were 93.6% leased and 91.5% occupied at March 31, 2020. We have paid quarterly dividends to our shareholders continuously since our founding in 1962 and have increased our dividends per common share for 52 consecutive years.</w:t>
      </w:r>
    </w:p>
    <w:p>
      <w:pPr>
        <w:spacing w:after="0" w:line="177"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w:t>
      </w:r>
    </w:p>
    <w:p>
      <w:pPr>
        <w:spacing w:after="0" w:line="2" w:lineRule="exact"/>
        <w:rPr>
          <w:sz w:val="20"/>
          <w:szCs w:val="20"/>
          <w:color w:val="auto"/>
        </w:rPr>
      </w:pPr>
    </w:p>
    <w:p>
      <w:pPr>
        <w:ind w:left="300" w:right="800" w:hanging="2"/>
        <w:spacing w:after="0" w:line="260"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Financing Transactions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New Term Loan</w:t>
      </w:r>
    </w:p>
    <w:p>
      <w:pPr>
        <w:spacing w:after="0" w:line="117"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On May 6, 2020, we entered into a Term Loan Agreement (the “Term Loan Agreement”), by and among the Trust, as Borrower, the financial institutions party thereto and their permitted assignees, as Lenders, PNC Bank, National Association, as Administrative Agent, and the other parties thereto. Under the terms of the Term Loan Agreement, we borrowed $400 million in the form of an unsecured term loan (the “New Term Loan”). The New Term Loan has a stated maturity date of May 6, 2021, subject to one 12-month extension at our option. The New Term Loan initially bears interest at a rate of LIBOR plus 135 basis points, and the spread over LIBOR is subject to adjustment based on our credit rating. The Term Loan Agreement does not have an accordion feature. The proceeds of the New Term Loan were used to reduce amounts outstanding under our revolving credit facility.</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Amendment to Revolving Credit Facility</w:t>
      </w:r>
    </w:p>
    <w:p>
      <w:pPr>
        <w:spacing w:after="0" w:line="117" w:lineRule="exact"/>
        <w:rPr>
          <w:sz w:val="20"/>
          <w:szCs w:val="20"/>
          <w:color w:val="auto"/>
        </w:rPr>
      </w:pPr>
    </w:p>
    <w:p>
      <w:pPr>
        <w:ind w:left="300" w:right="100"/>
        <w:spacing w:after="0" w:line="255" w:lineRule="auto"/>
        <w:rPr>
          <w:sz w:val="20"/>
          <w:szCs w:val="20"/>
          <w:color w:val="auto"/>
        </w:rPr>
      </w:pPr>
      <w:r>
        <w:rPr>
          <w:rFonts w:ascii="Arial" w:cs="Arial" w:eastAsia="Arial" w:hAnsi="Arial"/>
          <w:sz w:val="18"/>
          <w:szCs w:val="18"/>
          <w:color w:val="auto"/>
        </w:rPr>
        <w:t>Also on May 6, 2020, we entered into an amendment (the “Amendment”) to our Amended and Restated Credit Agreement, dated as of July 25, 2019, by and among the Trust, as Borrower, each of the lenders party thereto, and Wells Fargo Bank, National Association, as Administrative Agent. Among other things, the Amendment modifies the measurement period for certain financial covenants (and relevant associated definitions) from the most recent quarter, annualized, to a trailing four-quarter period, includes cash on hand (above a specified level) in the unencumbered asset value calculation, and allows for construction-in-process to be a higher percentage of certain asset value calculations, all as more specifically provided in the Amendment.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Effects of COVID-19</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COVID-19 pandemic has adversely affected us and many of our tenants. As of May 1, 2020:</w:t>
      </w:r>
    </w:p>
    <w:p>
      <w:pPr>
        <w:spacing w:after="0" w:line="131" w:lineRule="exact"/>
        <w:rPr>
          <w:sz w:val="20"/>
          <w:szCs w:val="20"/>
          <w:color w:val="auto"/>
        </w:rPr>
      </w:pPr>
    </w:p>
    <w:p>
      <w:pPr>
        <w:ind w:left="1240" w:right="36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on the basis of annualized in place contractual base rent for all occupied spaces as of March 31, 2020, approximately 47% of our commercial tenants are open and operating on at least a modified basis.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collected approximately 53% of total April 2020 billed recurring rents.</w:t>
      </w:r>
    </w:p>
    <w:p>
      <w:pPr>
        <w:spacing w:after="0" w:line="225" w:lineRule="exact"/>
        <w:rPr>
          <w:sz w:val="20"/>
          <w:szCs w:val="20"/>
          <w:color w:val="auto"/>
        </w:rPr>
      </w:pPr>
    </w:p>
    <w:p>
      <w:pPr>
        <w:ind w:left="300" w:right="340"/>
        <w:spacing w:after="0" w:line="290" w:lineRule="auto"/>
        <w:rPr>
          <w:sz w:val="20"/>
          <w:szCs w:val="20"/>
          <w:color w:val="auto"/>
        </w:rPr>
      </w:pPr>
      <w:r>
        <w:rPr>
          <w:rFonts w:ascii="Arial" w:cs="Arial" w:eastAsia="Arial" w:hAnsi="Arial"/>
          <w:sz w:val="16"/>
          <w:szCs w:val="16"/>
          <w:color w:val="auto"/>
        </w:rPr>
        <w:t>Due to the uncertainty introduced by the COVID-19 pandemic, our April collections may not be indicative of our future collections, which may exhibit significant variability. We are currently working with many of our smaller tenants to defer payment of rent for some or all of April, May, and June to later in 2020, and in many cases into 2021. We are expecting that our rent collections will continue to be significantly below our tenants’ contractual rent obligations for so long as governmental orders require non-essential businesses to remain closed and residents to stay at home, which will adversely impact our results of operations. The extent of such impact will depend on future developments, which are highly uncertain and cannot be predicted. Depending upon the duration of tenant closures and the overall economic downturn resulting from COVID-19, we may find that even deferred rents are difficult to collect, and we may experience higher vacancies. While the duration and severity of the economic impact resulting from COVID-19 is unknown, we seek to position the Trust to participate in any resulting economic recovery.</w:t>
      </w:r>
    </w:p>
    <w:p>
      <w:pPr>
        <w:spacing w:after="0" w:line="165" w:lineRule="exact"/>
        <w:rPr>
          <w:sz w:val="20"/>
          <w:szCs w:val="20"/>
          <w:color w:val="auto"/>
        </w:rPr>
      </w:pPr>
    </w:p>
    <w:p>
      <w:pPr>
        <w:jc w:val="both"/>
        <w:ind w:left="300" w:right="440"/>
        <w:spacing w:after="0" w:line="311" w:lineRule="auto"/>
        <w:rPr>
          <w:sz w:val="20"/>
          <w:szCs w:val="20"/>
          <w:color w:val="auto"/>
        </w:rPr>
      </w:pPr>
      <w:r>
        <w:rPr>
          <w:rFonts w:ascii="Arial" w:cs="Arial" w:eastAsia="Arial" w:hAnsi="Arial"/>
          <w:sz w:val="16"/>
          <w:szCs w:val="16"/>
          <w:color w:val="auto"/>
        </w:rPr>
        <w:t>Additionally, the pandemic could cause an increase in the number of our tenants experiencing financial distress and potentially bankruptcy. The pandemic is expected to adversely affect our operating cash flow and percentage rent. It is also possible that the pandemic could adversely affect our occupancy, increase our property-level expenses, and adversely affect our leasing efforts, and lead to potential impairments.</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80"/>
        <w:spacing w:after="0" w:line="263"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Issuer</w:t>
            </w:r>
          </w:p>
        </w:tc>
        <w:tc>
          <w:tcPr>
            <w:tcW w:w="7420" w:type="dxa"/>
            <w:vAlign w:val="bottom"/>
          </w:tcPr>
          <w:p>
            <w:pPr>
              <w:ind w:left="2120"/>
              <w:spacing w:after="0"/>
              <w:rPr>
                <w:sz w:val="20"/>
                <w:szCs w:val="20"/>
                <w:color w:val="auto"/>
              </w:rPr>
            </w:pPr>
            <w:r>
              <w:rPr>
                <w:rFonts w:ascii="Arial" w:cs="Arial" w:eastAsia="Arial" w:hAnsi="Arial"/>
                <w:sz w:val="18"/>
                <w:szCs w:val="18"/>
                <w:color w:val="auto"/>
              </w:rPr>
              <w:t>Federal Realty Investment Trust.</w:t>
            </w:r>
          </w:p>
        </w:tc>
      </w:tr>
      <w:tr>
        <w:trPr>
          <w:trHeight w:val="310"/>
        </w:trPr>
        <w:tc>
          <w:tcPr>
            <w:tcW w:w="360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420" w:type="dxa"/>
            <w:vAlign w:val="bottom"/>
          </w:tcPr>
          <w:p>
            <w:pPr>
              <w:ind w:left="2120"/>
              <w:spacing w:after="0"/>
              <w:rPr>
                <w:sz w:val="20"/>
                <w:szCs w:val="20"/>
                <w:color w:val="auto"/>
              </w:rPr>
            </w:pPr>
            <w:r>
              <w:rPr>
                <w:rFonts w:ascii="Arial" w:cs="Arial" w:eastAsia="Arial" w:hAnsi="Arial"/>
                <w:sz w:val="18"/>
                <w:szCs w:val="18"/>
                <w:color w:val="auto"/>
              </w:rPr>
              <w:t>$400 million aggregate principal amount of 3.50% Notes due 2030</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rPr>
              <w:t>and $300 million aggregate principal amount of 3.95% Notes due</w:t>
            </w:r>
          </w:p>
        </w:tc>
      </w:tr>
      <w:tr>
        <w:trPr>
          <w:trHeight w:val="230"/>
        </w:trPr>
        <w:tc>
          <w:tcPr>
            <w:tcW w:w="3600" w:type="dxa"/>
            <w:vAlign w:val="bottom"/>
          </w:tcPr>
          <w:p>
            <w:pPr>
              <w:spacing w:after="0"/>
              <w:rPr>
                <w:sz w:val="20"/>
                <w:szCs w:val="20"/>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rPr>
              <w:t>2024.</w:t>
            </w:r>
          </w:p>
        </w:tc>
      </w:tr>
      <w:tr>
        <w:trPr>
          <w:trHeight w:val="310"/>
        </w:trPr>
        <w:tc>
          <w:tcPr>
            <w:tcW w:w="360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7420" w:type="dxa"/>
            <w:vAlign w:val="bottom"/>
          </w:tcPr>
          <w:p>
            <w:pPr>
              <w:ind w:left="2120"/>
              <w:spacing w:after="0"/>
              <w:rPr>
                <w:sz w:val="20"/>
                <w:szCs w:val="20"/>
                <w:color w:val="auto"/>
              </w:rPr>
            </w:pPr>
            <w:r>
              <w:rPr>
                <w:rFonts w:ascii="Arial" w:cs="Arial" w:eastAsia="Arial" w:hAnsi="Arial"/>
                <w:sz w:val="18"/>
                <w:szCs w:val="18"/>
                <w:color w:val="auto"/>
                <w:w w:val="93"/>
              </w:rPr>
              <w:t>Unless redeemed prior to maturity as described below, the 2030 Notes</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rPr>
              <w:t>will mature on June 1, 2030 and the 2024 Notes will mature on</w:t>
            </w:r>
          </w:p>
        </w:tc>
      </w:tr>
      <w:tr>
        <w:trPr>
          <w:trHeight w:val="230"/>
        </w:trPr>
        <w:tc>
          <w:tcPr>
            <w:tcW w:w="3600" w:type="dxa"/>
            <w:vAlign w:val="bottom"/>
          </w:tcPr>
          <w:p>
            <w:pPr>
              <w:spacing w:after="0"/>
              <w:rPr>
                <w:sz w:val="20"/>
                <w:szCs w:val="20"/>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rPr>
              <w:t>January 15, 2024.</w:t>
            </w:r>
          </w:p>
        </w:tc>
      </w:tr>
      <w:tr>
        <w:trPr>
          <w:trHeight w:val="310"/>
        </w:trPr>
        <w:tc>
          <w:tcPr>
            <w:tcW w:w="360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420" w:type="dxa"/>
            <w:vAlign w:val="bottom"/>
          </w:tcPr>
          <w:p>
            <w:pPr>
              <w:ind w:left="2120"/>
              <w:spacing w:after="0"/>
              <w:rPr>
                <w:sz w:val="20"/>
                <w:szCs w:val="20"/>
                <w:color w:val="auto"/>
              </w:rPr>
            </w:pPr>
            <w:r>
              <w:rPr>
                <w:rFonts w:ascii="Arial" w:cs="Arial" w:eastAsia="Arial" w:hAnsi="Arial"/>
                <w:sz w:val="18"/>
                <w:szCs w:val="18"/>
                <w:color w:val="auto"/>
                <w:w w:val="99"/>
              </w:rPr>
              <w:t>Interest on the 2030 Notes will be payable semi-annually in arrears</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w w:val="97"/>
              </w:rPr>
              <w:t>on June 1 and December 1 of each year, beginning on December 1,</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w w:val="95"/>
              </w:rPr>
              <w:t>2020, and at maturity (or any earlier redemption date). Interest on the</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w w:val="95"/>
              </w:rPr>
              <w:t>2024 Notes will accrue from January 15, 2020, the last date on which</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w w:val="97"/>
              </w:rPr>
              <w:t>interest was paid on the notes of the same series previously issued.</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w w:val="94"/>
              </w:rPr>
              <w:t>Interest on the 2024 Notes will be payable semi-annually in arrears on</w:t>
            </w:r>
          </w:p>
        </w:tc>
      </w:tr>
      <w:tr>
        <w:trPr>
          <w:trHeight w:val="216"/>
        </w:trPr>
        <w:tc>
          <w:tcPr>
            <w:tcW w:w="3600" w:type="dxa"/>
            <w:vAlign w:val="bottom"/>
          </w:tcPr>
          <w:p>
            <w:pPr>
              <w:spacing w:after="0"/>
              <w:rPr>
                <w:sz w:val="18"/>
                <w:szCs w:val="18"/>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w w:val="95"/>
              </w:rPr>
              <w:t>January 15 and July 15 of each year, beginning on July 15, 2020, and</w:t>
            </w:r>
          </w:p>
        </w:tc>
      </w:tr>
      <w:tr>
        <w:trPr>
          <w:trHeight w:val="230"/>
        </w:trPr>
        <w:tc>
          <w:tcPr>
            <w:tcW w:w="3600" w:type="dxa"/>
            <w:vAlign w:val="bottom"/>
          </w:tcPr>
          <w:p>
            <w:pPr>
              <w:spacing w:after="0"/>
              <w:rPr>
                <w:sz w:val="20"/>
                <w:szCs w:val="20"/>
                <w:color w:val="auto"/>
              </w:rPr>
            </w:pPr>
          </w:p>
        </w:tc>
        <w:tc>
          <w:tcPr>
            <w:tcW w:w="7420" w:type="dxa"/>
            <w:vAlign w:val="bottom"/>
          </w:tcPr>
          <w:p>
            <w:pPr>
              <w:ind w:left="2120"/>
              <w:spacing w:after="0"/>
              <w:rPr>
                <w:sz w:val="20"/>
                <w:szCs w:val="20"/>
                <w:color w:val="auto"/>
              </w:rPr>
            </w:pPr>
            <w:r>
              <w:rPr>
                <w:rFonts w:ascii="Arial" w:cs="Arial" w:eastAsia="Arial" w:hAnsi="Arial"/>
                <w:sz w:val="18"/>
                <w:szCs w:val="18"/>
                <w:color w:val="auto"/>
              </w:rPr>
              <w:t>at maturity (or any earlier redemption date).</w:t>
            </w:r>
          </w:p>
        </w:tc>
      </w:tr>
      <w:tr>
        <w:trPr>
          <w:trHeight w:val="240"/>
        </w:trPr>
        <w:tc>
          <w:tcPr>
            <w:tcW w:w="360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p>
        </w:tc>
      </w:tr>
      <w:tr>
        <w:trPr>
          <w:trHeight w:val="604"/>
        </w:trPr>
        <w:tc>
          <w:tcPr>
            <w:tcW w:w="3600" w:type="dxa"/>
            <w:vAlign w:val="bottom"/>
          </w:tcPr>
          <w:p>
            <w:pPr>
              <w:spacing w:after="0"/>
              <w:rPr>
                <w:sz w:val="24"/>
                <w:szCs w:val="24"/>
                <w:color w:val="auto"/>
              </w:rPr>
            </w:pPr>
          </w:p>
        </w:tc>
        <w:tc>
          <w:tcPr>
            <w:tcW w:w="7420" w:type="dxa"/>
            <w:vAlign w:val="bottom"/>
          </w:tcPr>
          <w:p>
            <w:pPr>
              <w:ind w:left="17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04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color w:val="auto"/>
                <w:w w:val="97"/>
              </w:rPr>
              <w:t xml:space="preserve">The notes will be our senior unsecured obligations and will rank </w:t>
            </w:r>
            <w:r>
              <w:rPr>
                <w:rFonts w:ascii="Arial" w:cs="Arial" w:eastAsia="Arial" w:hAnsi="Arial"/>
                <w:sz w:val="18"/>
                <w:szCs w:val="18"/>
                <w:i w:val="1"/>
                <w:iCs w:val="1"/>
                <w:color w:val="auto"/>
                <w:w w:val="97"/>
              </w:rPr>
              <w:t>pari</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i w:val="1"/>
                <w:iCs w:val="1"/>
                <w:color w:val="auto"/>
                <w:w w:val="95"/>
              </w:rPr>
              <w:t>passu</w:t>
            </w:r>
            <w:r>
              <w:rPr>
                <w:rFonts w:ascii="Arial" w:cs="Arial" w:eastAsia="Arial" w:hAnsi="Arial"/>
                <w:sz w:val="18"/>
                <w:szCs w:val="18"/>
                <w:color w:val="auto"/>
                <w:w w:val="95"/>
              </w:rPr>
              <w:t>, or equally, with all of our other unsecured and unsubordinated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indebtedness. The notes will be effectively subordinated to the prior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claims of each secured mortgage lender to any specific property that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secures such lender’s mortgage and to all of the unsecured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indebtedness of our subsidiaries. At March 31, 2020, we had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outstanding approximately $555 million (excluding net unamortized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premium and debt issuance costs) of consolidated 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indebtedness, which was issued by our subsidiaries and is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collateralized by all or parts of 13 properties, and which will rank</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senior to the notes to the extent of the securing collateral and will also</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be structurally senior to the notes, approximately $4 million</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(excluding net unamortized debt issuance costs) of unsecured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indebtedness issued by our subsidiaries, which will be structurally</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9"/>
              </w:rPr>
              <w:t>senior to the notes, and approximately $3,809 million of unsecured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9"/>
              </w:rPr>
              <w:t>indebtedness (excluding net unamortized discount or premium and</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debt issuance costs), which will rank equally with the notes.</w:t>
            </w:r>
          </w:p>
        </w:tc>
      </w:tr>
      <w:tr>
        <w:trPr>
          <w:trHeight w:val="310"/>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2"/>
              </w:rPr>
              <w:t>We intend to use the net proceeds from this offering to reduce amounts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outstanding under our revolving credit facility and for general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corporate purposes. See “Use of Proceeds” on page S-8 for more</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information.</w:t>
            </w:r>
          </w:p>
        </w:tc>
      </w:tr>
      <w:tr>
        <w:trPr>
          <w:trHeight w:val="323"/>
        </w:trPr>
        <w:tc>
          <w:tcPr>
            <w:tcW w:w="3980" w:type="dxa"/>
            <w:vAlign w:val="bottom"/>
            <w:tcBorders>
              <w:left w:val="single" w:sz="8" w:color="auto"/>
            </w:tcBorders>
          </w:tcPr>
          <w:p>
            <w:pPr>
              <w:spacing w:after="0"/>
              <w:rPr>
                <w:sz w:val="24"/>
                <w:szCs w:val="24"/>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We expect that the sales of the 2030 Notes and the 2024 Notes will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take place concurrently. However, the sales of the 2030 Notes and the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2024 Notes are not conditioned upon each other, and we may</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consummate the sale of one series and not the other, or consummate</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sales at different times.</w:t>
            </w:r>
          </w:p>
        </w:tc>
      </w:tr>
      <w:tr>
        <w:trPr>
          <w:trHeight w:val="338"/>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Limitations on incurrence of debt</w:t>
            </w: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10"/>
        </w:trPr>
        <w:tc>
          <w:tcPr>
            <w:tcW w:w="3980" w:type="dxa"/>
            <w:vAlign w:val="bottom"/>
            <w:tcBorders>
              <w:left w:val="single" w:sz="8" w:color="auto"/>
            </w:tcBorders>
          </w:tcPr>
          <w:p>
            <w:pPr>
              <w:spacing w:after="0"/>
              <w:rPr>
                <w:sz w:val="24"/>
                <w:szCs w:val="24"/>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9"/>
              </w:rPr>
              <w:t>(1) we will not, and will not permit any subsidiary to, incur any Debt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if, immediately after giving effect to the incurrence of such Debt and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the application of the proceeds thereof, the aggregate principal amount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of all of our and our subsidiaries’ outstanding Debt on a consolidated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basis determined in accordance with generally accepted accounting</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principles is greater than 60% of the sum of (without duplication)</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(a) Total Assets as of the end of the calendar quarter covered in our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Annual Report on Form 10-K or Quarterly Report on Form 10-Q, as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the case may be, most recently filed with the SEC (or, if such filing is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not permitted under the Exchange Act, with U.S. Bank National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Association, the trustee) prior to the incurrence of such additional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Debt and (b) the purchase price of any real estate assets or mortgages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receivable acquired, and the amount of any securities offering</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proceeds received (to the extent such proceeds were not used to</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5"/>
              </w:rPr>
              <w:t>acquire real estate assets or mortgages receivable or used to reduce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Debt), by us or any subsidiary since the end of such calendar quarter,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including those proceeds obtained in connection with the incurrence of</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such additional Debt;</w:t>
            </w:r>
          </w:p>
        </w:tc>
      </w:tr>
      <w:tr>
        <w:trPr>
          <w:trHeight w:val="240"/>
        </w:trPr>
        <w:tc>
          <w:tcPr>
            <w:tcW w:w="3980" w:type="dxa"/>
            <w:vAlign w:val="bottom"/>
            <w:tcBorders>
              <w:left w:val="single" w:sz="8" w:color="auto"/>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r>
      <w:tr>
        <w:trPr>
          <w:trHeight w:val="604"/>
        </w:trPr>
        <w:tc>
          <w:tcPr>
            <w:tcW w:w="3980" w:type="dxa"/>
            <w:vAlign w:val="bottom"/>
          </w:tcPr>
          <w:p>
            <w:pPr>
              <w:spacing w:after="0"/>
              <w:rPr>
                <w:sz w:val="24"/>
                <w:szCs w:val="24"/>
                <w:color w:val="auto"/>
              </w:rPr>
            </w:pPr>
          </w:p>
        </w:tc>
        <w:tc>
          <w:tcPr>
            <w:tcW w:w="7040" w:type="dxa"/>
            <w:vAlign w:val="bottom"/>
          </w:tcPr>
          <w:p>
            <w:pPr>
              <w:ind w:left="1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487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98970" cy="7487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 we will not, and will not permit any subsidiary to, incur any Debt</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secured by any mortgage, lien, charge, pledge, encumbrance or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security interest of any kind upon any of our or any of our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subsidiaries’ property if, immediately after giving effect to the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incurrence of such Debt and the application of the proceeds thereof,</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the aggregate principal amount of all of our and our subsidiaries’</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outstanding Debt on a consolidated basis which is secured by any</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mortgage, lien, charge, pledge, encumbrance or security interest on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our or our subsidiaries’ property is greater than 40% of the sum of</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(without duplication) (a) Total Assets as of the end of the calendar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quarter covered in our Annual Report on Form 10-K or Quarterly</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Report on Form 10-Q, as the case may be, most recently filed with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SEC (or, if such filing is not permitted under the Exchange Act, with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the trustee) prior to the incurrence of such additional Debt and (b)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purchase price of any real estate assets or mortgages receivable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acquired, and the amount of any securities offering proceeds received</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(to the extent such proceeds were not used to acquire real estate assets</w:t>
      </w:r>
    </w:p>
    <w:p>
      <w:pPr>
        <w:spacing w:after="0" w:line="4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or mortgages receivable or used to reduce Debt), by us or any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subsidiary since the end of such calendar quarter, including those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proceeds obtained in connection with the incurrence of such additional</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this limitation, the amount of</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obligations under capital leases shown as a liability on our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consolidated balance sheet shall be deducted from Debt and from</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Total Assets;</w:t>
      </w:r>
    </w:p>
    <w:p>
      <w:pPr>
        <w:spacing w:after="0" w:line="10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 we will not, and will not permit any subsidiary to, incur any Debt</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if the ratio of Consolidated Income Available for Debt Service to the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Annual Debt Service Charge for the four consecutive fiscal quarters</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most recently ended prior to the date on which such additional Debt is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to be incurred shall have been less than 1.5 to 1, on an unaudited pro</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forma basis after giving effect thereto and to the application of the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proceeds therefrom and calculated on the assumption that: (a) such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Debt and any other Debt incurred by us and our subsidiaries since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first day of such four-quarter period and the application of the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proceeds therefrom, including to refinance other Debt, had occurred at</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the beginning of such period; (b) the repayment or retirement of any</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other Debt by us and our subsidiaries since the first day of such four-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quarter period had been repaid or retired at the beginning of such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period (except that, in making such computation, the amount of Debt</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under any revolving credit facility shall be computed based upon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average daily balance of such Debt during such period); (c) in the case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of Acquired Debt or Debt incurred in connection with any acquisition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since the first day of such four-quarter period, the related acquisition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had occurred as of the first day of such period, with the appropriate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adjustments with respect to such acquisition being included in such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unaudited pro forma calculation; and (d) in the case of any acquisition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or disposition by us or our subsidiaries of any asset or group of assets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since the first day of such four-quarter period, whether by merger,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stock purchase or sale, or asset purchase or sale, such acquisition or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disposition or any related repayment of Debt had occurred as of the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first day of such period, with the appropriate adjustments with respect</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to such acquisition or disposition being included in such unaudited pro</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forma calculation;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7590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998970" cy="759079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59"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2030 Notes will be redeemable at any time at our option, in whole or in part. If the 2030 Notes are redeemed before March 1, 2030 (three months prior to the stated maturity date), the redemption price will be equal to the sum of (1) 100% of the principal amount of the 2030 Notes being redeemed plus accrued and unpaid interest thereon up to, but excluding, the redemption date, and (2) the Make-Whole Amount, as defined herein, if any, with respect to such notes.</w:t>
      </w:r>
    </w:p>
    <w:p>
      <w:pPr>
        <w:spacing w:after="0" w:line="7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the 2030 Notes are redeemed on or after March 1, 2030 (three months prior to the maturity date), the redemption price will be equal to 100% of the principal amount of the 2030 Notes being redeemed plus accrued and unpaid interest thereon to, but excluding, the redemption date.</w:t>
      </w:r>
    </w:p>
    <w:p>
      <w:pPr>
        <w:spacing w:after="0" w:line="9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2024 Notes are redeemable at any time at our option, in whole or in part. If the 2024 Notes are redeemed before 90 days prior to the maturity date, the redemption price will be equal to the greater of</w:t>
      </w:r>
    </w:p>
    <w:p>
      <w:pPr>
        <w:spacing w:after="0" w:line="2" w:lineRule="exact"/>
        <w:rPr>
          <w:sz w:val="20"/>
          <w:szCs w:val="20"/>
          <w:color w:val="auto"/>
        </w:rPr>
      </w:pPr>
    </w:p>
    <w:p>
      <w:pPr>
        <w:ind w:right="60"/>
        <w:spacing w:after="0" w:line="286"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100% of the principal amount of the 2024 Notes being redeemed, or (2) the sum of the present values of the remaining scheduled payments of principal and interest thereon, discounted to the redemption date on a semi-annual basis at the Adjusted Treasury Rate plus 20 basis points (0.20%), plus, in each case, accrued and unpaid interest thereon to, but excluding, the redemption date. If the 2024 Notes are redeemed on or after 90 days prior to the maturity date, the redemption price will be equal to 100% of the principal amount of the 2024 Notes being redeemed plus accrued and unpaid interest thereon to, but excluding, the redemption date..</w:t>
      </w:r>
    </w:p>
    <w:p>
      <w:pPr>
        <w:spacing w:after="0" w:line="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 “Description of Notes — Optional Redemption” for more information.</w:t>
      </w:r>
    </w:p>
    <w:p>
      <w:pPr>
        <w:spacing w:after="0" w:line="7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in our Annual Report on Form 10-K for the year ended December 31, 2019, filed with the SEC on February 10, 2020 and in our Quarterly Report on Form 10-Q for the quarter ended March 31, 2020, filed with the SEC on May 6, 2020,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51 of the accompanying prospectus.</w:t>
      </w:r>
    </w:p>
    <w:p>
      <w:pPr>
        <w:spacing w:after="0" w:line="200" w:lineRule="exact"/>
        <w:rPr>
          <w:sz w:val="20"/>
          <w:szCs w:val="20"/>
          <w:color w:val="auto"/>
        </w:rPr>
      </w:pPr>
    </w:p>
    <w:p>
      <w:pPr>
        <w:sectPr>
          <w:pgSz w:w="11900" w:h="16838" w:orient="portrait"/>
          <w:cols w:equalWidth="0" w:num="2">
            <w:col w:w="5120" w:space="720"/>
            <w:col w:w="5100"/>
          </w:cols>
          <w:pgMar w:left="320" w:top="459" w:right="6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0940"/>
          </w:cols>
          <w:pgMar w:left="320" w:top="459" w:right="6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2019, filed with the SEC on February 10, 2020, and in our Quarterly Report on Form 10-Q for the quarter ended March 31, 2020, filed with the SEC on May 6, 2020, before you decide to purchase the notes. The risks and uncertainties described below and in the incorporated Annual Report for the year ended December 31, 2019 and Quarterly Report for the quarter ended March 31, 2020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61"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The COVID-19 pandemic and measures instituted by governments, businesses and households to limit its spread could have a material adverse effect on our business, results of operations, cash flows, liquidity, financial condition and growth prospects, which could adversely affect our ability to service our debt, including the notes.</w:t>
      </w:r>
    </w:p>
    <w:p>
      <w:pPr>
        <w:spacing w:after="0" w:line="18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March 2020, the World Health Organization declared the outbreak of novel coronavirus disease (“COVID-19”) as a pandemic. The spread of COVID-19 and measures instituted by governments as well as personal choices intended to prevent its spread, including stay-at-home orders and mandatory business closures, could inhibit global, national and local economic activity; adversely affect trading activity in securities markets, which could negatively impact the trading prices of our common shares and debt securities, including the notes, and our ability to access the securities markets as a source of liquidity; adversely affect our tenants’ financial condition by limiting foot traffic and staffing at their businesses, which could affect their ability to pay rent and willingness to make new leasing commitments; reduce our cash flow, which could impact our ability to pay dividends or to service our debt, including the notes; temporarily or permanently reduce the demand for retail and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and have other direct and indirect effects that are difficult to predict. We expect these and other factors to have an adverse effect on our business, results of operations, cash flows, liquidity, financial condition and growth prospects, but the full extent is highly uncertain and will ultimately depend on future developments, none of which can be predicted with any certainty. Any such adverse effects may make it more difficult for us to meet our obligations under the notes. For more information, see “Impacts of COVID-19 Pandemic” under Part I, Item 2 – Management’s Discussion and Analysis of Financial Condition and Results of Operations” – in our Quarterly Report on Form 10-Q for the quarter ended March 31, 2020, which is incorporated by reference into this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notes will be structurally subordinated to the claims of our subsidiaries’ creditors and our subsidiaries’ preferred equity holders.</w:t>
      </w:r>
    </w:p>
    <w:p>
      <w:pPr>
        <w:spacing w:after="0" w:line="133"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2020, our consolidated subsidiaries had approximately $558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2020, we had approximately $555 million (excluding net unamortized premium and debt issuance costs) of consolidated secured debt outstanding, all of which was effectively senior to the notes to the extent of the value of the securing collateral.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The 2030 Notes will be a new issue of securities with no established trading market. Although the 2024 Notes offered hereby will become part of the same series as our outstanding 3.95% Notes due 2024 ($300,000,000 aggregate principal amount of which are outstanding prior to giving effect to the $300,000,000 aggregate principal amount of 2024 Notes offered hereby), we cannot assure you that there will be an active trading market for the 2024 Notes.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$700.1 million after deducting the underwriting discount and other estimated expenses of this offering payable by us (and not including the amount of accrued interest paid by the purchasers of the 2024 notes). We intend to use these net proceeds to reduce amounts outstanding under our revolving credit facility and for general corporate purposes.</w:t>
      </w:r>
    </w:p>
    <w:p>
      <w:pPr>
        <w:spacing w:after="0" w:line="18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$1.0 billion revolving credit facility matures on January 19, 2024, subject to two six-month extensions at our option. LIBOR loans outstanding under our revolving credit facility bear interest at seven day, one month, three month or six month LIBOR, at our election, plus a spread of 77.5 basis points, subject to adjustment based on our credit rating. In addition, we have an option (subject to the approval of the lenders under our revolving credit facility) to increase our revolving credit facility through an accordion feature to $1.5 billion. As of March 31, 2020, the outstanding balance under our revolving credit facility was $990 million ($590 million as of May 6, 2020).</w:t>
      </w:r>
    </w:p>
    <w:p>
      <w:pPr>
        <w:spacing w:after="0" w:line="17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thereunder. See “Underwriting (Conflicts of Interest) — Conflicts of Interest.”</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expect that the sales of the 2030 Notes and the 2024 Notes will take place concurrently. However, the sales of the 2030 Notes and the 2024 Notes are not conditioned upon each other, and we may consummate the sale of one series and not the other, or consummate the sales at different times.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NOTES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We are offering $700,000,000 aggregate principal amount of notes in two separate series. We are offering $400,000,000 aggregate principal amount of 2030 Notes and $300,000,000 aggregate principal amount of 2024 Notes. The 2030 Notes will mature on June 1, 2030 (unless redeemed prior to such date in accordance with their terms) and the 2024 Notes will mature on January 15, 2024 (unless redeemed prior to such date in accordance with their terms).</w:t>
      </w:r>
    </w:p>
    <w:p>
      <w:pPr>
        <w:spacing w:after="0" w:line="18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2024 Notes offered hereby will be an additional issuance of our outstanding 3.95% Notes due 2024 ($300,000,000 of which were originally issued on December 9, 2013). The terms of the 2024 Notes offered hereby, other than their issue date, initial interest accrual date, initial interest payment date and issue price, will be identical to the terms of and will be part of the same series as the $300,000,000 aggregate principal amount of our outstanding 3.95% Notes due 2024. The 2024 Notes offered hereby will have the same CUSIP number as the currently outstanding 2024 Notes and will trade interchangeably with such notes immediately upon settlement. Upon consummation of this offering, the aggregate principal amount outstanding of our 3.95% Notes due 2024, including the 2024 Notes offered hereby, will be $600,000,000.</w:t>
      </w:r>
    </w:p>
    <w:p>
      <w:pPr>
        <w:spacing w:after="0" w:line="17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will pay interest on the 2030 Notes semi-annually in arrears at an annual rate of 3.50% on June 1 and December 1 of each year, beginning on December 1, 2020, to the registered holders of the 2030 Notes on the preceding May 15 and November 15. We will pay interest on the 2024 Notes semi-annually in arrears at an annual rate of 3.95% on January 15 and July 15 of each year, beginning on July 15, 2020, to the registered holders of the 2024 Notes on the preceding January 1 and July 1. Unless previously redeemed, the 2030 Notes will mature on June 1, 2030, and the 2024 Notes will mature on January 15, 2024.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2030 Notes will be issued only in registered form in denominations of $2,000 and integral multiples of $1,000 in excess thereof. The 2024 Notes will be issued only in registered form in denominations of $1,000 and any integral multiple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The 2030 Notes will be issued in an initial aggregate principal amount of $400,000,000. We may from time to time, without the consent of existing holders, create and issue further notes having the same terms and conditions as the 2030 Notes or the 2024 Notes being offered hereby in all respects, except for the issue date, the issue price and, if applicable, the first payment of interest thereon and the initial interest accrual date. Additional notes issued in this manner will be consolidated with, and will form a single series with, the applicable previously outstanding 2030 Notes or 2024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March 31, 2020, we had outstanding approximately $555 million (excluding net unamortized premium and debt issuance costs) of consolidated secured indebtedness, which was issued by our subsidiaries and is collateralized by all or parts of 13 properties, and which ranks senior to the notes to the extent of securing collateral and will also be structurally senior to the notes, approximately $4 million (excluding net unamortized debt issuance costs) of unsecured indebtedness issued by our subsidiaries, which will be structurally senior to the notes, and approximately $3,809 million of unsecured indebtedness (excluding net unamortized premium or discount and debt issuance costs), which will rank equally with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2030 Notes</w:t>
      </w:r>
      <w:r>
        <w:rPr>
          <w:rFonts w:ascii="Arial" w:cs="Arial" w:eastAsia="Arial" w:hAnsi="Arial"/>
          <w:sz w:val="18"/>
          <w:szCs w:val="18"/>
          <w:color w:val="auto"/>
        </w:rPr>
        <w:t>.</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2030 Notes will be redeemable at any time at our option, in whole or in part. If the 2030 Notes are redeemed before March 1, 2030 (three months prior to the stated maturity date) (the “2030 Notes Par Call Date”), the redemption price will be equal to the sum of (1) 100% of the principal amount of the 2030 Notes being redeemed plus accrued and unpaid interest thereon up to, but excluding, the redemption date, and (2) the Make-Whole Amount, if any, with respect to such notes. If the 2030 Notes are redeemed on or after the 2030 Notes Par Call Date, the redemption price will be equal to 100% of the principal amount of the 2030 Notes being redeemed plus accrued and unpaid interest thereon to, but excluding, the redemption date.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with respect to the 2030 Notes: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Amount</w:t>
      </w:r>
      <w:r>
        <w:rPr>
          <w:rFonts w:ascii="Arial" w:cs="Arial" w:eastAsia="Arial" w:hAnsi="Arial"/>
          <w:sz w:val="18"/>
          <w:szCs w:val="18"/>
          <w:color w:val="auto"/>
        </w:rPr>
        <w:t>” means, in connection with any optional redemption of the 2030 Notes, the excess, if any, of:</w:t>
      </w:r>
    </w:p>
    <w:p>
      <w:pPr>
        <w:spacing w:after="0" w:line="131" w:lineRule="exact"/>
        <w:rPr>
          <w:sz w:val="20"/>
          <w:szCs w:val="20"/>
          <w:color w:val="auto"/>
        </w:rPr>
      </w:pPr>
    </w:p>
    <w:p>
      <w:pPr>
        <w:ind w:left="1080" w:right="80" w:hanging="424"/>
        <w:spacing w:after="0" w:line="29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aggregate present value as of the redemption date of each dollar of principal being redeemed and the amount of interest, calculated by us, excluding interest accrued to the redemption date, that would have been payable in respect of such dollar if such redemption had been made on the 2030 Notes Par Call Date, determined by discounting, on a semi-annual basis, such principal and interest at the Reinvestment Rate, determined on the third business day preceding the date notice of such redemption is given, from the respective dates on which the principal and interest would have been payable if such redemption had been made on the 2030 Notes Par Call Date, over</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of the notes being redeemed.</w:t>
      </w:r>
    </w:p>
    <w:p>
      <w:pPr>
        <w:spacing w:after="0" w:line="2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Reinvestment Rate</w:t>
      </w:r>
      <w:r>
        <w:rPr>
          <w:rFonts w:ascii="Arial" w:cs="Arial" w:eastAsia="Arial" w:hAnsi="Arial"/>
          <w:sz w:val="16"/>
          <w:szCs w:val="16"/>
          <w:color w:val="auto"/>
        </w:rPr>
        <w:t>” means a rate per annum equal to the sum of basis forty-five points (0.45%) plus the yield on treasury securities at constant maturity under the heading “Week Ending” published in the Statistical Release under the caption “Treasury Constant Maturities” for the maturity (rounded to the nearest month) corresponding to the remaining life to maturity of the notes (which maturity shall be deemed to be the 2030 Notes Par Call Date) as of the payment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purposes of calculating the Reinvestment Rate, the most recent Statistical Release published prior to the date of determination of the Make-Whole Amount shall be used. If the format or content of the Statistical Release changes in a manner that precludes determination of the yield on treasury in the above manner, then the yield on treasury will be determined in the manner that most closely approximates the above manner, as we reasonably determine.</w:t>
      </w:r>
    </w:p>
    <w:p>
      <w:pPr>
        <w:spacing w:after="0" w:line="16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Statistical Release</w:t>
      </w:r>
      <w:r>
        <w:rPr>
          <w:rFonts w:ascii="Arial" w:cs="Arial" w:eastAsia="Arial" w:hAnsi="Arial"/>
          <w:sz w:val="17"/>
          <w:szCs w:val="17"/>
          <w:color w:val="auto"/>
        </w:rPr>
        <w:t>” means the statistical release designated “Selected Interest Rates (Daily)—H.15” or any successor publication which is published by the Federal Reserve System and which establishes yields on actively traded United States government securities adjusted to constant maturities or, if such statistical release is not published at the time of any determination under the Indenture, then any publicly available source of similar market data used for this purpose in accordance with customary market practice which shall be designated by 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2024 Notes are redeemable at any time at our option, in whole or in part. If the 2024 Notes are redeemed before 90 days prior to the maturity date, the redemption price will be equal to the greater of (1) 100% of the principal amount of the 2024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w:t>
      </w:r>
    </w:p>
    <w:p>
      <w:pPr>
        <w:spacing w:after="0" w:line="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360-day year consisting of twelve 30-day months) at the Adjusted Treasury Rate (as defined below) plus 20 basis points (0.20%), plus, in each case, accrued and unpaid interest thereon to, but excluding, the redemption date. If the 2024 Notes are redeemed on or after 90 days prior to the maturity date, the redemption price will be equal to 100% of the principal amount of the 2024 Notes being redeemed plus accrued and unpaid interest thereon to, but excluding, the redemption date.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with respect to the 2024 Notes:</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the Quotation Agent as having a maturity comparable to the remaining term of the 2024 Notes to be redeemed that would be utilized, at the time of selection and in accordance with customary financial practice, in pricing new issues of corporate debt securities of comparable maturity to the remaining term of such 2024 Notes.</w:t>
      </w:r>
    </w:p>
    <w:p>
      <w:pPr>
        <w:spacing w:after="0" w:line="16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a Primary Treasury Dealer (as defined below) selected by Wells Fargo Securities, LLC, Citigroup Global Markets Inc. and J.P. Morgan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Notice of any redemption of the 2030 Notes will be mailed at least 15 days but not more than 60 days before the redemption date to each holder of the 2030 Notes to be redeemed. Notice of any redemption of the 2024 Notes will be mailed at least 30 days but not more than 60 days before the redemption date to each holder of the 2024 Notes to be redeemed. Unless we default in payment of the redemption price, on and after the redemption date, interest will cease to accrue on the notes or portions thereof called for redemption.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i w:val="1"/>
          <w:iCs w:val="1"/>
          <w:color w:val="auto"/>
        </w:rPr>
        <w:t>Limitations on Incurrence of Debt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not, and will not permit any subsidiary to, incur any Debt if, immediately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7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0" w:lineRule="exact"/>
        <w:rPr>
          <w:sz w:val="20"/>
          <w:szCs w:val="20"/>
          <w:color w:val="auto"/>
        </w:rPr>
      </w:pPr>
    </w:p>
    <w:p>
      <w:pPr>
        <w:ind w:left="120" w:right="5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left="120" w:right="340"/>
        <w:spacing w:after="0" w:line="256" w:lineRule="auto"/>
        <w:rPr>
          <w:sz w:val="20"/>
          <w:szCs w:val="20"/>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will, and will cause each of our subsidiaries to, maintain insurance with financially sound and reputable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amended and restated credit agreement dated as of July 25, 2019,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w:t>
      </w:r>
    </w:p>
    <w:p>
      <w:pPr>
        <w:spacing w:after="0" w:line="131" w:lineRule="exact"/>
        <w:rPr>
          <w:sz w:val="20"/>
          <w:szCs w:val="20"/>
          <w:color w:val="auto"/>
        </w:rPr>
      </w:pPr>
    </w:p>
    <w:p>
      <w:pPr>
        <w:ind w:left="1080" w:hanging="532"/>
        <w:spacing w:after="0" w:line="285"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the 2030 Notes,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provided that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 and</w:t>
      </w:r>
    </w:p>
    <w:p>
      <w:pPr>
        <w:spacing w:after="0" w:line="203" w:lineRule="exact"/>
        <w:rPr>
          <w:rFonts w:ascii="Arial" w:cs="Arial" w:eastAsia="Arial" w:hAnsi="Arial"/>
          <w:sz w:val="16"/>
          <w:szCs w:val="16"/>
          <w:color w:val="auto"/>
        </w:rPr>
      </w:pPr>
    </w:p>
    <w:p>
      <w:pPr>
        <w:ind w:left="1080" w:right="40" w:hanging="532"/>
        <w:spacing w:after="0" w:line="285"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with respect to the 2024 Notes,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left="120" w:right="8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46"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(a), with respect to the 2030 Notes,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 and (b), with respect to the 2024 Notes,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(1)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(2)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the following events of default:</w:t>
      </w:r>
    </w:p>
    <w:p>
      <w:pPr>
        <w:spacing w:after="0" w:line="225" w:lineRule="exact"/>
        <w:rPr>
          <w:sz w:val="20"/>
          <w:szCs w:val="20"/>
          <w:color w:val="auto"/>
        </w:rPr>
      </w:pPr>
    </w:p>
    <w:p>
      <w:pPr>
        <w:ind w:left="120" w:right="240" w:hanging="4"/>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left="120" w:right="380" w:hanging="4"/>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300" w:hanging="184"/>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left="120" w:right="20" w:hanging="4"/>
        <w:spacing w:after="0" w:line="263"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184" w:lineRule="exact"/>
        <w:rPr>
          <w:sz w:val="20"/>
          <w:szCs w:val="20"/>
          <w:color w:val="auto"/>
        </w:rPr>
      </w:pPr>
    </w:p>
    <w:p>
      <w:pPr>
        <w:ind w:left="360" w:hanging="244"/>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5460" w:right="1540" w:hanging="5344"/>
        <w:spacing w:after="0" w:line="449" w:lineRule="auto"/>
        <w:tabs>
          <w:tab w:leader="none" w:pos="3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 S-14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The occurrence of one or more defaults under:</w:t>
      </w:r>
    </w:p>
    <w:p>
      <w:pPr>
        <w:spacing w:after="0" w:line="225" w:lineRule="exact"/>
        <w:rPr>
          <w:sz w:val="20"/>
          <w:szCs w:val="20"/>
          <w:color w:val="auto"/>
        </w:rPr>
      </w:pPr>
    </w:p>
    <w:p>
      <w:pPr>
        <w:ind w:left="120" w:hanging="4"/>
        <w:spacing w:after="0" w:line="290" w:lineRule="auto"/>
        <w:tabs>
          <w:tab w:leader="none" w:pos="3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the 2030 Notes,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 and</w:t>
      </w:r>
    </w:p>
    <w:p>
      <w:pPr>
        <w:spacing w:after="0" w:line="165" w:lineRule="exact"/>
        <w:rPr>
          <w:rFonts w:ascii="Arial" w:cs="Arial" w:eastAsia="Arial" w:hAnsi="Arial"/>
          <w:sz w:val="16"/>
          <w:szCs w:val="16"/>
          <w:color w:val="auto"/>
        </w:rPr>
      </w:pPr>
    </w:p>
    <w:p>
      <w:pPr>
        <w:ind w:left="120" w:right="80" w:hanging="4"/>
        <w:spacing w:after="0" w:line="271" w:lineRule="auto"/>
        <w:tabs>
          <w:tab w:leader="none" w:pos="3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the 2024 Notes,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sz w:val="20"/>
          <w:szCs w:val="20"/>
          <w:color w:val="auto"/>
        </w:rPr>
      </w:pPr>
    </w:p>
    <w:p>
      <w:pPr>
        <w:ind w:left="300" w:hanging="184"/>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(a) is for relief against us or any of our significant subsidiaries in an involuntary case,</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(b) 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 days.</w:t>
      </w:r>
    </w:p>
    <w:p>
      <w:pPr>
        <w:spacing w:after="0" w:line="248" w:lineRule="exact"/>
        <w:rPr>
          <w:rFonts w:ascii="Arial" w:cs="Arial" w:eastAsia="Arial" w:hAnsi="Arial"/>
          <w:sz w:val="18"/>
          <w:szCs w:val="18"/>
          <w:color w:val="auto"/>
        </w:rPr>
      </w:pPr>
    </w:p>
    <w:p>
      <w:pPr>
        <w:ind w:left="300" w:hanging="184"/>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sz w:val="20"/>
          <w:szCs w:val="20"/>
          <w:color w:val="auto"/>
        </w:rPr>
      </w:pPr>
    </w:p>
    <w:p>
      <w:pPr>
        <w:ind w:left="360" w:hanging="244"/>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left="120" w:right="240" w:hanging="4"/>
        <w:spacing w:after="0" w:line="277"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360" w:hanging="244"/>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380" w:hanging="264"/>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7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1" w:lineRule="exact"/>
        <w:rPr>
          <w:sz w:val="20"/>
          <w:szCs w:val="20"/>
          <w:color w:val="auto"/>
        </w:rPr>
      </w:pPr>
    </w:p>
    <w:p>
      <w:pPr>
        <w:ind w:left="120" w:right="60" w:hanging="4"/>
        <w:spacing w:after="0" w:line="271" w:lineRule="auto"/>
        <w:tabs>
          <w:tab w:leader="none" w:pos="3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6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facilitate subsequent transfers, the Global Security representing the notes which is deposited with, or on behalf of, the Depositary are registered in the name of the Depositary’s partnership nominee, Cede &amp; Co. The deposit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7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 Taxation of Holders of the Notes.” These discussions apply only to initial beneficial owners of the notes who purchase notes in this offering at their public offering price and who hold the notes as capital assets (generally property held for investment) within the meaning of Section 1221 of the Internal Revenue Code of 1986, as amended (the “Code”). These discussions are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These discussions are general in nature and are not exhaustive of all possible tax considerations, nor do they address any state, local or foreign tax considerations or any U.S. tax considerations (e.g., estate generation-skipping or gift tax) other than U.S. federal income tax considerations, that may be applicable to particular holders. These discussions do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these discussions are limited to beneficial owners of notes that are U.S. Holders.</w:t>
      </w:r>
    </w:p>
    <w:p>
      <w:pPr>
        <w:spacing w:after="0" w:line="167" w:lineRule="exact"/>
        <w:rPr>
          <w:sz w:val="20"/>
          <w:szCs w:val="20"/>
          <w:color w:val="auto"/>
        </w:rPr>
      </w:pPr>
    </w:p>
    <w:p>
      <w:pPr>
        <w:ind w:left="120" w:right="640"/>
        <w:spacing w:after="0" w:line="312"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Qualified Reopening of 2024 Notes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 xml:space="preserve">For U.S. federal income tax purposes, we currently intend to treat the 2024 Notes offered hereby, or the reopened notes, as being issued in a “qualified reopening” of the currently outstanding 3.95% Notes due 2024, or the existing notes. For U.S. federal income tax purposes, debt instruments issued in a qualified reopening are deemed to be part of the same issue as the original debt instruments. Under the treatment described in this paragraph, the reopened notes offered hereby will have the same issue date and the same issue price as the existing notes for U.S. federal income tax purposes. The issue price of the existing notes was $990.18 per $1,000 face amount and the issue date of the existing notes was December 9, 2013. The stated redemption price of the existing notes at maturity did not exceed their issue price by more than the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Therefore, the existing notes were not issued with original issue discount, or OID (as defined below). Accordingly, the reopened notes will also not have OID.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remainder of this discussion assumes the correctness of the treatment described in this paragraph.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i w:val="1"/>
          <w:iCs w:val="1"/>
          <w:color w:val="auto"/>
        </w:rPr>
        <w:t xml:space="preserve">Pre-Acquisition Accrued Interest on Reopened Notes. </w:t>
      </w:r>
      <w:r>
        <w:rPr>
          <w:rFonts w:ascii="Arial" w:cs="Arial" w:eastAsia="Arial" w:hAnsi="Arial"/>
          <w:sz w:val="18"/>
          <w:szCs w:val="18"/>
          <w:color w:val="auto"/>
        </w:rPr>
        <w:t>A portion of the price paid for the reopened notes is attributable to the amount of interest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January 15, 2020 (“pre-acquisition accrued interest”). To the extent a portion of a U.S. Holder’s purchase price of a reopened note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reopened note by a corresponding amount. You are urged to consult your own tax advisors regarding the tax treatment of pre-acquisition accrued interest.</w:t>
      </w:r>
    </w:p>
    <w:p>
      <w:pPr>
        <w:spacing w:after="0" w:line="19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on the notes (other than pre-acquisition accrued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reopened notes) as ordinary income when 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2030 Notes. </w:t>
      </w:r>
      <w:r>
        <w:rPr>
          <w:rFonts w:ascii="Arial" w:cs="Arial" w:eastAsia="Arial" w:hAnsi="Arial"/>
          <w:sz w:val="18"/>
          <w:szCs w:val="18"/>
          <w:color w:val="auto"/>
        </w:rPr>
        <w:t>A debt instrument generally has OID if its “stated redemption price at maturity” exceeds its “issue price”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2030 Notes is the first price at which a substantial amount of the 2030 Notes are sold to the public (excluding bond houses, brokers, or similar persons or organizations acting in the capacity of underwriters, placement agents, or wholesalers).</w:t>
      </w:r>
    </w:p>
    <w:p>
      <w:pPr>
        <w:spacing w:after="0" w:line="18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If the 2030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the U.S. Holder’s 2030 Notes. A U.S. Holder generally will not be required to include separately in income cash payments received on the 2030 Notes to the extent that such payments constitute payments of previously accrued OID or payments of principal, and such payments will reduce the U.S. Holder’s tax basis in the U.S. Holder’s 2030 Notes by the amount of such payments.</w:t>
      </w:r>
    </w:p>
    <w:p>
      <w:pPr>
        <w:spacing w:after="0" w:line="16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It is expected, and this discussion assumes, that the 2030 Notes will not be issued with OID. However, U.S. Holders should consult their tax advisors regarding the determination of the issue price of the 2030 Notes and the possible application of the OID rules.</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 xml:space="preserve">Amortizable Bond Premium on Reopened Notes. </w:t>
      </w:r>
      <w:r>
        <w:rPr>
          <w:rFonts w:ascii="Arial" w:cs="Arial" w:eastAsia="Arial" w:hAnsi="Arial"/>
          <w:sz w:val="17"/>
          <w:szCs w:val="17"/>
          <w:color w:val="auto"/>
        </w:rPr>
        <w:t>If a reopened note is purchased at a price in excess of such reopened note’s stated principal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(excluding any amounts that are treated as pre-acquisition accrued interest as described above under “Pre-Acquisition Accrued Interest on Reopened Notes”), a U.S. Holder will have bond premium with respect to that reopened note in an amount equal to such excess. A U.S. Holder generally may elect to amortize bond premium using the constant yield method over the remaining term of the reopened note and may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offset stated interest income otherwise required to be included in respect of the reopened note during any taxable year by the amortized amount of bond premium for the taxable year. However, because we may call the reopened notes under certain circumstances at a price in excess of their stated principal amount, such amortization may be reduced and/or deferred.</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 U.S. Holder’s election to amortize bond premium on a constant yield method, once made, will also apply to all other debt obligations with bond premium (other than obligations the interest on which is excludible from gross income) that a U.S. Holder holds as of the first day of the first taxable year to which the election applies or acquired thereafter. The election may only be revoked with the consent of the IRS. If a U.S. Holder does not elect to amortize the bond premium, the bond premium will decrease the gain or increase the loss such holder would otherwise recognize on the disposition of the reopened note. You are urged to consult your own tax advisors with respect to the rules relating to amortizable bond premium and the application to your particular circumstances.</w:t>
      </w:r>
    </w:p>
    <w:p>
      <w:pPr>
        <w:spacing w:after="0" w:line="19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and any amortized bond premium.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4"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should refer to “—Non-U.S. Holders—FATCA Regime” below.</w:t>
      </w:r>
    </w:p>
    <w:p>
      <w:pPr>
        <w:spacing w:after="0" w:line="166" w:lineRule="exact"/>
        <w:rPr>
          <w:sz w:val="20"/>
          <w:szCs w:val="20"/>
          <w:color w:val="auto"/>
        </w:rPr>
      </w:pPr>
    </w:p>
    <w:p>
      <w:pPr>
        <w:ind w:left="120" w:right="460"/>
        <w:spacing w:after="0" w:line="312"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xml:space="preserve">Interest on the Notes. </w:t>
      </w:r>
      <w:r>
        <w:rPr>
          <w:rFonts w:ascii="Arial" w:cs="Arial" w:eastAsia="Arial" w:hAnsi="Arial"/>
          <w:sz w:val="17"/>
          <w:szCs w:val="17"/>
          <w:color w:val="auto"/>
        </w:rPr>
        <w:t>Subject to the rules described below under “— Information Reporting and Backup Withholding” and “— FATCA Regime,”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direct, indirect or constructive owner of 10% or more of our voting stock;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bank whose receipt of interest on a note is pursuant to a loan agreement entered into in the ordinary course of business;</w:t>
      </w:r>
    </w:p>
    <w:p>
      <w:pPr>
        <w:spacing w:after="0" w:line="142" w:lineRule="exact"/>
        <w:rPr>
          <w:rFonts w:ascii="Arial" w:cs="Arial" w:eastAsia="Arial" w:hAnsi="Arial"/>
          <w:sz w:val="17"/>
          <w:szCs w:val="17"/>
          <w:color w:val="auto"/>
        </w:rPr>
      </w:pPr>
    </w:p>
    <w:p>
      <w:pPr>
        <w:ind w:left="1080" w:right="3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4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1080" w:right="1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9" w:lineRule="exact"/>
        <w:rPr>
          <w:sz w:val="20"/>
          <w:szCs w:val="20"/>
          <w:color w:val="auto"/>
        </w:rPr>
      </w:pPr>
    </w:p>
    <w:p>
      <w:pPr>
        <w:ind w:left="1080" w:right="20" w:hanging="532"/>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7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i w:val="1"/>
          <w:iCs w:val="1"/>
          <w:color w:val="auto"/>
        </w:rPr>
        <w:t>FATCA Regime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sections 1471 through 1474 of the Code, Treasury regulations and related guidance (commonly referred to as “FATCA”), a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withholding tax will be imposed in certain circumstances on payments of (i) interest on the notes and (ii) subject to the proposed Treasury regulations discussed below, gross proceeds from the sale or other disposition of the 2030 Notes (which includes redemption and retirement of the notes).</w:t>
      </w:r>
    </w:p>
    <w:p>
      <w:pPr>
        <w:spacing w:after="0" w:line="18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Treasury regulations proposed in December 2018 eliminate FATCA withholding on the gross proceeds from a sale or other disposition of instruments, such as the 2030 Notes, that produce U.S. source interest. In its preamble to such proposed Treasury regulations, the IRS stated that taxpayers and withholding agents may generally rely on the proposed Treasury regulations until final Treasury regulations are issued. The reopened notes should be grandfathered from FATCA withholding. In the case of payments made to a “foreign financial institution” (such as a bank, a broker, an investment fund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intend to offer the notes through the underwriters named below, for whom Citigroup Global Markets Inc., Deutsche Bank Securities Inc., Jefferies LLC, U.S. Bancorp Investments, Inc.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04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Amount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2030 Notes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2024 Notes</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50,000,000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6"/>
              </w:rPr>
              <w:t>37,500,000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50,000,000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50,000,000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50,000,000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50,000,000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50,000,000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50,000,000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37,500,000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36,000,000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27,000,000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5,250,000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underwriters have agreed to purchase all of the 2030 Notes if they purchase any of the 2030 Notes and all of the 2024 Notes if they purchase any of the 2024 Notes. However, the sales of the 2030 Notes and the 2024 Notes are not conditioned upon each other, and we may consummate the sale of one or the other series of notes and not the other series of notes, or consummate the sales at different times. If an underwriter defaults, the underwriting agreement provides that the purchase commitments of the nondefaulting underwriters may be increased or the underwriting agreement may be terminated.</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$1,200,000.</w:t>
      </w:r>
    </w:p>
    <w:p>
      <w:pPr>
        <w:spacing w:after="0" w:line="22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underwriters have advised us that they propose to offer the notes to the public at the initial public offering prices on the cover page of this prospectus supplement and to dealers at that price less a concession not in excess of (i) with respect to the 2030 Notes, 0.400% of the principal amount of the 2030 Notes, and (ii) with respect to the 2024 Notes offered hereby, 0.300% of the principal amount of the 2024 Notes offered hereby. The underwriters may allow, and the dealers may reallow, a discount not in excess of (i) with respect to the 2030 Notes, 0.250% of the principal amount of the 2030 Notes, and (ii) with respect to the 2024 Notes offered hereby, 0.200% of the principal amount of the 2024 Notes offered hereby, in each case on sales to other dealers. After the initial offering, the public offering price and concession to dealers may be changed.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Paid by Us</w:t>
            </w:r>
          </w:p>
        </w:tc>
        <w:tc>
          <w:tcPr>
            <w:tcW w:w="200" w:type="dxa"/>
            <w:vAlign w:val="bottom"/>
            <w:tcBorders>
              <w:bottom w:val="single" w:sz="8" w:color="CCEEFF"/>
            </w:tcBorders>
          </w:tcPr>
          <w:p>
            <w:pPr>
              <w:spacing w:after="0"/>
              <w:rPr>
                <w:sz w:val="14"/>
                <w:szCs w:val="14"/>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Per 2030 Note</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0.650%</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Per 2024 Note</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0.500%</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Reopening and New Issue</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2024 Notes will be a further issuance of, are fungible with and are consolidated and form a single series with, our outstanding 3.95% Notes due 2024, $300,000,000 of which were originally issued on December 9, 2013. The 2030 Notes will be a new issue of securities with no established trading market. The notes will not be listed on any securities exchange or included in any automated quotation system. We have been advised by the underwriters that the underwriters intend to make a market in each series of the notes, but they are not obligated to do so and may discontinue market making at any time without notice. No assurance can be given as to the liquidity of any trading markets for the notes.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2"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120" w:right="540"/>
        <w:spacing w:after="0" w:line="287" w:lineRule="auto"/>
        <w:rPr>
          <w:sz w:val="20"/>
          <w:szCs w:val="20"/>
          <w:color w:val="auto"/>
        </w:rPr>
      </w:pPr>
      <w:r>
        <w:rPr>
          <w:rFonts w:ascii="Arial" w:cs="Arial" w:eastAsia="Arial" w:hAnsi="Arial"/>
          <w:sz w:val="16"/>
          <w:szCs w:val="16"/>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spacing w:after="0" w:line="2"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communicated under the Financial Promotion Order (all such persons being referred to as “relevant persons”).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8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Neither this prospectus supplement nor the accompanying prospectus and any related free writing prospectus is a prospectus for the purposes of the Prospectus Regulation (as defined below). This prospectus supplement, the accompanying prospectus and any related free writing prospectus have been prepared on the basis that any offer of notes in any Member State of the European Economic Area (the “EEA”) or in the United Kingdom (each, a “Relevant State”) will only be made to a legal entity which is a qualified investor under the Prospectus Regulation (“Qualified Investors”). Accordingly any person making or intending to make an offer in that Relevant State of notes which are the subject of the offering contemplated in this prospectus supplement, the accompanying prospectus and any related free writing prospectus may only do so with respect to Qualified Investors. Neither Federal Realty Investment Trust nor the underwriters have authorized, nor do they authorize, the making of any offer of notes other than to Qualified Investors. The expression “Prospectus Regulation” means Regulation (EU) 2017/1129.</w:t>
      </w:r>
    </w:p>
    <w:p>
      <w:pPr>
        <w:spacing w:after="0" w:line="17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i w:val="1"/>
          <w:iCs w:val="1"/>
          <w:color w:val="auto"/>
        </w:rPr>
        <w:t xml:space="preserve">Prohibition of Sales to EEA and United Kingdom Retail Investors </w:t>
      </w:r>
      <w:r>
        <w:rPr>
          <w:rFonts w:ascii="Arial" w:cs="Arial" w:eastAsia="Arial" w:hAnsi="Arial"/>
          <w:sz w:val="16"/>
          <w:szCs w:val="16"/>
          <w:color w:val="auto"/>
        </w:rPr>
        <w:t>– The notes are not intended to be offered, sold or otherwise made available to and</w:t>
      </w:r>
      <w:r>
        <w:rPr>
          <w:rFonts w:ascii="Arial" w:cs="Arial" w:eastAsia="Arial" w:hAnsi="Arial"/>
          <w:sz w:val="16"/>
          <w:szCs w:val="16"/>
          <w:i w:val="1"/>
          <w:iCs w:val="1"/>
          <w:color w:val="auto"/>
        </w:rPr>
        <w:t xml:space="preserve"> </w:t>
      </w:r>
      <w:r>
        <w:rPr>
          <w:rFonts w:ascii="Arial" w:cs="Arial" w:eastAsia="Arial" w:hAnsi="Arial"/>
          <w:sz w:val="16"/>
          <w:szCs w:val="16"/>
          <w:color w:val="auto"/>
        </w:rPr>
        <w:t>should not be offered, sold or otherwise made available to any retail investor in the EEA or the United Kingdom. For these purposes: (1) a retail investor means a person who is one (or more) of: (a) a retail client as defined in point (11) of Article 4(1) of Directive 2014/65/EU, as amended (“MiFID II”); or</w:t>
      </w:r>
    </w:p>
    <w:p>
      <w:pPr>
        <w:spacing w:after="0" w:line="2" w:lineRule="exact"/>
        <w:rPr>
          <w:sz w:val="20"/>
          <w:szCs w:val="20"/>
          <w:color w:val="auto"/>
        </w:rPr>
      </w:pPr>
    </w:p>
    <w:p>
      <w:pPr>
        <w:ind w:left="120" w:hanging="4"/>
        <w:spacing w:after="0" w:line="255"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customer within the meaning of Directive (EU) 2016/97 (the Insurance Distribution Directive), where that customer would not qualify as a professional client as defined in point (10) of Article 4(1) of MiFID II; or (c) not a qualified investor as defined in the Prospectus Regulation; and (2) the expression “offer” includes the communication in any form and by any means of sufficient</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Realty Investment Trust does not intend to offer the notes in any Relevant State other than the United Kingdom.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45995" cy="908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2459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10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3880" w:type="dxa"/>
            <w:vAlign w:val="bottom"/>
            <w:vMerge w:val="restart"/>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67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8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Forward-Looking Statements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Prospectus Summary</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Use of Proceeds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Description of Debt Securities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Shares of Beneficial Interest</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Material Federal Income Tax Considerations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Plan of Distribution</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Legal Matters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Experts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Where You Can Find More Information</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4"/>
        </w:trPr>
        <w:tc>
          <w:tcPr>
            <w:tcW w:w="3880" w:type="dxa"/>
            <w:vAlign w:val="bottom"/>
          </w:tcPr>
          <w:p>
            <w:pPr>
              <w:spacing w:after="0"/>
              <w:rPr>
                <w:sz w:val="24"/>
                <w:szCs w:val="24"/>
                <w:color w:val="auto"/>
              </w:rPr>
            </w:pPr>
          </w:p>
        </w:tc>
        <w:tc>
          <w:tcPr>
            <w:tcW w:w="7100" w:type="dxa"/>
            <w:vAlign w:val="bottom"/>
            <w:gridSpan w:val="3"/>
          </w:tcPr>
          <w:p>
            <w:pPr>
              <w:jc w:val="center"/>
              <w:ind w:right="3860"/>
              <w:spacing w:after="0"/>
              <w:rPr>
                <w:sz w:val="20"/>
                <w:szCs w:val="20"/>
                <w:color w:val="auto"/>
              </w:rPr>
            </w:pPr>
            <w:r>
              <w:rPr>
                <w:rFonts w:ascii="Arial" w:cs="Arial" w:eastAsia="Arial" w:hAnsi="Arial"/>
                <w:sz w:val="18"/>
                <w:szCs w:val="18"/>
                <w:color w:val="auto"/>
                <w:w w:val="98"/>
              </w:rPr>
              <w:t>i</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9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13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95"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300" w:right="140" w:firstLine="426"/>
        <w:spacing w:after="0" w:line="291" w:lineRule="auto"/>
        <w:rPr>
          <w:sz w:val="20"/>
          <w:szCs w:val="20"/>
          <w:color w:val="auto"/>
        </w:rPr>
      </w:pPr>
      <w:r>
        <w:rPr>
          <w:rFonts w:ascii="Arial" w:cs="Arial" w:eastAsia="Arial" w:hAnsi="Arial"/>
          <w:sz w:val="16"/>
          <w:szCs w:val="16"/>
          <w:color w:val="auto"/>
        </w:rPr>
        <w:t>We were founded in 1962 as a REIT under the laws of the District of Columbia and re-formed as a real estate investment trust in the state of Maryland in 1999. Our principal executive offices are located at 1626 East Jefferson Street, Rockville, Maryland 20852. Our telephone number is</w:t>
      </w:r>
    </w:p>
    <w:p>
      <w:pPr>
        <w:ind w:left="300" w:right="40" w:hanging="2"/>
        <w:spacing w:after="0" w:line="260"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For the Three Months</w:t>
            </w:r>
          </w:p>
        </w:tc>
        <w:tc>
          <w:tcPr>
            <w:tcW w:w="300" w:type="dxa"/>
            <w:vAlign w:val="bottom"/>
          </w:tcPr>
          <w:p>
            <w:pPr>
              <w:spacing w:after="0"/>
              <w:rPr>
                <w:sz w:val="14"/>
                <w:szCs w:val="14"/>
                <w:color w:val="auto"/>
              </w:rPr>
            </w:pPr>
          </w:p>
        </w:tc>
        <w:tc>
          <w:tcPr>
            <w:tcW w:w="22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3"/>
              </w:rPr>
              <w:t>For the Years Ended December 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30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46" w:lineRule="exact"/>
        <w:rPr>
          <w:sz w:val="20"/>
          <w:szCs w:val="20"/>
          <w:color w:val="auto"/>
        </w:rPr>
      </w:pPr>
    </w:p>
    <w:p>
      <w:pPr>
        <w:ind w:left="300" w:hanging="2"/>
        <w:spacing w:after="0" w:line="253" w:lineRule="auto"/>
        <w:tabs>
          <w:tab w:leader="none" w:pos="5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3"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5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such rate or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Accrual. </w:t>
      </w:r>
      <w:r>
        <w:rPr>
          <w:rFonts w:ascii="Arial" w:cs="Arial" w:eastAsia="Arial" w:hAnsi="Arial"/>
          <w:sz w:val="17"/>
          <w:szCs w:val="17"/>
          <w:color w:val="auto"/>
        </w:rPr>
        <w:t>The date or dates from which interest will accrue or the method by which such date or dates will be determined.</w:t>
      </w:r>
    </w:p>
    <w:p>
      <w:pPr>
        <w:spacing w:after="0" w:line="142"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48"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provisions or upon the happening of a specified event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1080" w:right="180" w:hanging="532"/>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80" w:right="340" w:hanging="532"/>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Indexed Principal. </w:t>
      </w:r>
      <w:r>
        <w:rPr>
          <w:rFonts w:ascii="Arial" w:cs="Arial" w:eastAsia="Arial" w:hAnsi="Arial"/>
          <w:sz w:val="17"/>
          <w:szCs w:val="17"/>
          <w:color w:val="auto"/>
        </w:rPr>
        <w:t>If the amount of principal of, or premium, if any, or interest on, the offered debt securities may be determined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an index or pursuant to a formula or other method, the manner in which such amounts will be determined.</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53"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for taxes, assessments or similar charges.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1080" w:right="460" w:hanging="532"/>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Securities. </w:t>
      </w:r>
      <w:r>
        <w:rPr>
          <w:rFonts w:ascii="Arial" w:cs="Arial" w:eastAsia="Arial" w:hAnsi="Arial"/>
          <w:sz w:val="17"/>
          <w:szCs w:val="17"/>
          <w:color w:val="auto"/>
        </w:rPr>
        <w:t>Whether the offered debt securities are to be issued in whole or in part in the form of one or more temporary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9"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payable and the manner in which, or the person to whom, any interest on any bearer securities of the series will be payable.</w:t>
      </w:r>
    </w:p>
    <w:p>
      <w:pPr>
        <w:spacing w:after="0" w:line="29" w:lineRule="exact"/>
        <w:rPr>
          <w:rFonts w:ascii="Arial" w:cs="Arial" w:eastAsia="Arial" w:hAnsi="Arial"/>
          <w:sz w:val="16"/>
          <w:szCs w:val="16"/>
          <w:color w:val="auto"/>
        </w:rPr>
      </w:pPr>
    </w:p>
    <w:p>
      <w:pPr>
        <w:ind w:left="1080" w:right="80" w:hanging="532"/>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applicable indenture, including, without limitation, the definition of “unrestricted subsidiary” to be used for such series.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any subordinated indenture that we may enter into, the relative degree to which the offered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senior to or junior to other debt securities, whether currently outstanding or to be offered in the future, and to other debt, in right of payment.</w:t>
      </w:r>
    </w:p>
    <w:p>
      <w:pPr>
        <w:spacing w:after="0" w:line="89" w:lineRule="exact"/>
        <w:rPr>
          <w:rFonts w:ascii="Arial" w:cs="Arial" w:eastAsia="Arial" w:hAnsi="Arial"/>
          <w:sz w:val="18"/>
          <w:szCs w:val="18"/>
          <w:color w:val="auto"/>
        </w:rPr>
      </w:pPr>
    </w:p>
    <w:p>
      <w:pPr>
        <w:ind w:left="1080" w:right="520" w:hanging="532"/>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guarantees (including whether and the extent to which the guarantees are subordinated to other debt of the guarantors).</w:t>
      </w:r>
    </w:p>
    <w:p>
      <w:pPr>
        <w:spacing w:after="0" w:line="29" w:lineRule="exact"/>
        <w:rPr>
          <w:rFonts w:ascii="Arial" w:cs="Arial" w:eastAsia="Arial" w:hAnsi="Arial"/>
          <w:sz w:val="16"/>
          <w:szCs w:val="16"/>
          <w:color w:val="auto"/>
        </w:rPr>
      </w:pPr>
    </w:p>
    <w:p>
      <w:pPr>
        <w:ind w:left="1080" w:right="20" w:hanging="532"/>
        <w:spacing w:after="0" w:line="31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Any other terms not inconsistent with the terms of the applicable indenture pertaining to the offered debt securities 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or advisable under U.S. laws or regulations or advisable, as we determine, in connection with marketing of securities of the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80" w:right="60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w:t>
      </w:r>
    </w:p>
    <w:p>
      <w:pPr>
        <w:spacing w:after="0" w:line="34" w:lineRule="exact"/>
        <w:rPr>
          <w:sz w:val="20"/>
          <w:szCs w:val="20"/>
          <w:color w:val="auto"/>
        </w:rPr>
      </w:pPr>
    </w:p>
    <w:p>
      <w:pPr>
        <w:jc w:val="both"/>
        <w:ind w:left="120" w:right="140"/>
        <w:spacing w:after="0" w:line="325" w:lineRule="auto"/>
        <w:rPr>
          <w:sz w:val="20"/>
          <w:szCs w:val="20"/>
          <w:color w:val="auto"/>
        </w:rPr>
      </w:pPr>
      <w:r>
        <w:rPr>
          <w:rFonts w:ascii="Arial" w:cs="Arial" w:eastAsia="Arial" w:hAnsi="Arial"/>
          <w:sz w:val="16"/>
          <w:szCs w:val="16"/>
          <w:color w:val="auto"/>
        </w:rPr>
        <w:t>amounts on the debt securities is U.S. Bank National Association, 214 North Tryon Street, 27</w:t>
      </w:r>
      <w:r>
        <w:rPr>
          <w:rFonts w:ascii="Arial" w:cs="Arial" w:eastAsia="Arial" w:hAnsi="Arial"/>
          <w:sz w:val="13"/>
          <w:szCs w:val="13"/>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4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issue debt securities of a series in the form of one or more fully registered global securities. Each registered global security will:</w:t>
      </w:r>
    </w:p>
    <w:p>
      <w:pPr>
        <w:spacing w:after="0" w:line="14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Payment of Taxes and Other Claims. </w:t>
      </w:r>
      <w:r>
        <w:rPr>
          <w:rFonts w:ascii="Arial" w:cs="Arial" w:eastAsia="Arial" w:hAnsi="Arial"/>
          <w:sz w:val="17"/>
          <w:szCs w:val="17"/>
          <w:color w:val="auto"/>
        </w:rPr>
        <w:t>We will pay or discharge or cause to be paid or discharged, before they shall become delinquent:</w:t>
      </w:r>
    </w:p>
    <w:p>
      <w:pPr>
        <w:spacing w:after="0" w:line="14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Provision of Financial Information. </w:t>
      </w:r>
      <w:r>
        <w:rPr>
          <w:rFonts w:ascii="Arial" w:cs="Arial" w:eastAsia="Arial" w:hAnsi="Arial"/>
          <w:sz w:val="18"/>
          <w:szCs w:val="18"/>
          <w:color w:val="auto"/>
        </w:rPr>
        <w:t>Whether or not we are subject to Section 13 or 15(d) of the Exchange Act, we will, within 15 days of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dates by which we would have been required to file annual reports, quarterly reports and other documents with the SEC if we were so subject:</w:t>
      </w:r>
    </w:p>
    <w:p>
      <w:pPr>
        <w:spacing w:after="0" w:line="89" w:lineRule="exact"/>
        <w:rPr>
          <w:sz w:val="20"/>
          <w:szCs w:val="20"/>
          <w:color w:val="auto"/>
        </w:rPr>
      </w:pPr>
    </w:p>
    <w:p>
      <w:pPr>
        <w:ind w:left="1080" w:right="4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540" w:right="60" w:hanging="439"/>
        <w:spacing w:after="0" w:line="263"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540" w:right="320" w:hanging="439"/>
        <w:spacing w:after="0" w:line="259"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2"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we say otherwise in a prospectus supplement, there will be no restrictions in any subordinated indenture upon the creation of additional senior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we may not:</w:t>
      </w:r>
    </w:p>
    <w:p>
      <w:pPr>
        <w:spacing w:after="0" w:line="76"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54"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9" w:lineRule="exact"/>
        <w:rPr>
          <w:sz w:val="20"/>
          <w:szCs w:val="20"/>
          <w:color w:val="auto"/>
        </w:rPr>
      </w:pPr>
    </w:p>
    <w:p>
      <w:pPr>
        <w:ind w:left="1080" w:right="6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the default and all other similar defaults as to which notice has been given shall have been cured, waived or shall have ceased to exist;</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the applicable senior debt (and all other senior debt as to which notice has been given) shall have been discharged or paid in full; and</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left="120" w:right="360" w:firstLine="436"/>
        <w:spacing w:after="0" w:line="277"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left="120" w:right="120" w:firstLine="436"/>
        <w:spacing w:after="0" w:line="277"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720" w:hanging="164"/>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left="120" w:firstLine="436"/>
        <w:spacing w:after="0" w:line="263"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4" w:lineRule="exact"/>
        <w:rPr>
          <w:sz w:val="20"/>
          <w:szCs w:val="20"/>
          <w:color w:val="auto"/>
        </w:rPr>
      </w:pPr>
    </w:p>
    <w:p>
      <w:pPr>
        <w:ind w:left="800" w:hanging="24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left="120" w:right="160" w:firstLine="436"/>
        <w:spacing w:after="0" w:line="290" w:lineRule="auto"/>
        <w:tabs>
          <w:tab w:leader="none" w:pos="7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65" w:lineRule="exact"/>
        <w:rPr>
          <w:rFonts w:ascii="Arial" w:cs="Arial" w:eastAsia="Arial" w:hAnsi="Arial"/>
          <w:sz w:val="16"/>
          <w:szCs w:val="16"/>
          <w:color w:val="auto"/>
        </w:rPr>
      </w:pPr>
    </w:p>
    <w:p>
      <w:pPr>
        <w:ind w:left="740" w:hanging="184"/>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800" w:hanging="244"/>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236" w:lineRule="exact"/>
        <w:rPr>
          <w:rFonts w:ascii="Arial" w:cs="Arial" w:eastAsia="Arial" w:hAnsi="Arial"/>
          <w:sz w:val="17"/>
          <w:szCs w:val="17"/>
          <w:color w:val="auto"/>
        </w:rPr>
      </w:pPr>
    </w:p>
    <w:p>
      <w:pPr>
        <w:ind w:left="800" w:hanging="244"/>
        <w:spacing w:after="0"/>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800" w:hanging="244"/>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left="120" w:right="240" w:firstLine="436"/>
        <w:spacing w:after="0" w:line="277" w:lineRule="auto"/>
        <w:tabs>
          <w:tab w:leader="none" w:pos="8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820" w:hanging="264"/>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 any past default except for:</w:t>
      </w:r>
    </w:p>
    <w:p>
      <w:pPr>
        <w:spacing w:after="0" w:line="76"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or will provide that if an event of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9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540" w:right="460" w:hanging="439"/>
        <w:spacing w:after="0" w:line="277"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540" w:right="620" w:hanging="439"/>
        <w:spacing w:after="0" w:line="277"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8"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9" w:lineRule="exact"/>
        <w:rPr>
          <w:sz w:val="20"/>
          <w:szCs w:val="20"/>
          <w:color w:val="auto"/>
        </w:rPr>
      </w:pPr>
    </w:p>
    <w:p>
      <w:pPr>
        <w:ind w:left="1080" w:right="4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7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9" w:lineRule="exact"/>
        <w:rPr>
          <w:sz w:val="20"/>
          <w:szCs w:val="20"/>
          <w:color w:val="auto"/>
        </w:rPr>
      </w:pPr>
    </w:p>
    <w:p>
      <w:pPr>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92"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adds to our covenants for the benefit of the holders of all or any series of debt securities or surrenders any of our rights or powers;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1080" w:right="60" w:hanging="532"/>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take the following actions without approval by you or any shareholder:</w:t>
      </w:r>
    </w:p>
    <w:p>
      <w:pPr>
        <w:spacing w:after="0" w:line="76" w:lineRule="exact"/>
        <w:rPr>
          <w:sz w:val="20"/>
          <w:szCs w:val="20"/>
          <w:color w:val="auto"/>
        </w:rPr>
      </w:pPr>
    </w:p>
    <w:p>
      <w:pPr>
        <w:ind w:left="1080" w:right="6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amend the declaration of trust to change the authorized number of shares of any class or series of shares of beneficial interest.</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71" w:lineRule="exact"/>
        <w:rPr>
          <w:sz w:val="20"/>
          <w:szCs w:val="20"/>
          <w:color w:val="auto"/>
        </w:rPr>
      </w:pPr>
    </w:p>
    <w:p>
      <w:pPr>
        <w:ind w:left="1080" w:right="80" w:hanging="532"/>
        <w:spacing w:after="0" w:line="279"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79"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76"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4"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1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5.417% of the liquidation price of $25, which is equivalent to $1.35425 per annum.</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 per share, plus all accrued and unpaid dividends, before any distribution shall be made with respect to the common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Conversion Rights. </w:t>
      </w:r>
      <w:r>
        <w:rPr>
          <w:rFonts w:ascii="Arial" w:cs="Arial" w:eastAsia="Arial" w:hAnsi="Arial"/>
          <w:sz w:val="17"/>
          <w:szCs w:val="17"/>
          <w:color w:val="auto"/>
        </w:rPr>
        <w:t>Subject to other applicable provisions within the articles supplementary for the Series 1 preferred shares, from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5.000% of the liquidation price of $25,000, which is equivalent to $1,250 per annum.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C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$25,000 per share, plus all accrued and unpaid dividends, before any distribution shall be made with respect to the common shares.</w:t>
      </w:r>
    </w:p>
    <w:p>
      <w:pPr>
        <w:spacing w:after="0" w:line="12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The Series C preferred shares generally have no voting rights. However, if and whenever dividends payable on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Stock Exchange Listing. </w:t>
      </w:r>
      <w:r>
        <w:rPr>
          <w:rFonts w:ascii="Arial" w:cs="Arial" w:eastAsia="Arial" w:hAnsi="Arial"/>
          <w:sz w:val="16"/>
          <w:szCs w:val="16"/>
          <w:color w:val="auto"/>
        </w:rPr>
        <w:t>The Series C depositary shares are traded on the New York Stock Exchange under the trading symbol “FRTPRC.”</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You should refer to the prospectus supplement relating to the offering of any preferred shares for specific terms,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w:t>
      </w:r>
    </w:p>
    <w:p>
      <w:pPr>
        <w:spacing w:after="0" w:line="76"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rights upon our liquidation, dissolution or winding up, rank:</w:t>
      </w:r>
    </w:p>
    <w:p>
      <w:pPr>
        <w:spacing w:after="0" w:line="76"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any preferential rights of any outstanding shares or series of shares and to the provisions of our declaration of trust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mandatory redemption or redemption at our option, in whole or in part, in each case upon the terms, at the times and at the redemption prices set forth in that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prospectus supplement relating to the offering of those preferred shares. These terms typically will include:</w:t>
      </w:r>
    </w:p>
    <w:p>
      <w:pPr>
        <w:spacing w:after="0" w:line="76"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issue receipts for depositary shares, each of which will represent a fractional interest of a share of a particular series of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Redemption of Depositary Shares. </w:t>
      </w:r>
      <w:r>
        <w:rPr>
          <w:rFonts w:ascii="Arial" w:cs="Arial" w:eastAsia="Arial" w:hAnsi="Arial"/>
          <w:sz w:val="17"/>
          <w:szCs w:val="17"/>
          <w:color w:val="auto"/>
        </w:rPr>
        <w:t>If we redeem a series of preferred shares represented by depositary receipts, the depositary will redeem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7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spacing w:after="0" w:line="3"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 of depositary shares, to the fraction of the liquidation preference accorded each applicable preferred share, as has been set forth in a prospectus supplement.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Charges of Depositary. </w:t>
      </w:r>
      <w:r>
        <w:rPr>
          <w:rFonts w:ascii="Arial" w:cs="Arial" w:eastAsia="Arial" w:hAnsi="Arial"/>
          <w:sz w:val="17"/>
          <w:szCs w:val="17"/>
          <w:color w:val="auto"/>
        </w:rPr>
        <w:t>We will pay all transfer and other taxes and governmental charges arising solely from the existence of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Miscellaneous. </w:t>
      </w:r>
      <w:r>
        <w:rPr>
          <w:rFonts w:ascii="Arial" w:cs="Arial" w:eastAsia="Arial" w:hAnsi="Arial"/>
          <w:sz w:val="17"/>
          <w:szCs w:val="17"/>
          <w:color w:val="auto"/>
        </w:rPr>
        <w:t>The depositary will forward to you all reports and communications from us that we are required, or otherwise determine,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1"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i w:val="1"/>
          <w:iCs w:val="1"/>
          <w:color w:val="auto"/>
        </w:rPr>
        <w:t>Automatic Transfer of Shares to Trust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certain exceptions described below, if any purported transfer of shares would violate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9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4"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designation, number and terms of the preferred shares or common shares that may be purchased on exercise of the warrant;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of certain provisions of the Maryland General Corporation Law and our declaration of trust and bylaws is not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the Maryland General Corporation Law and our declaration of trust and bylaws for more complete information.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91"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6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Number of Trustees. </w:t>
      </w:r>
      <w:r>
        <w:rPr>
          <w:rFonts w:ascii="Arial" w:cs="Arial" w:eastAsia="Arial" w:hAnsi="Arial"/>
          <w:sz w:val="17"/>
          <w:szCs w:val="17"/>
          <w:color w:val="auto"/>
        </w:rPr>
        <w:t>The number of trustees may be increased or decreased pursuant to the bylaws, provided that the total number of trustees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less than five or more than 10. Under Maryland law and our declaration of trust, trustees are elected for one-year terms.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60" w:firstLine="440"/>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5" w:lineRule="exact"/>
        <w:rPr>
          <w:sz w:val="20"/>
          <w:szCs w:val="20"/>
          <w:color w:val="auto"/>
        </w:rPr>
      </w:pPr>
    </w:p>
    <w:p>
      <w:pPr>
        <w:ind w:left="1080" w:right="28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80"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i w:val="1"/>
          <w:iCs w:val="1"/>
          <w:color w:val="auto"/>
        </w:rPr>
        <w:t>Advance Notice for Shareholder Nominations and Shareholder New Business Proposals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require advance written notice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4"/>
          <w:szCs w:val="14"/>
          <w:color w:val="auto"/>
        </w:rPr>
        <w:t>th</w:t>
      </w:r>
      <w:r>
        <w:rPr>
          <w:rFonts w:ascii="Arial" w:cs="Arial" w:eastAsia="Arial" w:hAnsi="Arial"/>
          <w:sz w:val="17"/>
          <w:szCs w:val="17"/>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Shareholder Liability and Indemnification. </w:t>
      </w:r>
      <w:r>
        <w:rPr>
          <w:rFonts w:ascii="Arial" w:cs="Arial" w:eastAsia="Arial" w:hAnsi="Arial"/>
          <w:sz w:val="16"/>
          <w:szCs w:val="16"/>
          <w:color w:val="auto"/>
        </w:rPr>
        <w:t>Under Maryland law, you will not be personally liable for any obligation of ours solely because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8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4" w:lineRule="exact"/>
        <w:rPr>
          <w:sz w:val="20"/>
          <w:szCs w:val="20"/>
          <w:color w:val="auto"/>
        </w:rPr>
      </w:pPr>
    </w:p>
    <w:p>
      <w:pPr>
        <w:jc w:val="both"/>
        <w:ind w:left="120" w:right="3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2"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42" w:lineRule="exact"/>
        <w:rPr>
          <w:rFonts w:ascii="Arial" w:cs="Arial" w:eastAsia="Arial" w:hAnsi="Arial"/>
          <w:sz w:val="17"/>
          <w:szCs w:val="17"/>
          <w:color w:val="auto"/>
        </w:rPr>
      </w:pPr>
    </w:p>
    <w:p>
      <w:pPr>
        <w:ind w:left="1080" w:right="10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20" w:hanging="532"/>
        <w:spacing w:after="0" w:line="286"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80" w:right="20" w:hanging="532"/>
        <w:spacing w:after="0" w:line="290"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100" w:hanging="532"/>
        <w:spacing w:after="0" w:line="301"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 property that we own and lease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20" w:hanging="532"/>
        <w:spacing w:after="0" w:line="255"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1" w:lineRule="exact"/>
        <w:rPr>
          <w:rFonts w:ascii="Arial" w:cs="Arial" w:eastAsia="Arial" w:hAnsi="Arial"/>
          <w:sz w:val="17"/>
          <w:szCs w:val="17"/>
          <w:color w:val="auto"/>
        </w:rPr>
      </w:pPr>
    </w:p>
    <w:p>
      <w:pPr>
        <w:ind w:left="1080" w:right="180" w:hanging="532"/>
        <w:spacing w:after="0" w:line="293"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20" w:hanging="532"/>
        <w:spacing w:after="0" w:line="270"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9"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foreclosure 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142" w:lineRule="exact"/>
        <w:rPr>
          <w:sz w:val="20"/>
          <w:szCs w:val="20"/>
          <w:color w:val="auto"/>
        </w:rPr>
      </w:pPr>
    </w:p>
    <w:p>
      <w:pPr>
        <w:ind w:left="1080" w:right="280" w:hanging="532"/>
        <w:spacing w:after="0" w:line="34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1" w:lineRule="exact"/>
        <w:rPr>
          <w:sz w:val="20"/>
          <w:szCs w:val="20"/>
          <w:color w:val="auto"/>
        </w:rPr>
      </w:pPr>
    </w:p>
    <w:p>
      <w:pPr>
        <w:ind w:left="120" w:right="60" w:hanging="4"/>
        <w:spacing w:after="0" w:line="286" w:lineRule="auto"/>
        <w:tabs>
          <w:tab w:leader="none" w:pos="435" w:val="left"/>
        </w:tabs>
        <w:numPr>
          <w:ilvl w:val="0"/>
          <w:numId w:val="92"/>
        </w:numPr>
        <w:rPr>
          <w:rFonts w:ascii="Arial" w:cs="Arial" w:eastAsia="Arial" w:hAnsi="Arial"/>
          <w:sz w:val="16"/>
          <w:szCs w:val="16"/>
          <w:color w:val="auto"/>
        </w:rPr>
      </w:pPr>
      <w:r>
        <w:rPr>
          <w:rFonts w:ascii="Arial" w:cs="Arial" w:eastAsia="Arial" w:hAnsi="Arial"/>
          <w:sz w:val="16"/>
          <w:szCs w:val="16"/>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7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300" w:hanging="532"/>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60" w:hanging="439"/>
        <w:spacing w:after="0" w:line="279" w:lineRule="auto"/>
        <w:tabs>
          <w:tab w:leader="none" w:pos="15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76" w:lineRule="exact"/>
        <w:rPr>
          <w:rFonts w:ascii="Arial" w:cs="Arial" w:eastAsia="Arial" w:hAnsi="Arial"/>
          <w:sz w:val="17"/>
          <w:szCs w:val="17"/>
          <w:color w:val="auto"/>
        </w:rPr>
      </w:pPr>
    </w:p>
    <w:p>
      <w:pPr>
        <w:ind w:left="1540" w:right="180" w:hanging="439"/>
        <w:spacing w:after="0" w:line="263" w:lineRule="auto"/>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84"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Arial" w:cs="Arial" w:eastAsia="Arial" w:hAnsi="Arial"/>
          <w:sz w:val="16"/>
          <w:szCs w:val="16"/>
          <w:color w:val="auto"/>
        </w:rPr>
      </w:pPr>
    </w:p>
    <w:p>
      <w:pPr>
        <w:ind w:left="1080" w:right="120" w:firstLine="8"/>
        <w:spacing w:after="0" w:line="281" w:lineRule="auto"/>
        <w:tabs>
          <w:tab w:leader="none" w:pos="1345" w:val="left"/>
        </w:tabs>
        <w:numPr>
          <w:ilvl w:val="1"/>
          <w:numId w:val="94"/>
        </w:numPr>
        <w:rPr>
          <w:rFonts w:ascii="Arial" w:cs="Arial" w:eastAsia="Arial" w:hAnsi="Arial"/>
          <w:sz w:val="16"/>
          <w:szCs w:val="16"/>
          <w:color w:val="auto"/>
        </w:rPr>
      </w:pPr>
      <w:r>
        <w:rPr>
          <w:rFonts w:ascii="Arial" w:cs="Arial" w:eastAsia="Arial" w:hAnsi="Arial"/>
          <w:sz w:val="16"/>
          <w:szCs w:val="16"/>
          <w:color w:val="auto"/>
        </w:rPr>
        <w:t>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spacing w:after="0" w:line="1" w:lineRule="exact"/>
        <w:rPr>
          <w:rFonts w:ascii="Arial" w:cs="Arial" w:eastAsia="Arial" w:hAnsi="Arial"/>
          <w:sz w:val="16"/>
          <w:szCs w:val="16"/>
          <w:color w:val="auto"/>
        </w:rPr>
      </w:pPr>
    </w:p>
    <w:p>
      <w:pPr>
        <w:ind w:left="1080" w:right="20" w:firstLine="8"/>
        <w:spacing w:after="0" w:line="253" w:lineRule="auto"/>
        <w:tabs>
          <w:tab w:leader="none" w:pos="13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8"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8" w:lineRule="exact"/>
        <w:rPr>
          <w:sz w:val="20"/>
          <w:szCs w:val="20"/>
          <w:color w:val="auto"/>
        </w:rPr>
      </w:pPr>
    </w:p>
    <w:p>
      <w:pPr>
        <w:ind w:left="120" w:right="38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6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Dividends and Other Taxable U.S. Shareholder Distributions. </w:t>
      </w:r>
      <w:r>
        <w:rPr>
          <w:rFonts w:ascii="Arial" w:cs="Arial" w:eastAsia="Arial" w:hAnsi="Arial"/>
          <w:sz w:val="17"/>
          <w:szCs w:val="17"/>
          <w:color w:val="auto"/>
        </w:rPr>
        <w:t>As long as we qualify as a REIT, a taxable U.S. shareholder must take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7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Redemption or Conversion of Preferred Shares to Common Shares. </w:t>
      </w:r>
      <w:r>
        <w:rPr>
          <w:rFonts w:ascii="Arial" w:cs="Arial" w:eastAsia="Arial" w:hAnsi="Arial"/>
          <w:sz w:val="18"/>
          <w:szCs w:val="18"/>
          <w:color w:val="auto"/>
        </w:rPr>
        <w:t>Assuming that preferred shares will not be redeemed or converted at a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84"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Adjustments to Conversion Price. </w:t>
      </w:r>
      <w:r>
        <w:rPr>
          <w:rFonts w:ascii="Arial" w:cs="Arial" w:eastAsia="Arial" w:hAnsi="Arial"/>
          <w:sz w:val="18"/>
          <w:szCs w:val="18"/>
          <w:color w:val="auto"/>
        </w:rPr>
        <w:t>Under Section 305 of the Code, holders of preferred shares may be deemed to have received a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reasonable adjustment formula. In such a case, if a nonqualifying adjustment were made, the holders of preferred shares might be deemed to have received a taxable stock dividend.</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or a portion of their “net investment income,” which may include all or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0"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74"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5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6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w:t>
      </w:r>
    </w:p>
    <w:p>
      <w:pPr>
        <w:spacing w:after="0" w:line="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72"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Wash Sales. </w:t>
      </w:r>
      <w:r>
        <w:rPr>
          <w:rFonts w:ascii="Arial" w:cs="Arial" w:eastAsia="Arial" w:hAnsi="Arial"/>
          <w:sz w:val="17"/>
          <w:szCs w:val="17"/>
          <w:color w:val="auto"/>
        </w:rPr>
        <w:t>In general, special wash sale rules apply if a shareholder owning more than 5% of our common or preferred shares avoids a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Conversion of Preferred Shares to Common Shares. </w:t>
      </w:r>
      <w:r>
        <w:rPr>
          <w:rFonts w:ascii="Arial" w:cs="Arial" w:eastAsia="Arial" w:hAnsi="Arial"/>
          <w:sz w:val="18"/>
          <w:szCs w:val="18"/>
          <w:color w:val="auto"/>
        </w:rPr>
        <w:t>The conversion of preferred shares into our common shares may be a taxable exchange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00"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Reporting and Withholding on Foreign Financial Accounts. </w:t>
      </w:r>
      <w:r>
        <w:rPr>
          <w:rFonts w:ascii="Arial" w:cs="Arial" w:eastAsia="Arial" w:hAnsi="Arial"/>
          <w:sz w:val="17"/>
          <w:szCs w:val="17"/>
          <w:color w:val="auto"/>
        </w:rPr>
        <w:t>Certain foreign financial institutions and non-financial foreign entities are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6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72"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February 13,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w:t>
      </w:r>
      <w:hyperlink r:id="rId110">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2018 Annual Meeting of Shareholders, filed with the SEC on March 23,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1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2018, filed with the SEC on May 2,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11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Description of our common shares contained in the Registration Statement on </w:t>
      </w:r>
      <w:hyperlink r:id="rId113">
        <w:r>
          <w:rPr>
            <w:rFonts w:ascii="Arial" w:cs="Arial" w:eastAsia="Arial" w:hAnsi="Arial"/>
            <w:sz w:val="17"/>
            <w:szCs w:val="17"/>
            <w:u w:val="single" w:color="auto"/>
            <w:color w:val="0000EE"/>
          </w:rPr>
          <w:t>Form 8-A/A</w:t>
        </w:r>
      </w:hyperlink>
      <w:r>
        <w:rPr>
          <w:rFonts w:ascii="Arial" w:cs="Arial" w:eastAsia="Arial" w:hAnsi="Arial"/>
          <w:sz w:val="17"/>
          <w:szCs w:val="17"/>
          <w:color w:val="auto"/>
        </w:rPr>
        <w:t>, filed with the SEC on June 6, 2002; and</w:t>
      </w:r>
    </w:p>
    <w:p>
      <w:pPr>
        <w:spacing w:after="0" w:line="142"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Description of our Series C preferred shares contained in the Registration Statement on </w:t>
      </w:r>
      <w:hyperlink r:id="rId114">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September 29, 2017.</w:t>
      </w:r>
    </w:p>
    <w:p>
      <w:pPr>
        <w:spacing w:after="0" w:line="170" w:lineRule="exact"/>
        <w:rPr>
          <w:rFonts w:ascii="Arial" w:cs="Arial" w:eastAsia="Arial" w:hAnsi="Arial"/>
          <w:sz w:val="17"/>
          <w:szCs w:val="17"/>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7"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308610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40"/>
        <w:spacing w:after="0"/>
        <w:rPr>
          <w:sz w:val="20"/>
          <w:szCs w:val="20"/>
          <w:color w:val="auto"/>
        </w:rPr>
      </w:pPr>
      <w:r>
        <w:rPr>
          <w:rFonts w:ascii="Arial" w:cs="Arial" w:eastAsia="Arial" w:hAnsi="Arial"/>
          <w:sz w:val="25"/>
          <w:szCs w:val="25"/>
          <w:b w:val="1"/>
          <w:bCs w:val="1"/>
          <w:color w:val="auto"/>
        </w:rPr>
        <w:t>$700,000,000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174625</wp:posOffset>
            </wp:positionV>
            <wp:extent cx="1920240" cy="5740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$400,000,000 3.50% Notes due 2030</w:t>
      </w:r>
    </w:p>
    <w:p>
      <w:pPr>
        <w:spacing w:after="0" w:line="72"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$300,000,000 3.95%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Citigroup</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Deutsche Bank Securities</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US Bancorp</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Wells Fargo Securities</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Regions Securities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6"/>
          <w:szCs w:val="26"/>
          <w:b w:val="1"/>
          <w:bCs w:val="1"/>
          <w:color w:val="auto"/>
        </w:rPr>
        <w:t>SunTrust Robinson Humphrey</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TD Securities</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Scotiabank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506095</wp:posOffset>
            </wp:positionV>
            <wp:extent cx="699516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lvl w:ilvl="1">
      <w:lvlJc w:val="left"/>
      <w:lvlText w:val="•"/>
      <w:numFmt w:val="bullet"/>
      <w:start w:val="1"/>
    </w:lvl>
  </w:abstractNum>
  <w:abstractNum w:abstractNumId="5">
    <w:nsid w:val="374A3FE6"/>
    <w:multiLevelType w:val="hybridMultilevel"/>
    <w:lvl w:ilvl="0">
      <w:lvlJc w:val="left"/>
      <w:lvlText w:val="(%1)"/>
      <w:numFmt w:val="decimal"/>
      <w:start w:val="30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1)"/>
      <w:numFmt w:val="decimal"/>
      <w:start w:val="4"/>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1)"/>
      <w:numFmt w:val="lowerLetter"/>
      <w:start w:val="1"/>
    </w:lvl>
  </w:abstractNum>
  <w:abstractNum w:abstractNumId="12">
    <w:nsid w:val="180115BE"/>
    <w:multiLevelType w:val="hybridMultilevel"/>
    <w:lvl w:ilvl="0">
      <w:lvlJc w:val="left"/>
      <w:lvlText w:val="%1."/>
      <w:numFmt w:val="decimal"/>
      <w:start w:val="1"/>
    </w:lvl>
  </w:abstractNum>
  <w:abstractNum w:abstractNumId="13">
    <w:nsid w:val="235BA861"/>
    <w:multiLevelType w:val="hybridMultilevel"/>
    <w:lvl w:ilvl="0">
      <w:lvlJc w:val="left"/>
      <w:lvlText w:val="(%1)"/>
      <w:numFmt w:val="lowerLetter"/>
      <w:start w:val="1"/>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1."/>
      <w:numFmt w:val="decimal"/>
      <w:start w:val="6"/>
    </w:lvl>
  </w:abstractNum>
  <w:abstractNum w:abstractNumId="16">
    <w:nsid w:val="15B5AF5C"/>
    <w:multiLevelType w:val="hybridMultilevel"/>
    <w:lvl w:ilvl="0">
      <w:lvlJc w:val="left"/>
      <w:lvlText w:val="(%1)"/>
      <w:numFmt w:val="lowerLetter"/>
      <w:start w:val="1"/>
    </w:lvl>
  </w:abstractNum>
  <w:abstractNum w:abstractNumId="17">
    <w:nsid w:val="741226BB"/>
    <w:multiLevelType w:val="hybridMultilevel"/>
    <w:lvl w:ilvl="0">
      <w:lvlJc w:val="left"/>
      <w:lvlText w:val="(%1)"/>
      <w:numFmt w:val="decimal"/>
      <w:start w:val="2"/>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lvl w:ilvl="1">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1)"/>
      <w:numFmt w:val="lowerLetter"/>
      <w:start w:val="2"/>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301"/>
    </w:lvl>
  </w:abstractNum>
  <w:abstractNum w:abstractNumId="27">
    <w:nsid w:val="2F305DEF"/>
    <w:multiLevelType w:val="hybridMultilevel"/>
    <w:lvl w:ilvl="0">
      <w:lvlJc w:val="left"/>
      <w:lvlText w:val="(%1)"/>
      <w:numFmt w:val="lowerLetter"/>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lvl w:ilvl="1">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lvl w:ilvl="1">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decimal"/>
      <w:start w:val="5"/>
    </w:lvl>
  </w:abstractNum>
  <w:abstractNum w:abstractNumId="51">
    <w:nsid w:val="11447B73"/>
    <w:multiLevelType w:val="hybridMultilevel"/>
    <w:lvl w:ilvl="0">
      <w:lvlJc w:val="left"/>
      <w:lvlText w:val="(%1)"/>
      <w:numFmt w:val="lowerLetter"/>
      <w:start w:val="1"/>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lvl w:ilvl="1">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lvl w:ilvl="1">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lvl w:ilvl="1">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lvl w:ilvl="1">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1."/>
      <w:numFmt w:val="decimal"/>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lowerRoman"/>
      <w:start w:val="3"/>
    </w:lvl>
  </w:abstractNum>
  <w:abstractNum w:abstractNumId="92">
    <w:nsid w:val="488AC1A"/>
    <w:multiLevelType w:val="hybridMultilevel"/>
    <w:lvl w:ilvl="0">
      <w:lvlJc w:val="left"/>
      <w:lvlText w:val="•"/>
      <w:numFmt w:val="bullet"/>
      <w:start w:val="1"/>
    </w:lvl>
    <w:lvl w:ilvl="1">
      <w:lvlJc w:val="left"/>
      <w:lvlText w:val="•"/>
      <w:numFmt w:val="bullet"/>
      <w:start w:val="1"/>
    </w:lvl>
  </w:abstractNum>
  <w:abstractNum w:abstractNumId="93">
    <w:nsid w:val="5FB8011C"/>
    <w:multiLevelType w:val="hybridMultilevel"/>
    <w:lvl w:ilvl="0">
      <w:lvlJc w:val="left"/>
      <w:lvlText w:val="•"/>
      <w:numFmt w:val="bullet"/>
      <w:start w:val="1"/>
    </w:lvl>
    <w:lvl w:ilvl="1">
      <w:lvlJc w:val="left"/>
      <w:lvlText w:val="(%2)"/>
      <w:numFmt w:val="lowerRoman"/>
      <w:start w:val="2"/>
    </w:lvl>
  </w:abstractNum>
  <w:abstractNum w:abstractNumId="94">
    <w:nsid w:val="6AA78F7F"/>
    <w:multiLevelType w:val="hybridMultilevel"/>
    <w:lvl w:ilvl="0">
      <w:lvlJc w:val="left"/>
      <w:lvlText w:val="•"/>
      <w:numFmt w:val="bullet"/>
      <w:start w:val="1"/>
    </w:lvl>
    <w:lvl w:ilvl="1">
      <w:lvlJc w:val="left"/>
      <w:lvlText w:val="(%2)"/>
      <w:numFmt w:val="lowerRoman"/>
      <w:start w:val="5"/>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2"/>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jpe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7" Type="http://schemas.openxmlformats.org/officeDocument/2006/relationships/hyperlink" Target="http://www.sec.gov/ix?doc=/Archives/edgar/data/34903/000003490320000021/frt-03312020x10q.htm" TargetMode="External"/><Relationship Id="rId109" Type="http://schemas.openxmlformats.org/officeDocument/2006/relationships/hyperlink" Target="http://www.sec.gov/Archives/edgar/data/34903/000003490318000009/frt-1231201710k.htm" TargetMode="External"/><Relationship Id="rId110" Type="http://schemas.openxmlformats.org/officeDocument/2006/relationships/hyperlink" Target="http://www.sec.gov/Archives/edgar/data/34903/000119312518093016/d501572ddef14a.htm" TargetMode="External"/><Relationship Id="rId111" Type="http://schemas.openxmlformats.org/officeDocument/2006/relationships/hyperlink" Target="http://www.sec.gov/Archives/edgar/data/34903/000003490318000016/frt-03312018x10q.htm" TargetMode="External"/><Relationship Id="rId112" Type="http://schemas.openxmlformats.org/officeDocument/2006/relationships/hyperlink" Target="http://www.sec.gov/Archives/edgar/data/34903/000003490318000018/frt-050420188kdocument.htm" TargetMode="External"/><Relationship Id="rId113" Type="http://schemas.openxmlformats.org/officeDocument/2006/relationships/hyperlink" Target="http://www.sec.gov/Archives/edgar/data/34903/000092838502002234/d8a12ba.txt" TargetMode="External"/><Relationship Id="rId114"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2020-05-08T16:02:39Z</dcterms:created>
  <dcterms:modified xsi:type="dcterms:W3CDTF">2020-05-08T16:02:39Z</dcterms:modified>
</cp:coreProperties>
</file>