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December 20,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3"/>
              </w:rPr>
              <w:t>Maryland</w:t>
            </w:r>
          </w:p>
        </w:tc>
        <w:tc>
          <w:tcPr>
            <w:tcW w:w="3940" w:type="dxa"/>
            <w:vAlign w:val="bottom"/>
          </w:tcPr>
          <w:p>
            <w:pPr>
              <w:jc w:val="right"/>
              <w:ind w:right="1622"/>
              <w:spacing w:after="0"/>
              <w:rPr>
                <w:sz w:val="20"/>
                <w:szCs w:val="20"/>
                <w:color w:val="auto"/>
              </w:rPr>
            </w:pPr>
            <w:r>
              <w:rPr>
                <w:rFonts w:ascii="Arial" w:cs="Arial" w:eastAsia="Arial" w:hAnsi="Arial"/>
                <w:sz w:val="18"/>
                <w:szCs w:val="18"/>
                <w:b w:val="1"/>
                <w:bCs w:val="1"/>
                <w:color w:val="auto"/>
              </w:rPr>
              <w:t>1-07533</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94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39"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333-135159), and each is filed herewith for incorporation by reference in such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220" w:type="dxa"/>
            <w:vAlign w:val="bottom"/>
          </w:tcPr>
          <w:p>
            <w:pPr>
              <w:spacing w:after="0"/>
              <w:rPr>
                <w:sz w:val="15"/>
                <w:szCs w:val="15"/>
                <w:color w:val="auto"/>
              </w:rPr>
            </w:pPr>
          </w:p>
        </w:tc>
        <w:tc>
          <w:tcPr>
            <w:tcW w:w="10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10540" w:type="dxa"/>
            <w:vAlign w:val="bottom"/>
          </w:tcPr>
          <w:p>
            <w:pPr>
              <w:spacing w:after="0" w:line="201" w:lineRule="exact"/>
              <w:rPr>
                <w:sz w:val="20"/>
                <w:szCs w:val="20"/>
                <w:color w:val="auto"/>
              </w:rPr>
            </w:pPr>
            <w:r>
              <w:rPr>
                <w:rFonts w:ascii="Arial" w:cs="Arial" w:eastAsia="Arial" w:hAnsi="Arial"/>
                <w:sz w:val="18"/>
                <w:szCs w:val="18"/>
                <w:color w:val="auto"/>
                <w:w w:val="91"/>
              </w:rPr>
              <w:t>Underwriting Agreement, dated December 20, 2007, by and among the Registrant and Merrill Lynch &amp; Co., as representative of the underwriters</w:t>
            </w: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40" w:type="dxa"/>
            <w:vAlign w:val="bottom"/>
          </w:tcPr>
          <w:p>
            <w:pPr>
              <w:spacing w:after="0"/>
              <w:rPr>
                <w:sz w:val="20"/>
                <w:szCs w:val="20"/>
                <w:color w:val="auto"/>
              </w:rPr>
            </w:pPr>
            <w:r>
              <w:rPr>
                <w:rFonts w:ascii="Arial" w:cs="Arial" w:eastAsia="Arial" w:hAnsi="Arial"/>
                <w:sz w:val="18"/>
                <w:szCs w:val="18"/>
                <w:color w:val="auto"/>
              </w:rPr>
              <w:t>named in Schedule I to the related pricing agreement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0540" w:type="dxa"/>
            <w:vAlign w:val="bottom"/>
          </w:tcPr>
          <w:p>
            <w:pPr>
              <w:spacing w:after="0"/>
              <w:rPr>
                <w:sz w:val="20"/>
                <w:szCs w:val="20"/>
                <w:color w:val="auto"/>
              </w:rPr>
            </w:pPr>
            <w:r>
              <w:rPr>
                <w:rFonts w:ascii="Arial" w:cs="Arial" w:eastAsia="Arial" w:hAnsi="Arial"/>
                <w:sz w:val="18"/>
                <w:szCs w:val="18"/>
                <w:color w:val="auto"/>
              </w:rPr>
              <w:t>Pricing Agreement, dated December 20, 2007, by and between the Registrant and certain underwriters named therein</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540" w:type="dxa"/>
            <w:vAlign w:val="bottom"/>
          </w:tcPr>
          <w:p>
            <w:pPr>
              <w:spacing w:after="0"/>
              <w:rPr>
                <w:sz w:val="20"/>
                <w:szCs w:val="20"/>
                <w:color w:val="auto"/>
              </w:rPr>
            </w:pPr>
            <w:r>
              <w:rPr>
                <w:rFonts w:ascii="Arial" w:cs="Arial" w:eastAsia="Arial" w:hAnsi="Arial"/>
                <w:sz w:val="18"/>
                <w:szCs w:val="18"/>
                <w:color w:val="auto"/>
                <w:w w:val="98"/>
              </w:rPr>
              <w:t>Specimen common share certificate (previously filed as Exhibit 4(i) to the Registrant’s Annual Report on Form 10-K for the year ended</w:t>
            </w:r>
          </w:p>
        </w:tc>
      </w:tr>
      <w:tr>
        <w:trPr>
          <w:trHeight w:val="222"/>
        </w:trPr>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54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1054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the common shares</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1054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1054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20, 2007</w:t>
      </w:r>
      <w:r>
        <w:rPr>
          <w:sz w:val="20"/>
          <w:szCs w:val="20"/>
          <w:color w:val="auto"/>
        </w:rPr>
        <w:tab/>
      </w:r>
      <w:r>
        <w:rPr>
          <w:rFonts w:ascii="Arial" w:cs="Arial" w:eastAsia="Arial" w:hAnsi="Arial"/>
          <w:sz w:val="16"/>
          <w:szCs w:val="16"/>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400"/>
          </w:cols>
          <w:pgMar w:left="240" w:top="280" w:right="259" w:bottom="1440" w:gutter="0" w:footer="0" w:header="0"/>
        </w:sectPr>
      </w:pPr>
    </w:p>
    <w:bookmarkStart w:id="3" w:name="page4"/>
    <w:bookmarkEnd w:id="3"/>
    <w:p>
      <w:pPr>
        <w:ind w:left="10620"/>
        <w:spacing w:after="0"/>
        <w:rPr>
          <w:sz w:val="20"/>
          <w:szCs w:val="20"/>
          <w:color w:val="auto"/>
        </w:rPr>
      </w:pPr>
      <w:r>
        <w:rPr>
          <w:rFonts w:ascii="Arial" w:cs="Arial" w:eastAsia="Arial" w:hAnsi="Arial"/>
          <w:sz w:val="15"/>
          <w:szCs w:val="15"/>
          <w:b w:val="1"/>
          <w:bCs w:val="1"/>
          <w:i w:val="1"/>
          <w:iCs w:val="1"/>
          <w:color w:val="auto"/>
        </w:rPr>
        <w:t>Exhibit 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and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208280</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20,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Merrill Lynch, Pierce, Fenner &amp; Smith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 World Financial Center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10080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shares of beneficial interest (the “Shares”) specified in Schedule II to such Pricing Agreement (with respect to such Pricing Agreement, the “Designated Shares”). If specified in such Pricing Agreement, the Designated Shares may consist of a specified number of shares that the Underwriters, acting severally and not jointly, have agreed to purchase (the “Initial Shares”) and a specified number of shares that the Underwriters, acting severally and not jointly, have the option to purchase to cover over allotments, if any (the “Option Shares”), in each case on the terms and subject to the conditions set forth in this Underwriting Agreement and such Pricing Agreement. The Shares may include the Company’s common shares of beneficial interest, par value $0.01 per share (the “Common Shares”), or preferred shares of beneficial interest, par value $0.01 per share (the “Preferred Shares”).</w:t>
      </w:r>
    </w:p>
    <w:p>
      <w:pPr>
        <w:sectPr>
          <w:pgSz w:w="11900" w:h="16838" w:orient="portrait"/>
          <w:cols w:equalWidth="0" w:num="1">
            <w:col w:w="11420"/>
          </w:cols>
          <w:pgMar w:left="240" w:top="131" w:right="239" w:bottom="1440" w:gutter="0" w:footer="0" w:header="0"/>
        </w:sectPr>
      </w:pPr>
    </w:p>
    <w:bookmarkStart w:id="4" w:name="page5"/>
    <w:bookmarkEnd w:id="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and rights of any particular issuance of Designated Shares shall be as specified in the Pricing Agreement relating thereto and in or pursuant to the resolutions of the board of trustees of the Company or a duly appointed committee thereof.</w:t>
      </w:r>
    </w:p>
    <w:p>
      <w:pPr>
        <w:spacing w:after="0" w:line="51" w:lineRule="exact"/>
        <w:rPr>
          <w:sz w:val="20"/>
          <w:szCs w:val="20"/>
          <w:color w:val="auto"/>
        </w:rPr>
      </w:pPr>
    </w:p>
    <w:p>
      <w:pPr>
        <w:ind w:right="20" w:firstLine="464"/>
        <w:spacing w:after="0" w:line="285" w:lineRule="auto"/>
        <w:tabs>
          <w:tab w:leader="none" w:pos="632"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Shares or as an obligation of any of the Underwriters to purchase any of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such Designated Shares (and, if applicable, the aggregate number of Initial Shares and Option Shares), the initial public offering price of such Designated Shares, the purchase price to the Underwriters of such Designated Shares, the names of the Underwriters of such Designated Shares, the names of the Representatives of such Underwriters and the number of such Designated Shares to be purchased by each Underwriter and shall set forth the date, time and manner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28" w:lineRule="exact"/>
        <w:rPr>
          <w:rFonts w:ascii="Arial" w:cs="Arial" w:eastAsia="Arial" w:hAnsi="Arial"/>
          <w:sz w:val="16"/>
          <w:szCs w:val="16"/>
          <w:color w:val="auto"/>
        </w:rPr>
      </w:pPr>
    </w:p>
    <w:p>
      <w:pPr>
        <w:ind w:right="40" w:firstLine="464"/>
        <w:spacing w:after="0" w:line="332" w:lineRule="auto"/>
        <w:tabs>
          <w:tab w:leader="none" w:pos="63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represents and warrants to, and agrees with, each of the Underwriters as of the date hereof, the Applicable Time referred to in Section 2(c) hereof, the Time of Delivery referred to in Section 4 hereof and the Option Closing Time referred to in Section 4 hereof, if any, that:</w:t>
      </w:r>
    </w:p>
    <w:p>
      <w:pPr>
        <w:spacing w:after="0" w:line="4" w:lineRule="exact"/>
        <w:rPr>
          <w:rFonts w:ascii="Arial" w:cs="Arial" w:eastAsia="Arial" w:hAnsi="Arial"/>
          <w:sz w:val="16"/>
          <w:szCs w:val="16"/>
          <w:color w:val="auto"/>
        </w:rPr>
      </w:pPr>
    </w:p>
    <w:p>
      <w:pPr>
        <w:ind w:left="460" w:firstLine="443"/>
        <w:spacing w:after="0" w:line="283" w:lineRule="auto"/>
        <w:tabs>
          <w:tab w:leader="none" w:pos="1137"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333-135159),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Shares under the Act. Promptly after execution and delivery of a Pricing Agreement with respect to the Designated Shares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w:t>
      </w:r>
    </w:p>
    <w:p>
      <w:pPr>
        <w:ind w:left="460"/>
        <w:spacing w:after="0"/>
        <w:rPr>
          <w:rFonts w:ascii="Arial" w:cs="Arial" w:eastAsia="Arial" w:hAnsi="Arial"/>
          <w:sz w:val="16"/>
          <w:szCs w:val="16"/>
          <w:color w:val="auto"/>
        </w:rPr>
      </w:pPr>
      <w:r>
        <w:rPr>
          <w:rFonts w:ascii="Arial" w:cs="Arial" w:eastAsia="Arial" w:hAnsi="Arial"/>
          <w:sz w:val="18"/>
          <w:szCs w:val="18"/>
          <w:color w:val="auto"/>
        </w:rPr>
        <w:t>“Rule 430B Information.” Each prospectus used in connection with the offering of Designated Shares that omitted Rule 430B</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Shares,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39"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ind w:right="60" w:firstLine="443"/>
        <w:spacing w:after="0" w:line="287"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Shares in reliance on the exemption of Rule 163 under the Act (“Rule 163”), (D) at the earliest time that the Company or another offering participant made a bona fide offer (within the meaning of Rule 164(h)(2) under the Act) of the Designated Shares,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Shares,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6" w:name="page7"/>
    <w:bookmarkEnd w:id="6"/>
    <w:p>
      <w:pPr>
        <w:ind w:right="80" w:firstLine="443"/>
        <w:spacing w:after="0" w:line="298" w:lineRule="auto"/>
        <w:tabs>
          <w:tab w:leader="none" w:pos="677"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Original Registration Statement became effective upon filing under Rule 462(e) under the Act (“Rule 462(e)”) on June 20, 2006,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right="220" w:firstLine="438"/>
        <w:spacing w:after="0" w:line="298" w:lineRule="auto"/>
        <w:rPr>
          <w:sz w:val="20"/>
          <w:szCs w:val="20"/>
          <w:color w:val="auto"/>
        </w:rPr>
      </w:pPr>
      <w:r>
        <w:rPr>
          <w:rFonts w:ascii="Arial" w:cs="Arial" w:eastAsia="Arial" w:hAnsi="Arial"/>
          <w:sz w:val="16"/>
          <w:szCs w:val="16"/>
          <w:color w:val="auto"/>
        </w:rPr>
        <w:t>Any offer that is a written communication relating to the Shares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32" w:lineRule="exact"/>
        <w:rPr>
          <w:sz w:val="20"/>
          <w:szCs w:val="20"/>
          <w:color w:val="auto"/>
        </w:rPr>
      </w:pPr>
    </w:p>
    <w:p>
      <w:pPr>
        <w:ind w:right="60" w:firstLine="443"/>
        <w:spacing w:after="0" w:line="294" w:lineRule="auto"/>
        <w:tabs>
          <w:tab w:leader="none" w:pos="726"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pursuant to Rule 430B(f)(2) under the Act, (C) at the Time of Delivery, and (D) at the Option Closing Time, if any,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Neither the Prospectus nor any amendments or supplements thereto, at the time the Prospectus or any such amendment or supplement was issued, at the Time of Delivery and at the Option Closing Time, if any, included or will include an untrue statement of a material fact or omitted or will omit to state a material fact necessary in order to make the statements therein, in the light of the circumstances under which they were made, not misleading.</w:t>
      </w:r>
    </w:p>
    <w:p>
      <w:pPr>
        <w:spacing w:after="0" w:line="26" w:lineRule="exact"/>
        <w:rPr>
          <w:sz w:val="20"/>
          <w:szCs w:val="20"/>
          <w:color w:val="auto"/>
        </w:rPr>
      </w:pPr>
    </w:p>
    <w:p>
      <w:pPr>
        <w:ind w:right="20" w:firstLine="438"/>
        <w:spacing w:after="0" w:line="323" w:lineRule="auto"/>
        <w:rPr>
          <w:sz w:val="20"/>
          <w:szCs w:val="20"/>
          <w:color w:val="auto"/>
        </w:rPr>
      </w:pPr>
      <w:r>
        <w:rPr>
          <w:rFonts w:ascii="Arial" w:cs="Arial" w:eastAsia="Arial" w:hAnsi="Arial"/>
          <w:sz w:val="15"/>
          <w:szCs w:val="15"/>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Shares will be identical to the electronically transmitted copies thereof filed with the Commission pursuant to EDGAR, except to the extent permitted by Regulation S-T.</w:t>
      </w:r>
    </w:p>
    <w:p>
      <w:pPr>
        <w:spacing w:after="0" w:line="17"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As of the Applicable Time (as defined below), the Statutory Prospectus, when considered together with the Issuer Free Writing Prospectus(es) (as defined below) issued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7" w:name="page8"/>
    <w:bookmarkEnd w:id="7"/>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or prior to the Applicable Time and the information included on Exhibit C hereto, will not include any untrue statement of a material fact or omit to state any material fact necessary in order to make the statements therein, in the light of the circumstances under which they were made, not misleading. The Statutory Prospectus, the Issuer Free Writing Prospectus(es) and the information included on Exhibit C hereto are collectively referred to herein as the “General Disclosure Package.”</w:t>
      </w:r>
    </w:p>
    <w:p>
      <w:pPr>
        <w:spacing w:after="0" w:line="62" w:lineRule="exact"/>
        <w:rPr>
          <w:sz w:val="20"/>
          <w:szCs w:val="20"/>
          <w:color w:val="auto"/>
        </w:rPr>
      </w:pPr>
    </w:p>
    <w:p>
      <w:pPr>
        <w:ind w:right="100" w:firstLine="438"/>
        <w:spacing w:after="0" w:line="298"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“Applicable Time” shall have the meaning set forth in the Pricing Agreement with respect to the Designated Shares specified therein.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particular issuance of Designated Shares (including any identified on Exhibit B hereto) that (i) is required to be filed with the Commission by the Company,</w:t>
      </w:r>
    </w:p>
    <w:p>
      <w:pPr>
        <w:spacing w:after="0" w:line="32" w:lineRule="exact"/>
        <w:rPr>
          <w:sz w:val="20"/>
          <w:szCs w:val="20"/>
          <w:color w:val="auto"/>
        </w:rPr>
      </w:pPr>
    </w:p>
    <w:p>
      <w:pPr>
        <w:ind w:left="260" w:hanging="256"/>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a “road show that is a written communication” within the meaning of Rule 433(d)(8)(i), whether or not required to be filed with the Commission, or</w:t>
      </w:r>
    </w:p>
    <w:p>
      <w:pPr>
        <w:spacing w:after="0" w:line="32" w:lineRule="exact"/>
        <w:rPr>
          <w:rFonts w:ascii="Arial" w:cs="Arial" w:eastAsia="Arial" w:hAnsi="Arial"/>
          <w:sz w:val="16"/>
          <w:szCs w:val="16"/>
          <w:color w:val="auto"/>
        </w:rPr>
      </w:pPr>
    </w:p>
    <w:p>
      <w:pPr>
        <w:ind w:firstLine="4"/>
        <w:spacing w:after="0" w:line="255" w:lineRule="auto"/>
        <w:tabs>
          <w:tab w:leader="none" w:pos="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exempt from filing pursuant to Rule 433(d)(5)(i) because it contains a description of a particular issuance of Designated Shares or of the offering that does not reflect the final terms, in each case in the form filed or required to be filed with the Commission or, if not required to be filed, in the form retained in the Company’s records pursuant to Rule 433(g).</w:t>
      </w:r>
    </w:p>
    <w:p>
      <w:pPr>
        <w:spacing w:after="0" w:line="63" w:lineRule="exact"/>
        <w:rPr>
          <w:sz w:val="20"/>
          <w:szCs w:val="20"/>
          <w:color w:val="auto"/>
        </w:rPr>
      </w:pPr>
    </w:p>
    <w:p>
      <w:pPr>
        <w:jc w:val="both"/>
        <w:ind w:right="420" w:firstLine="438"/>
        <w:spacing w:after="0" w:line="306"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Shares set forth in the Pricing Agreement, including the documents incorporated by reference therein and any other preliminary or other prospectus deemed to be a part thereof.</w:t>
      </w:r>
    </w:p>
    <w:p>
      <w:pPr>
        <w:spacing w:after="0" w:line="26" w:lineRule="exact"/>
        <w:rPr>
          <w:sz w:val="20"/>
          <w:szCs w:val="20"/>
          <w:color w:val="auto"/>
        </w:rPr>
      </w:pPr>
    </w:p>
    <w:p>
      <w:pPr>
        <w:jc w:val="both"/>
        <w:ind w:right="160" w:firstLine="443"/>
        <w:spacing w:after="0" w:line="30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25" w:lineRule="exact"/>
        <w:rPr>
          <w:rFonts w:ascii="Arial" w:cs="Arial" w:eastAsia="Arial" w:hAnsi="Arial"/>
          <w:sz w:val="16"/>
          <w:szCs w:val="16"/>
          <w:color w:val="auto"/>
        </w:rPr>
      </w:pPr>
    </w:p>
    <w:p>
      <w:pPr>
        <w:jc w:val="both"/>
        <w:ind w:right="140" w:firstLine="443"/>
        <w:spacing w:after="0" w:line="259"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Shares or until any earlier date that the Company notified or notifies the Underwriters as described in Section 5(g) hereof, did not, does not and will</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8" w:name="page9"/>
    <w:bookmarkEnd w:id="8"/>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32" w:lineRule="exact"/>
        <w:rPr>
          <w:sz w:val="20"/>
          <w:szCs w:val="20"/>
          <w:color w:val="auto"/>
        </w:rPr>
      </w:pPr>
    </w:p>
    <w:p>
      <w:pPr>
        <w:ind w:firstLine="443"/>
        <w:spacing w:after="0" w:line="285" w:lineRule="auto"/>
        <w:tabs>
          <w:tab w:leader="none" w:pos="65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the General Disclosure Package and the Prospectus; the Company has interests in a number of entities (collectively, the “Entities”), identified on Exhibit E, which have been duly organized and are validly existing as corporations, partnerships, limited liability companies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Registration Statement, the General Disclosure Package and the Prospectus; except as otherwise denoted in Exhibit E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other than contractual rights existing on the date of the applicable Pricing Agreement by the current and former holders of partnership or other interests in certain of the “DownREIT” and other Entities listed in Exhibit E hereto which may result in the issuance of Common Shares of the Company;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45" w:lineRule="exact"/>
        <w:rPr>
          <w:rFonts w:ascii="Arial" w:cs="Arial" w:eastAsia="Arial" w:hAnsi="Arial"/>
          <w:sz w:val="16"/>
          <w:szCs w:val="16"/>
          <w:color w:val="auto"/>
        </w:rPr>
      </w:pPr>
    </w:p>
    <w:p>
      <w:pPr>
        <w:ind w:right="240" w:firstLine="443"/>
        <w:spacing w:after="0" w:line="312" w:lineRule="auto"/>
        <w:tabs>
          <w:tab w:leader="none" w:pos="687" w:val="left"/>
        </w:tabs>
        <w:numPr>
          <w:ilvl w:val="0"/>
          <w:numId w:val="8"/>
        </w:numPr>
        <w:rPr>
          <w:rFonts w:ascii="Arial" w:cs="Arial" w:eastAsia="Arial" w:hAnsi="Arial"/>
          <w:sz w:val="15"/>
          <w:szCs w:val="15"/>
          <w:color w:val="auto"/>
        </w:rPr>
      </w:pPr>
      <w:r>
        <w:rPr>
          <w:rFonts w:ascii="Arial" w:cs="Arial" w:eastAsia="Arial" w:hAnsi="Arial"/>
          <w:sz w:val="15"/>
          <w:szCs w:val="15"/>
          <w:color w:val="auto"/>
        </w:rPr>
        <w:t>Neither the Company nor any of the Entities has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w:t>
      </w:r>
    </w:p>
    <w:p>
      <w:pPr>
        <w:spacing w:after="0" w:line="9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9" w:name="page10"/>
    <w:bookmarkEnd w:id="9"/>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plans or employee inducement awards, including upon exercise of share options granted pursuant thereto, as such plans are in effect on the date of the applicable Pricing Agreement or consistent with past practice, or (z) the exercise of contractual rights existing on the date of the applicable Pricing Agreement by the current and former holders of partnership or other interests in certain of the “DownREIT” and other Entities listed in Exhibit E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General Disclosure Package and the Prospectus.</w:t>
      </w:r>
    </w:p>
    <w:p>
      <w:pPr>
        <w:spacing w:after="0" w:line="37" w:lineRule="exact"/>
        <w:rPr>
          <w:sz w:val="20"/>
          <w:szCs w:val="20"/>
          <w:color w:val="auto"/>
        </w:rPr>
      </w:pPr>
    </w:p>
    <w:p>
      <w:pPr>
        <w:ind w:right="100" w:firstLine="443"/>
        <w:spacing w:after="0" w:line="298" w:lineRule="auto"/>
        <w:tabs>
          <w:tab w:leader="none" w:pos="68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Company’s consolidated balance sheet as of September 30, 2007 set forth in the Company’s Quarterly Report on Form 10-Q for the quarterly period ended September 30, 2007,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31" w:lineRule="exact"/>
        <w:rPr>
          <w:rFonts w:ascii="Arial" w:cs="Arial" w:eastAsia="Arial" w:hAnsi="Arial"/>
          <w:sz w:val="16"/>
          <w:szCs w:val="16"/>
          <w:color w:val="auto"/>
        </w:rPr>
      </w:pPr>
    </w:p>
    <w:p>
      <w:pPr>
        <w:ind w:right="20" w:firstLine="443"/>
        <w:spacing w:after="0" w:line="25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Designated Shares have been duly and validly authorized, and, when such Designated Shares are issued and delivered pursuant to this Underwriting Agreement and the Pricing Agreement with respect to such Designated Shares, such Designated Shares will be duly and validly issued and fully paid and non-assessable; the Designated Shares conform to the description thereof contained in the Registration Statement, the General Disclosure Package and the Prospectus as amended or supplemented with respect to such Designated Shares; except as set forth under the caption “Description of Shares of Beneficial Interest—Shareholder Liability” in the Prospectus, no holder of the Designated Shares is or will be subject to personal liability by reason of being such a holder; and the issuance of the Designated Shares is not subject to any preemptive or other similar rights of any securityholder of the Company.</w:t>
      </w:r>
    </w:p>
    <w:p>
      <w:pPr>
        <w:spacing w:after="0" w:line="66" w:lineRule="exact"/>
        <w:rPr>
          <w:rFonts w:ascii="Arial" w:cs="Arial" w:eastAsia="Arial" w:hAnsi="Arial"/>
          <w:sz w:val="18"/>
          <w:szCs w:val="18"/>
          <w:color w:val="auto"/>
        </w:rPr>
      </w:pPr>
    </w:p>
    <w:p>
      <w:pPr>
        <w:ind w:firstLine="443"/>
        <w:spacing w:after="0" w:line="289"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issue and sale of the Designated Shares and the compliance by the Company with all of the provisions of this Underwriting Agreement and the Pricing Agreement with respect to such Designated Shares,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(“Declaration of Trust”) or bylaws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Shares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0" w:name="page11"/>
    <w:bookmarkEnd w:id="10"/>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 consummation by the Company of the transactions contemplated by this Underwriting Agreement or any Pricing Agreement, except such as have been, or will have been prior to the Time of Delivery, obtained under the Act, the Exchange Act and the rules of the New York Stock Exchange, Inc. (the “NYSE”) and such consents, approvals, authorizations, registrations or qualifications as may be required under state securities or “Blue Sky” laws in connection with the purchase and distribution of the Shares by the Underwriters.</w:t>
      </w:r>
    </w:p>
    <w:p>
      <w:pPr>
        <w:spacing w:after="0" w:line="32" w:lineRule="exact"/>
        <w:rPr>
          <w:sz w:val="20"/>
          <w:szCs w:val="20"/>
          <w:color w:val="auto"/>
        </w:rPr>
      </w:pPr>
    </w:p>
    <w:p>
      <w:pPr>
        <w:ind w:firstLine="443"/>
        <w:spacing w:after="0" w:line="294" w:lineRule="auto"/>
        <w:tabs>
          <w:tab w:leader="none" w:pos="6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and, to the best of the Company’s knowledge, no such proceedings are threatened or contemplated by governmental authorities or threatened by others.</w:t>
      </w:r>
    </w:p>
    <w:p>
      <w:pPr>
        <w:spacing w:after="0" w:line="34" w:lineRule="exact"/>
        <w:rPr>
          <w:rFonts w:ascii="Arial" w:cs="Arial" w:eastAsia="Arial" w:hAnsi="Arial"/>
          <w:sz w:val="16"/>
          <w:szCs w:val="16"/>
          <w:color w:val="auto"/>
        </w:rPr>
      </w:pPr>
    </w:p>
    <w:p>
      <w:pPr>
        <w:ind w:firstLine="443"/>
        <w:spacing w:after="0" w:line="291"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Entities, together with related notes and schedules as set forth or incorporated by reference in the Registration Statement, the General Disclosure Package and the Prospectus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39" w:lineRule="exact"/>
        <w:rPr>
          <w:rFonts w:ascii="Arial" w:cs="Arial" w:eastAsia="Arial" w:hAnsi="Arial"/>
          <w:sz w:val="16"/>
          <w:szCs w:val="16"/>
          <w:color w:val="auto"/>
        </w:rPr>
      </w:pPr>
    </w:p>
    <w:p>
      <w:pPr>
        <w:ind w:right="100" w:firstLine="443"/>
        <w:spacing w:after="0" w:line="256" w:lineRule="auto"/>
        <w:tabs>
          <w:tab w:leader="none" w:pos="73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the Entities have good and marketable title to, or valid and enforceable leasehold estates in, all items of real and personal property referred to in the Registration Statement, the General Disclosure Package and the Prospectus as owned or leased by the Company or any of the Entities, in each case free and clear of all pledges, liens, encumbrances, claims, security interests and defects, other than those referred to in the Prospectus or which are not material in amount.</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the Entities have filed all federal, state, local and foreign income tax returns which have been required to be filed, or</w:t>
      </w:r>
    </w:p>
    <w:p>
      <w:pPr>
        <w:spacing w:after="0" w:line="38" w:lineRule="exact"/>
        <w:rPr>
          <w:rFonts w:ascii="Arial" w:cs="Arial" w:eastAsia="Arial" w:hAnsi="Arial"/>
          <w:sz w:val="16"/>
          <w:szCs w:val="16"/>
          <w:color w:val="auto"/>
        </w:rPr>
      </w:pPr>
    </w:p>
    <w:p>
      <w:pPr>
        <w:ind w:right="40"/>
        <w:spacing w:after="0" w:line="261" w:lineRule="auto"/>
        <w:rPr>
          <w:rFonts w:ascii="Arial" w:cs="Arial" w:eastAsia="Arial" w:hAnsi="Arial"/>
          <w:sz w:val="16"/>
          <w:szCs w:val="16"/>
          <w:color w:val="auto"/>
        </w:rPr>
      </w:pPr>
      <w:r>
        <w:rPr>
          <w:rFonts w:ascii="Arial" w:cs="Arial" w:eastAsia="Arial" w:hAnsi="Arial"/>
          <w:sz w:val="18"/>
          <w:szCs w:val="18"/>
          <w:color w:val="auto"/>
        </w:rPr>
        <w:t>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56"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1" w:name="page12"/>
    <w:bookmarkEnd w:id="11"/>
    <w:p>
      <w:pPr>
        <w:ind w:left="440" w:right="60" w:firstLine="443"/>
        <w:spacing w:after="0" w:line="255" w:lineRule="auto"/>
        <w:tabs>
          <w:tab w:leader="none" w:pos="1127" w:val="left"/>
        </w:tabs>
        <w:numPr>
          <w:ilvl w:val="1"/>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 Thornton LLP, which audited the consolidated balance sheets of the Company and subsidiaries as of December 31, 2006 and the consolidated statements of operations, consolidated statements of common shareholders’ equity, and consolidated statements of cash flows for the year ended December 31, 2006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1" w:lineRule="exact"/>
        <w:rPr>
          <w:rFonts w:ascii="Arial" w:cs="Arial" w:eastAsia="Arial" w:hAnsi="Arial"/>
          <w:sz w:val="18"/>
          <w:szCs w:val="18"/>
          <w:color w:val="auto"/>
        </w:rPr>
      </w:pPr>
    </w:p>
    <w:p>
      <w:pPr>
        <w:ind w:left="440" w:right="520" w:firstLine="443"/>
        <w:spacing w:after="0" w:line="332" w:lineRule="auto"/>
        <w:tabs>
          <w:tab w:leader="none" w:pos="1127"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4" w:lineRule="exact"/>
        <w:rPr>
          <w:rFonts w:ascii="Arial" w:cs="Arial" w:eastAsia="Arial" w:hAnsi="Arial"/>
          <w:sz w:val="16"/>
          <w:szCs w:val="16"/>
          <w:color w:val="auto"/>
        </w:rPr>
      </w:pPr>
    </w:p>
    <w:p>
      <w:pPr>
        <w:ind w:left="440" w:firstLine="443"/>
        <w:spacing w:after="0" w:line="290" w:lineRule="auto"/>
        <w:tabs>
          <w:tab w:leader="none" w:pos="10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Underwriting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37" w:lineRule="exact"/>
        <w:rPr>
          <w:rFonts w:ascii="Arial" w:cs="Arial" w:eastAsia="Arial" w:hAnsi="Arial"/>
          <w:sz w:val="16"/>
          <w:szCs w:val="16"/>
          <w:color w:val="auto"/>
        </w:rPr>
      </w:pPr>
    </w:p>
    <w:p>
      <w:pPr>
        <w:ind w:left="440" w:firstLine="443"/>
        <w:spacing w:after="0" w:line="323" w:lineRule="auto"/>
        <w:tabs>
          <w:tab w:leader="none" w:pos="1107" w:val="left"/>
        </w:tabs>
        <w:numPr>
          <w:ilvl w:val="1"/>
          <w:numId w:val="11"/>
        </w:numPr>
        <w:rPr>
          <w:rFonts w:ascii="Arial" w:cs="Arial" w:eastAsia="Arial" w:hAnsi="Arial"/>
          <w:sz w:val="15"/>
          <w:szCs w:val="15"/>
          <w:color w:val="auto"/>
        </w:rPr>
      </w:pPr>
      <w:r>
        <w:rPr>
          <w:rFonts w:ascii="Arial" w:cs="Arial" w:eastAsia="Arial" w:hAnsi="Arial"/>
          <w:sz w:val="15"/>
          <w:szCs w:val="15"/>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continue to meet such requirements; and the Company is neither an “investment company” nor a company “controlled” by an “investment company” within the meaning of the Investment Company Act of 1940, as amended.</w:t>
      </w:r>
    </w:p>
    <w:p>
      <w:pPr>
        <w:spacing w:after="0" w:line="97" w:lineRule="exact"/>
        <w:rPr>
          <w:rFonts w:ascii="Arial" w:cs="Arial" w:eastAsia="Arial" w:hAnsi="Arial"/>
          <w:sz w:val="15"/>
          <w:szCs w:val="15"/>
          <w:color w:val="auto"/>
        </w:rPr>
      </w:pPr>
    </w:p>
    <w:p>
      <w:pPr>
        <w:ind w:left="-20" w:right="540" w:firstLine="464"/>
        <w:spacing w:after="0" w:line="259"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Shares and authorization by the Representatives of the release of such Designated Shares, the several Underwriters propose to offer such Designated Shares for sale upon the terms and conditions set forth in the Prospectus as amended or supplemented.</w:t>
      </w:r>
    </w:p>
    <w:p>
      <w:pPr>
        <w:spacing w:after="0" w:line="140" w:lineRule="exact"/>
        <w:rPr>
          <w:rFonts w:ascii="Arial" w:cs="Arial" w:eastAsia="Arial" w:hAnsi="Arial"/>
          <w:sz w:val="18"/>
          <w:szCs w:val="18"/>
          <w:color w:val="auto"/>
        </w:rPr>
      </w:pPr>
    </w:p>
    <w:p>
      <w:pPr>
        <w:ind w:left="-20" w:right="80" w:firstLine="464"/>
        <w:spacing w:after="0" w:line="268" w:lineRule="auto"/>
        <w:tabs>
          <w:tab w:leader="none" w:pos="6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Certificates for the Designated Shares to be purchased by each Underwriter pursuant to the Pricing Agreement relating thereto, in definitive form and in such authorized denominations and registered in such names as the Representatives may request upon at least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2" w:name="page13"/>
    <w:bookmarkEnd w:id="1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twenty-four hours’ prior notice to the Company, shall be delivered by or on behalf of the Company to the Representatives for the account of such Underwriter,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or pursuant to such Pricing Agreement or at such other place and time and date as the Representatives and the Company may agree upon in writing. The time and date of delivery of and payment for the Initial Shares (or, if the applicable Pricing Agreement does not grant the Underwriters an option to purchase Option Shares, the Designated Shares) is herein called the “Time of Delivery” for such Shares, and, if the applicable Pricing Agreement grants the Underwriters an option to purchase Option Shares and if the Underwriters exercise such option, in whole or in part, the time and date of delivery of such Option Shares is hereinafter called the “Option Closing Time” for such Shares.</w:t>
      </w:r>
    </w:p>
    <w:p>
      <w:pPr>
        <w:spacing w:after="0" w:line="118"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Shares that:</w:t>
      </w:r>
    </w:p>
    <w:p>
      <w:pPr>
        <w:spacing w:after="0" w:line="90" w:lineRule="exact"/>
        <w:rPr>
          <w:rFonts w:ascii="Arial" w:cs="Arial" w:eastAsia="Arial" w:hAnsi="Arial"/>
          <w:sz w:val="18"/>
          <w:szCs w:val="18"/>
          <w:color w:val="auto"/>
        </w:rPr>
      </w:pPr>
    </w:p>
    <w:p>
      <w:pPr>
        <w:ind w:left="460" w:firstLine="443"/>
        <w:spacing w:after="0" w:line="285" w:lineRule="auto"/>
        <w:tabs>
          <w:tab w:leader="none" w:pos="1137"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Shares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Shares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Shares.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Shares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ind w:firstLine="443"/>
        <w:spacing w:after="0" w:line="288"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Applicable Time to the Time of Delivery for such Designated Shares (or, if the applicable Pricing Agreement provides for an over-allotment option, prior to the Option Closing Time or, if such over-allotment option is not exercised by the Underwriters, from the Applicable Time to the expiration of such over-allotment option), the Company will give the Representatives notice of its intention to file or prepare any amendment to the Registration Statement or new registration statement relating to the Designated Shares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w:t>
      </w:r>
    </w:p>
    <w:p>
      <w:pPr>
        <w:spacing w:after="0" w:line="38" w:lineRule="exact"/>
        <w:rPr>
          <w:rFonts w:ascii="Arial" w:cs="Arial" w:eastAsia="Arial" w:hAnsi="Arial"/>
          <w:sz w:val="16"/>
          <w:szCs w:val="16"/>
          <w:color w:val="auto"/>
        </w:rPr>
      </w:pPr>
    </w:p>
    <w:p>
      <w:pPr>
        <w:ind w:right="40" w:firstLine="443"/>
        <w:spacing w:after="0" w:line="288" w:lineRule="auto"/>
        <w:tabs>
          <w:tab w:leader="none" w:pos="67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Shares that would constitute an “issuer free writing prospectus,” as defined in Rule 433, or that would otherwise constitute a “free writing prospectus,” as defined in Rule 405, in each case required to be filed with the Commission; provided, however, that the Underwriters are authorized to use the information on Exhibit C hereto and the information with respect to the final terms of the Designated Shares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38" w:lineRule="exact"/>
        <w:rPr>
          <w:rFonts w:ascii="Arial" w:cs="Arial" w:eastAsia="Arial" w:hAnsi="Arial"/>
          <w:sz w:val="16"/>
          <w:szCs w:val="16"/>
          <w:color w:val="auto"/>
        </w:rPr>
      </w:pPr>
    </w:p>
    <w:p>
      <w:pPr>
        <w:ind w:firstLine="443"/>
        <w:spacing w:after="0" w:line="255" w:lineRule="auto"/>
        <w:tabs>
          <w:tab w:leader="none" w:pos="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Shares, provided that in connection therewith the Company shall not be required to qualify as a foreign corporation or to file a general consent to service of process in any jurisdiction;</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14" w:name="page15"/>
    <w:bookmarkEnd w:id="14"/>
    <w:p>
      <w:pPr>
        <w:ind w:right="20" w:firstLine="443"/>
        <w:spacing w:after="0" w:line="290" w:lineRule="auto"/>
        <w:tabs>
          <w:tab w:leader="none" w:pos="677"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37" w:lineRule="exact"/>
        <w:rPr>
          <w:rFonts w:ascii="Arial" w:cs="Arial" w:eastAsia="Arial" w:hAnsi="Arial"/>
          <w:sz w:val="16"/>
          <w:szCs w:val="16"/>
          <w:color w:val="auto"/>
        </w:rPr>
      </w:pPr>
    </w:p>
    <w:p>
      <w:pPr>
        <w:ind w:firstLine="443"/>
        <w:spacing w:after="0" w:line="287" w:lineRule="auto"/>
        <w:tabs>
          <w:tab w:leader="none" w:pos="65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Shares,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41" w:lineRule="exact"/>
        <w:rPr>
          <w:rFonts w:ascii="Arial" w:cs="Arial" w:eastAsia="Arial" w:hAnsi="Arial"/>
          <w:sz w:val="16"/>
          <w:szCs w:val="16"/>
          <w:color w:val="auto"/>
        </w:rPr>
      </w:pPr>
    </w:p>
    <w:p>
      <w:pPr>
        <w:ind w:firstLine="443"/>
        <w:spacing w:after="0" w:line="287" w:lineRule="auto"/>
        <w:tabs>
          <w:tab w:leader="none" w:pos="687"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Shares as contemplated in this Underwriting Agreement, a related Pricing Agreement and in the Prospectus. If at any time when a prospectus is required by the Act to be delivered in connection with sales of the Designated Shares,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700" w:top="280" w:right="279" w:bottom="1440" w:gutter="0" w:footer="0" w:header="0"/>
        </w:sectPr>
      </w:pPr>
    </w:p>
    <w:bookmarkStart w:id="15" w:name="page16"/>
    <w:bookmarkEnd w:id="1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Shares)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Shares)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42" w:lineRule="exact"/>
        <w:rPr>
          <w:sz w:val="20"/>
          <w:szCs w:val="20"/>
          <w:color w:val="auto"/>
        </w:rPr>
      </w:pPr>
    </w:p>
    <w:p>
      <w:pPr>
        <w:ind w:right="200" w:firstLine="443"/>
        <w:spacing w:after="0" w:line="259" w:lineRule="auto"/>
        <w:tabs>
          <w:tab w:leader="none" w:pos="6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59" w:lineRule="exact"/>
        <w:rPr>
          <w:rFonts w:ascii="Arial" w:cs="Arial" w:eastAsia="Arial" w:hAnsi="Arial"/>
          <w:sz w:val="18"/>
          <w:szCs w:val="18"/>
          <w:color w:val="auto"/>
        </w:rPr>
      </w:pPr>
    </w:p>
    <w:p>
      <w:pPr>
        <w:ind w:firstLine="443"/>
        <w:spacing w:after="0" w:line="249" w:lineRule="auto"/>
        <w:tabs>
          <w:tab w:leader="none" w:pos="648"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period beginning on and including the date of the Pricing Agreement for such Designated Shares and continuing through and including the 45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after the date of the Pricing Agreement (the “Lock-Up Period”), not to offer, sell, contract to sell, pledge or otherwise issue or dispose of (or enter into any transaction that is designed to, or might reasonably be expected to, result in the disposition of (whether by actual disposition or effective economic disposition due to cash settlement or otherwise) by the Company), directly or indirectly, or establish or increase a put equivalent position or liquidate or decrease a call equivalent position with the meaning of Section 16 of the Exchange Act and the rules and regulations of the Commission promulgated thereunder with respect to, (i) if such Designated Shares are Common Shares, any Common Shares, any capital shares of the Company which are substantially similar to Common Shares or any securities convertible into or exercisable, exchangeable or redeemable for Common Shares or any capital shares of the Company which are substantially similar to Common Shares or (ii) if such Designated Shares are Preferred Shares, any such Preferred Shares, any capital shares of the Company which are substantially similar to such Preferred Shares or any securities convertible into or exercisable, exchangeable or redeemable for any such Preferred Shares or any capital shares of the Company which are substantially similar to such Preferred Shares, or publicly announce an intention to effect any such transaction, in each case without the prior written consent of the Representatives. The foregoing restrictions in this Section 5(i) shall not prohibit the sale of such Designated Shares to the Underwriters pursuant to this Agreement and the applicable Pricing Agreement, and shall not prohibit the Company from (A) issuing Common Shares (including upon exercise of share options) or granting options to purchase Common</w:t>
      </w:r>
    </w:p>
    <w:p>
      <w:pPr>
        <w:spacing w:after="0" w:line="16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6" w:name="page17"/>
    <w:bookmarkEnd w:id="16"/>
    <w:p>
      <w:pPr>
        <w:ind w:left="42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pursuant to (x) the Company’s Dividend Reinvestment and Share Purchase Plan as in effect on the date of the applicable Pricing Agreement, (y) any of the Company’s employee or trustee benefit plans or employee inducement awards as such plans are in effect on the date of the applicable Pricing Agreement or consistent with past practice, or (z) the exercise of contractual rights existing on the date of the applicable Pricing Agreement by current and former holders of partnership or other interests in certain of the “DownREIT” and other Entities listed in Exhibit E hereto which may result in the issuance of Common Shares by the Company, and (B) issuing Common Shares, Preferred Shares and any other securities of the Company (the “Acquisition Securities”), including, without limitation, securities convertible into or exercisable, exchangeable or redeemable for Common Shares, as consideration for the acquisition of real property, provided that (i) the Acquisition Securities are not sold (with respect to Acquisition Securities that are Common Shares) and are not convertible, exercisable, exchangeable or redeemable for or into Common Shares (with respect to Acquisition Securities that are not Common</w:t>
      </w:r>
    </w:p>
    <w:p>
      <w:pPr>
        <w:spacing w:after="0" w:line="4" w:lineRule="exact"/>
        <w:rPr>
          <w:sz w:val="20"/>
          <w:szCs w:val="20"/>
          <w:color w:val="auto"/>
        </w:rPr>
      </w:pPr>
    </w:p>
    <w:p>
      <w:pPr>
        <w:ind w:left="420" w:right="20"/>
        <w:spacing w:after="0" w:line="272" w:lineRule="auto"/>
        <w:rPr>
          <w:sz w:val="20"/>
          <w:szCs w:val="20"/>
          <w:color w:val="auto"/>
        </w:rPr>
      </w:pPr>
      <w:r>
        <w:rPr>
          <w:rFonts w:ascii="Arial" w:cs="Arial" w:eastAsia="Arial" w:hAnsi="Arial"/>
          <w:sz w:val="16"/>
          <w:szCs w:val="16"/>
          <w:color w:val="auto"/>
        </w:rPr>
        <w:t>Shares), in each case prior to the day following the 45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date of the Pricing Agreement and (ii) the Company shall not release, modify or waive the restriction set forth in this clause (B) with respect to the Acquisition Securities without the prior written consent of the Representatives;</w:t>
      </w:r>
    </w:p>
    <w:p>
      <w:pPr>
        <w:spacing w:after="0" w:line="71" w:lineRule="exact"/>
        <w:rPr>
          <w:sz w:val="20"/>
          <w:szCs w:val="20"/>
          <w:color w:val="auto"/>
        </w:rPr>
      </w:pPr>
    </w:p>
    <w:p>
      <w:pPr>
        <w:ind w:left="420" w:right="120" w:firstLine="443"/>
        <w:spacing w:after="0" w:line="268" w:lineRule="auto"/>
        <w:tabs>
          <w:tab w:leader="none" w:pos="10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Shares in the manner specified in the Prospectus under the caption “Use of Proceeds”;</w:t>
      </w:r>
    </w:p>
    <w:p>
      <w:pPr>
        <w:spacing w:after="0" w:line="50" w:lineRule="exact"/>
        <w:rPr>
          <w:rFonts w:ascii="Arial" w:cs="Arial" w:eastAsia="Arial" w:hAnsi="Arial"/>
          <w:sz w:val="18"/>
          <w:szCs w:val="18"/>
          <w:color w:val="auto"/>
        </w:rPr>
      </w:pPr>
    </w:p>
    <w:p>
      <w:pPr>
        <w:ind w:left="420" w:right="260" w:firstLine="443"/>
        <w:spacing w:after="0" w:line="268" w:lineRule="auto"/>
        <w:tabs>
          <w:tab w:leader="none" w:pos="11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will qualify as a “real estate investment trust” under the Code, and to use its best efforts to continue to meet the requirements to qualify as a “real estate investment trust”; and</w:t>
      </w:r>
    </w:p>
    <w:p>
      <w:pPr>
        <w:spacing w:after="0" w:line="50" w:lineRule="exact"/>
        <w:rPr>
          <w:rFonts w:ascii="Arial" w:cs="Arial" w:eastAsia="Arial" w:hAnsi="Arial"/>
          <w:sz w:val="18"/>
          <w:szCs w:val="18"/>
          <w:color w:val="auto"/>
        </w:rPr>
      </w:pPr>
    </w:p>
    <w:p>
      <w:pPr>
        <w:ind w:left="420" w:right="20" w:firstLine="443"/>
        <w:spacing w:after="0" w:line="289" w:lineRule="auto"/>
        <w:tabs>
          <w:tab w:leader="none" w:pos="10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Shares are acting solely in the capacity of an arm’s length contractual counterparty to the Company with respect to the offering of such Designated Shares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18" w:lineRule="exact"/>
        <w:rPr>
          <w:sz w:val="20"/>
          <w:szCs w:val="20"/>
          <w:color w:val="auto"/>
        </w:rPr>
      </w:pPr>
    </w:p>
    <w:p>
      <w:pPr>
        <w:ind w:left="-40" w:right="180" w:firstLine="464"/>
        <w:spacing w:after="0" w:line="259" w:lineRule="auto"/>
        <w:tabs>
          <w:tab w:leader="none" w:pos="5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80" w:top="280" w:right="259" w:bottom="1440" w:gutter="0" w:footer="0" w:header="0"/>
        </w:sectPr>
      </w:pPr>
    </w:p>
    <w:bookmarkStart w:id="17" w:name="page18"/>
    <w:bookmarkEnd w:id="1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Blue Sky and legal investment surveys and any other documents in connection with the offering, purchase, sale and delivery of the Shares; (iii) all expenses in connection with the qualification of the Shares for offering and sale under state securities laws as provided in Section 5(d) hereof, including the fees and disbursements of counsel for the Underwriters in connection with such qualification and in connection with the Blue Sky and legal investment surveys; (iv) any filing fees incident to any required review by the National Association of Securities Dealers, Inc. of the terms of the sale of the Shares; (v) the cost of preparing certificates for the Designated Shares; (vi) the costs and charges of any transfer agent or registrar or dividend disbursing agent in connection with the Designated Shares; (vii) all other costs and expenses incident to the performance of its obligations hereunder which are not otherwise specifically provided for in this Section; and (viii) the costs and expenses (including without limitation any damages or other amounts payable in connection with legal or contractual liability) associated with the reforming of any contracts for sale of the Designated Shares made by the Underwriters caused by a breach of the representation contained in the sixth paragraph of Section 2(c) hereof. It is understood, however, that, except as provided in this Section, Section 8 and Section 11 hereof, the Underwriters will pay all of their own costs and expenses, including the fees of their counsel, transfer taxes on resale of any of the Shares by them, and any advertising expenses connected with any offers they may make.</w:t>
      </w:r>
    </w:p>
    <w:p>
      <w:pPr>
        <w:spacing w:after="0" w:line="121" w:lineRule="exact"/>
        <w:rPr>
          <w:sz w:val="20"/>
          <w:szCs w:val="20"/>
          <w:color w:val="auto"/>
        </w:rPr>
      </w:pPr>
    </w:p>
    <w:p>
      <w:pPr>
        <w:ind w:right="220" w:firstLine="464"/>
        <w:spacing w:after="0" w:line="294"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obligations of the Underwriters of any Designated Shares under the Pricing Agreement relating to such Designated Shares shall be subject, in the discretion of the Representatives, to the condition that all representations and warranties and other statements of the Company in, or incorporated by reference from this Underwriting Agreement into, the Pricing Agreement relating to such Designated Shares are, at and as of the Time of Delivery for such Designated Shares (and, if applicable, at and as of the Option Closing Time for any such Designated Shares) true and correct, to the condition that the Company shall have performed all of its obligations hereunder theretofore to be performed, and to the following additional conditions:</w:t>
      </w:r>
    </w:p>
    <w:p>
      <w:pPr>
        <w:spacing w:after="0" w:line="34" w:lineRule="exact"/>
        <w:rPr>
          <w:rFonts w:ascii="Arial" w:cs="Arial" w:eastAsia="Arial" w:hAnsi="Arial"/>
          <w:sz w:val="16"/>
          <w:szCs w:val="16"/>
          <w:color w:val="auto"/>
        </w:rPr>
      </w:pPr>
    </w:p>
    <w:p>
      <w:pPr>
        <w:ind w:left="460" w:right="80" w:firstLine="443"/>
        <w:spacing w:after="0" w:line="301" w:lineRule="auto"/>
        <w:tabs>
          <w:tab w:leader="none" w:pos="1137" w:val="left"/>
        </w:tabs>
        <w:numPr>
          <w:ilvl w:val="1"/>
          <w:numId w:val="19"/>
        </w:numPr>
        <w:rPr>
          <w:rFonts w:ascii="Arial" w:cs="Arial" w:eastAsia="Arial" w:hAnsi="Arial"/>
          <w:sz w:val="15"/>
          <w:szCs w:val="15"/>
          <w:color w:val="auto"/>
        </w:rPr>
      </w:pPr>
      <w:r>
        <w:rPr>
          <w:rFonts w:ascii="Arial" w:cs="Arial" w:eastAsia="Arial" w:hAnsi="Arial"/>
          <w:sz w:val="15"/>
          <w:szCs w:val="15"/>
          <w:color w:val="auto"/>
        </w:rPr>
        <w:t>The Prospectus containing the 430B Information as amended or supplemented in relation to the applicable Designated Shares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Shares within the time period required by Rule 456(b)(1)(i) under the Act without regard to the proviso therein and otherwise in accordance with Rules 456(b) and 457(r) under the Act and, if applicable, shall have updated the “Calculation of Registration Fee” table in accordance with</w:t>
      </w:r>
    </w:p>
    <w:p>
      <w:pPr>
        <w:spacing w:after="0" w:line="4"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6"/>
          <w:szCs w:val="16"/>
          <w:color w:val="auto"/>
        </w:rPr>
        <w:t>Rule 456(b)(1)(ii) either in a post-effective amendment to the Registration Statement or on the cover page of a prospectus filed pursuant to Rule 424(b).</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8" w:name="page19"/>
    <w:bookmarkEnd w:id="18"/>
    <w:p>
      <w:pPr>
        <w:ind w:right="40" w:firstLine="443"/>
        <w:spacing w:after="0" w:line="254"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Sidley Austin </w:t>
      </w:r>
      <w:r>
        <w:rPr>
          <w:rFonts w:ascii="Arial" w:cs="Arial" w:eastAsia="Arial" w:hAnsi="Arial"/>
          <w:sz w:val="14"/>
          <w:szCs w:val="14"/>
          <w:color w:val="auto"/>
        </w:rPr>
        <w:t>LLP</w:t>
      </w:r>
      <w:r>
        <w:rPr>
          <w:rFonts w:ascii="Arial" w:cs="Arial" w:eastAsia="Arial" w:hAnsi="Arial"/>
          <w:sz w:val="18"/>
          <w:szCs w:val="18"/>
          <w:color w:val="auto"/>
        </w:rPr>
        <w:t xml:space="preserve">, counsel for the Underwriters, shall have furnished to the Representatives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4"/>
          <w:szCs w:val="14"/>
          <w:color w:val="auto"/>
        </w:rPr>
        <w:t>LLP</w:t>
      </w:r>
      <w:r>
        <w:rPr>
          <w:rFonts w:ascii="Arial" w:cs="Arial" w:eastAsia="Arial" w:hAnsi="Arial"/>
          <w:sz w:val="18"/>
          <w:szCs w:val="18"/>
          <w:color w:val="auto"/>
        </w:rPr>
        <w:t xml:space="preserve"> may rely, as to all matters arising under or governed by the laws of the State of Maryland, on the opinion of Pillsbury Winthrop Shaw Pittman LLP);</w:t>
      </w:r>
    </w:p>
    <w:p>
      <w:pPr>
        <w:spacing w:after="0" w:line="63" w:lineRule="exact"/>
        <w:rPr>
          <w:rFonts w:ascii="Arial" w:cs="Arial" w:eastAsia="Arial" w:hAnsi="Arial"/>
          <w:sz w:val="18"/>
          <w:szCs w:val="18"/>
          <w:color w:val="auto"/>
        </w:rPr>
      </w:pPr>
    </w:p>
    <w:p>
      <w:pPr>
        <w:ind w:firstLine="443"/>
        <w:spacing w:after="0" w:line="332" w:lineRule="auto"/>
        <w:tabs>
          <w:tab w:leader="none" w:pos="677" w:val="left"/>
        </w:tabs>
        <w:numPr>
          <w:ilvl w:val="1"/>
          <w:numId w:val="20"/>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Shares, in form and substance satisfactory to the Representatives, to the effect set forth in Exhibit D hereto;</w:t>
      </w:r>
    </w:p>
    <w:p>
      <w:pPr>
        <w:spacing w:after="0" w:line="4" w:lineRule="exact"/>
        <w:rPr>
          <w:rFonts w:ascii="Arial" w:cs="Arial" w:eastAsia="Arial" w:hAnsi="Arial"/>
          <w:sz w:val="16"/>
          <w:szCs w:val="16"/>
          <w:color w:val="auto"/>
        </w:rPr>
      </w:pPr>
    </w:p>
    <w:p>
      <w:pPr>
        <w:ind w:right="200" w:firstLine="443"/>
        <w:spacing w:after="0" w:line="302" w:lineRule="auto"/>
        <w:tabs>
          <w:tab w:leader="none" w:pos="687" w:val="left"/>
        </w:tabs>
        <w:numPr>
          <w:ilvl w:val="1"/>
          <w:numId w:val="20"/>
        </w:numPr>
        <w:rPr>
          <w:rFonts w:ascii="Arial" w:cs="Arial" w:eastAsia="Arial" w:hAnsi="Arial"/>
          <w:sz w:val="15"/>
          <w:szCs w:val="15"/>
          <w:color w:val="auto"/>
        </w:rPr>
      </w:pPr>
      <w:r>
        <w:rPr>
          <w:rFonts w:ascii="Arial" w:cs="Arial" w:eastAsia="Arial" w:hAnsi="Arial"/>
          <w:sz w:val="15"/>
          <w:szCs w:val="15"/>
          <w:color w:val="auto"/>
        </w:rPr>
        <w:t>In addition to the above opinion, the Representatives shall have received the opinion or opinions of Pillsbury Winthrop Shaw Pittman LLP, Tax Counsel to the Company, dated the Time of Delivery for such Designated Shares, in form and substance satisfactory to the Representatives, to the effect that, subject to customary representations, qualifications and exclusions, (1) the Company qualified as a real estate investment trust (“REIT”) under the Code for its taxable years ending through and including December 31, 2006,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 “Federal Income Tax Consequences,” and</w:t>
      </w:r>
    </w:p>
    <w:p>
      <w:pPr>
        <w:ind w:firstLine="4"/>
        <w:spacing w:after="0" w:line="290"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Company’s Annual Report on Form 10-K for the year ended December 31, 2006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to the extent that it discusses matters of law or legal conclusions or purports to describe certain provisions of the federal tax laws, is a correct summary of the matters discussed therein, and the opinions of such counsel appearing in the Prospectus under the caption “Federal Income Tax Consequences” are hereby confirmed;</w:t>
      </w:r>
    </w:p>
    <w:p>
      <w:pPr>
        <w:spacing w:after="0" w:line="37" w:lineRule="exact"/>
        <w:rPr>
          <w:rFonts w:ascii="Arial" w:cs="Arial" w:eastAsia="Arial" w:hAnsi="Arial"/>
          <w:sz w:val="16"/>
          <w:szCs w:val="16"/>
          <w:color w:val="auto"/>
        </w:rPr>
      </w:pPr>
    </w:p>
    <w:p>
      <w:pPr>
        <w:ind w:right="180" w:firstLine="443"/>
        <w:spacing w:after="0" w:line="259" w:lineRule="auto"/>
        <w:tabs>
          <w:tab w:leader="none" w:pos="677" w:val="left"/>
        </w:tabs>
        <w:numPr>
          <w:ilvl w:val="1"/>
          <w:numId w:val="21"/>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Shares and at the Time of Delivery for such Designated Shares, Grant Thornton LLP, the independent accountants of the Company, shall have furnished to the Underwriters a “comfort letter” in form and substance satisfactory to the Representatives;</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700" w:top="280" w:right="239" w:bottom="1440" w:gutter="0" w:footer="0" w:header="0"/>
        </w:sectPr>
      </w:pPr>
    </w:p>
    <w:bookmarkStart w:id="19" w:name="page20"/>
    <w:bookmarkEnd w:id="19"/>
    <w:p>
      <w:pPr>
        <w:ind w:firstLine="443"/>
        <w:spacing w:after="0" w:line="285" w:lineRule="auto"/>
        <w:tabs>
          <w:tab w:leader="none" w:pos="657"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Exhibit E hereto which may require or permit (in lieu of a payment in cash) the issuance of Common Shares of the Company) or increase in long-term debt of the Company or any of the Entities or any change, or any development involving a prospective change, in or affecting the general affairs, management, financial position, shareholders’ equity or results of operations of the Company and the Entities, otherwise than as set forth or contemplated in the Prospectus and the General Disclosure Package, the effect of which, in any such case described in clause (i) or (ii), is in the judgment of the Representatives so material and adverse as to make it impracticable or inadvisable to proceed with the public offering or the delivery of the Designated Shares on the terms and in the manner contemplated in the Prospectus as amended or supplemented;</w:t>
      </w:r>
    </w:p>
    <w:p>
      <w:pPr>
        <w:spacing w:after="0" w:line="45" w:lineRule="exact"/>
        <w:rPr>
          <w:rFonts w:ascii="Arial" w:cs="Arial" w:eastAsia="Arial" w:hAnsi="Arial"/>
          <w:sz w:val="16"/>
          <w:szCs w:val="16"/>
          <w:color w:val="auto"/>
        </w:rPr>
      </w:pPr>
    </w:p>
    <w:p>
      <w:pPr>
        <w:jc w:val="both"/>
        <w:ind w:firstLine="443"/>
        <w:spacing w:after="0" w:line="298" w:lineRule="auto"/>
        <w:tabs>
          <w:tab w:leader="none" w:pos="6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31" w:lineRule="exact"/>
        <w:rPr>
          <w:rFonts w:ascii="Arial" w:cs="Arial" w:eastAsia="Arial" w:hAnsi="Arial"/>
          <w:sz w:val="16"/>
          <w:szCs w:val="16"/>
          <w:color w:val="auto"/>
        </w:rPr>
      </w:pPr>
    </w:p>
    <w:p>
      <w:pPr>
        <w:ind w:right="80" w:firstLine="443"/>
        <w:spacing w:after="0" w:line="290" w:lineRule="auto"/>
        <w:tabs>
          <w:tab w:leader="none" w:pos="687"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Shares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or the delivery of the Designated Shares on the terms and in the manner contemplated in the Prospectus as amended or supplemented;</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80" w:right="279" w:bottom="1440" w:gutter="0" w:footer="0" w:header="0"/>
        </w:sectPr>
      </w:pPr>
    </w:p>
    <w:bookmarkStart w:id="20" w:name="page21"/>
    <w:bookmarkEnd w:id="20"/>
    <w:p>
      <w:pPr>
        <w:ind w:left="420" w:right="560" w:firstLine="443"/>
        <w:spacing w:after="0" w:line="268" w:lineRule="auto"/>
        <w:tabs>
          <w:tab w:leader="none" w:pos="1068"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have complied with the provisions of Section 5(f) hereof with respect to the furnishing of Prospectuses as amended or supplemented;</w:t>
      </w:r>
    </w:p>
    <w:p>
      <w:pPr>
        <w:spacing w:after="0" w:line="50" w:lineRule="exact"/>
        <w:rPr>
          <w:rFonts w:ascii="Arial" w:cs="Arial" w:eastAsia="Arial" w:hAnsi="Arial"/>
          <w:sz w:val="18"/>
          <w:szCs w:val="18"/>
          <w:color w:val="auto"/>
        </w:rPr>
      </w:pPr>
    </w:p>
    <w:p>
      <w:pPr>
        <w:ind w:left="420" w:firstLine="443"/>
        <w:spacing w:after="0" w:line="255" w:lineRule="auto"/>
        <w:tabs>
          <w:tab w:leader="none" w:pos="10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Shares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(f) of this Section and as to such other matters as the Representatives may reasonably request;</w:t>
      </w:r>
    </w:p>
    <w:p>
      <w:pPr>
        <w:spacing w:after="0" w:line="61" w:lineRule="exact"/>
        <w:rPr>
          <w:rFonts w:ascii="Arial" w:cs="Arial" w:eastAsia="Arial" w:hAnsi="Arial"/>
          <w:sz w:val="18"/>
          <w:szCs w:val="18"/>
          <w:color w:val="auto"/>
        </w:rPr>
      </w:pPr>
    </w:p>
    <w:p>
      <w:pPr>
        <w:ind w:left="420" w:right="360" w:firstLine="443"/>
        <w:spacing w:after="0" w:line="268" w:lineRule="auto"/>
        <w:tabs>
          <w:tab w:leader="none" w:pos="1107"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or prior to the date of the Pricing Agreement, the Representatives shall have received an agreement substantially in the form of Exhibit F hereto signed by each of the persons listed in Schedule III to such Pricing Agreement;</w:t>
      </w:r>
    </w:p>
    <w:p>
      <w:pPr>
        <w:spacing w:after="0" w:line="50" w:lineRule="exact"/>
        <w:rPr>
          <w:rFonts w:ascii="Arial" w:cs="Arial" w:eastAsia="Arial" w:hAnsi="Arial"/>
          <w:sz w:val="18"/>
          <w:szCs w:val="18"/>
          <w:color w:val="auto"/>
        </w:rPr>
      </w:pPr>
    </w:p>
    <w:p>
      <w:pPr>
        <w:ind w:left="1080" w:hanging="217"/>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Designated Shares shall have been approved for listing on the NYSE, subject to official notice of issuance; and</w:t>
      </w:r>
    </w:p>
    <w:p>
      <w:pPr>
        <w:spacing w:after="0" w:line="90" w:lineRule="exact"/>
        <w:rPr>
          <w:rFonts w:ascii="Arial" w:cs="Arial" w:eastAsia="Arial" w:hAnsi="Arial"/>
          <w:sz w:val="18"/>
          <w:szCs w:val="18"/>
          <w:color w:val="auto"/>
        </w:rPr>
      </w:pPr>
    </w:p>
    <w:p>
      <w:pPr>
        <w:ind w:left="420" w:right="20" w:firstLine="443"/>
        <w:spacing w:after="0" w:line="288" w:lineRule="auto"/>
        <w:tabs>
          <w:tab w:leader="none" w:pos="1156"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In the event that the Pricing Agreement with respect to the Designated Shares grants the Underwriters an option to purchase Option Shares from the Company and the Underwriters exercise such option to purchase all or any of the Option Shares, the obligations of the Underwriters to purchase such Option Shares at the Option Closing Time shall be subject to the further conditions that the Representatives shall have received legal opinions of Sidley Austin </w:t>
      </w:r>
      <w:r>
        <w:rPr>
          <w:rFonts w:ascii="Arial" w:cs="Arial" w:eastAsia="Arial" w:hAnsi="Arial"/>
          <w:sz w:val="13"/>
          <w:szCs w:val="13"/>
          <w:color w:val="auto"/>
        </w:rPr>
        <w:t>LLP</w:t>
      </w:r>
      <w:r>
        <w:rPr>
          <w:rFonts w:ascii="Arial" w:cs="Arial" w:eastAsia="Arial" w:hAnsi="Arial"/>
          <w:sz w:val="16"/>
          <w:szCs w:val="16"/>
          <w:color w:val="auto"/>
        </w:rPr>
        <w:t xml:space="preserve"> and Pillsbury Winthrop Shaw Pittman LLP, dated such Option Closing Time, relating to the Option Shares to be purchased and otherwise to the same effect as the respective opinions referred to in Sections 7(b), (c) and (d), a certificate or certificates of officers of the Company, dated such Option Closing Time, to the same effect as the certificate or certificates required pursuant to Section 7(j), and a “comfort letter,” dated such Option Closing Time, from Grant Thornton LLP in the same form and substance as the letter furnished to the Underwriters at the Time of Delivery except that the “specified date” in such letter shall be a date not more than five days prior to such Option Closing Time, and that all of the foregoing are satisfactory to the Representatives.</w:t>
      </w:r>
    </w:p>
    <w:p>
      <w:pPr>
        <w:spacing w:after="0" w:line="119" w:lineRule="exact"/>
        <w:rPr>
          <w:rFonts w:ascii="Arial" w:cs="Arial" w:eastAsia="Arial" w:hAnsi="Arial"/>
          <w:sz w:val="16"/>
          <w:szCs w:val="16"/>
          <w:color w:val="auto"/>
        </w:rPr>
      </w:pPr>
    </w:p>
    <w:p>
      <w:pPr>
        <w:ind w:left="-40" w:right="160" w:firstLine="464"/>
        <w:spacing w:after="0" w:line="291" w:lineRule="auto"/>
        <w:tabs>
          <w:tab w:leader="none" w:pos="592"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Shares, or any amendment or supplement thereto, or arise out of or are based upon the omission or alleged omission to state therein a material fact required to be stated therein or necessary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80" w:top="280" w:right="279" w:bottom="1440" w:gutter="0" w:footer="0" w:header="0"/>
        </w:sectPr>
      </w:pPr>
    </w:p>
    <w:bookmarkStart w:id="21" w:name="page22"/>
    <w:bookmarkEnd w:id="2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w:t>
      </w:r>
    </w:p>
    <w:p>
      <w:pPr>
        <w:spacing w:after="0" w:line="118" w:lineRule="exact"/>
        <w:rPr>
          <w:sz w:val="20"/>
          <w:szCs w:val="20"/>
          <w:color w:val="auto"/>
        </w:rPr>
      </w:pPr>
    </w:p>
    <w:p>
      <w:pPr>
        <w:ind w:right="20" w:firstLine="464"/>
        <w:spacing w:after="0" w:line="286" w:lineRule="auto"/>
        <w:tabs>
          <w:tab w:leader="none" w:pos="70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Shares,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7" w:lineRule="exact"/>
        <w:rPr>
          <w:rFonts w:ascii="Arial" w:cs="Arial" w:eastAsia="Arial" w:hAnsi="Arial"/>
          <w:sz w:val="16"/>
          <w:szCs w:val="16"/>
          <w:color w:val="auto"/>
        </w:rPr>
      </w:pPr>
    </w:p>
    <w:p>
      <w:pPr>
        <w:ind w:right="120" w:firstLine="464"/>
        <w:spacing w:after="0" w:line="287"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 w:name="page23"/>
    <w:bookmarkEnd w:id="2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16" w:lineRule="exact"/>
        <w:rPr>
          <w:sz w:val="20"/>
          <w:szCs w:val="20"/>
          <w:color w:val="auto"/>
        </w:rPr>
      </w:pPr>
    </w:p>
    <w:p>
      <w:pPr>
        <w:ind w:left="720" w:hanging="256"/>
        <w:spacing w:after="0"/>
        <w:tabs>
          <w:tab w:leader="none" w:pos="7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rFonts w:ascii="Arial" w:cs="Arial" w:eastAsia="Arial" w:hAnsi="Arial"/>
          <w:sz w:val="16"/>
          <w:szCs w:val="16"/>
          <w:color w:val="auto"/>
        </w:rPr>
      </w:pPr>
    </w:p>
    <w:p>
      <w:pPr>
        <w:ind w:right="40" w:firstLine="8"/>
        <w:spacing w:after="0" w:line="283" w:lineRule="auto"/>
        <w:tabs>
          <w:tab w:leader="none" w:pos="2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Shares on the other from the offering of the Designated Shares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Shares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guilty of such fraudulent misrepresentation. The obligations of the Underwriters of Designated Shares in this subsection (d) to contribute are several in proportion to their respective underwriting obligations with respect to such Shares and not joint.</w:t>
      </w:r>
    </w:p>
    <w:p>
      <w:pPr>
        <w:spacing w:after="0" w:line="132" w:lineRule="exact"/>
        <w:rPr>
          <w:sz w:val="20"/>
          <w:szCs w:val="20"/>
          <w:color w:val="auto"/>
        </w:rPr>
      </w:pPr>
    </w:p>
    <w:p>
      <w:pPr>
        <w:ind w:firstLine="464"/>
        <w:spacing w:after="0" w:line="255"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43" w:lineRule="exact"/>
        <w:rPr>
          <w:sz w:val="20"/>
          <w:szCs w:val="20"/>
          <w:color w:val="auto"/>
        </w:rPr>
      </w:pPr>
    </w:p>
    <w:p>
      <w:pPr>
        <w:ind w:right="60" w:firstLine="464"/>
        <w:spacing w:after="0" w:line="306" w:lineRule="auto"/>
        <w:tabs>
          <w:tab w:leader="none" w:pos="632"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If any Underwriter shall default in its obligation to purchase the Designated Shares which it has agreed to purchase at the Time of Delivery or, if applicable, at the Option Closing Time under the Pricing Agreement relating to such Designated Shares, the Representatives may in their discretion arrange for themselves or another party or other parties to purchase such Designated Shares on the terms contained herein. If within thirty-six hours after such default by any Underwriter the Representatives do not arrange for the purchase of such Designated Shares, then the Company shall be entitled to a further period of thirty-six hours within which to procure another party or other parties satisfactory to the Representatives to purchase such Designated Shares on such terms. In the event that, within the respective prescribed period, the Representatives notify the Company that they have so arranged for the purchase of such Designated Shares, or the Company notifies the Representatives that it has so arranged for the purchase of such Designated Shares, the Representatives or the Company shall have the right to postpone the Time of Delivery or the Option Closing Time, as the case may be,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with like effect as if such person had originally been a party to the Pricing Agreement with respect to such Designated Shares.</w:t>
      </w:r>
    </w:p>
    <w:p>
      <w:pPr>
        <w:spacing w:after="0" w:line="116" w:lineRule="exact"/>
        <w:rPr>
          <w:sz w:val="20"/>
          <w:szCs w:val="20"/>
          <w:color w:val="auto"/>
        </w:rPr>
      </w:pPr>
    </w:p>
    <w:p>
      <w:pPr>
        <w:ind w:firstLine="464"/>
        <w:spacing w:after="0" w:line="289"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Shares of a defaulting Underwriter or Underwriters by the Representatives and the Company as provided in subsection (a) above, the aggregate number of such Designated Shares which remains unpurchased does not exceed one-tenth of the aggregate number of Designated Shares to be purchased at the Time of Delivery or the Option Closing Time, as the case may be, then the Company shall have the right to require each non-defaulting Underwriter to purchase the number of Designated Shares which such Underwriter agreed to purchase at the Time of Delivery or such Option Closing Time, as the case may be, under the Pricing Agreement relating to such Designated Shares and, in addition, to require each non-defaulting Underwriter to purchase its pro rata share (based on the number of Designated Shares which such Underwriter agreed to purchase under such Pricing Agreement) of the Designated Shares of such defaulting Underwriter or Underwriters for which such arrangements have not been made; but nothing herein shall relieve a defaulting Underwriter from liability for its default.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4" w:name="page25"/>
    <w:bookmarkEnd w:id="24"/>
    <w:p>
      <w:pPr>
        <w:ind w:left="-20" w:firstLine="464"/>
        <w:spacing w:after="0" w:line="287" w:lineRule="auto"/>
        <w:tabs>
          <w:tab w:leader="none" w:pos="675"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after giving effect to any arrangements for the purchase of the Designated Shares of a defaulting Underwriter or Underwriters by the Representatives and the Company as provided in subsection (a) above, the aggregate number of Designated Shares which remains unpurchased exceeds one-tenth of the aggregate number of the Designated Shares to be purchased at the Time of Delivery or the Option Closing Time, as the case may be, as referred to in subsection (b) above, or if the Company shall not exercise the right described in subsection (b) above to require non-defaulting Underwriters to purchase Designated Shares of a defaulting Underwriter or Underwriters, then, in the case of a failure to purchase Designated Shares at the Time of Delivery, the Pricing Agreement relating to such Designated Shares shall thereupon terminate, without liability on the part of any non-defaulting Underwriter or the Company, except for the expenses to be borne by the Company and the Underwriters as provided in Section 6 hereof and the indemnity and contribution agreements in Section 8 hereof or, in the case of a failure to purchase Designated Shares at an Option Closing Time which is after the Time of Delivery, the several obligations of the Underwriters to purchase and the obligation of the Company to sell such Designated Shares at such Option Closing Time shall terminate without liability on the part of any non-defaulting Underwriter or the Company, but nothing herein shall relieve a defaulting Underwriter from liability for its default.</w:t>
      </w:r>
    </w:p>
    <w:p>
      <w:pPr>
        <w:spacing w:after="0" w:line="123" w:lineRule="exact"/>
        <w:rPr>
          <w:sz w:val="20"/>
          <w:szCs w:val="20"/>
          <w:color w:val="auto"/>
        </w:rPr>
      </w:pPr>
    </w:p>
    <w:p>
      <w:pPr>
        <w:ind w:left="-20" w:right="80" w:firstLine="464"/>
        <w:spacing w:after="0" w:line="298"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Shares.</w:t>
      </w:r>
    </w:p>
    <w:p>
      <w:pPr>
        <w:spacing w:after="0" w:line="112" w:lineRule="exact"/>
        <w:rPr>
          <w:rFonts w:ascii="Arial" w:cs="Arial" w:eastAsia="Arial" w:hAnsi="Arial"/>
          <w:sz w:val="16"/>
          <w:szCs w:val="16"/>
          <w:color w:val="auto"/>
        </w:rPr>
      </w:pPr>
    </w:p>
    <w:p>
      <w:pPr>
        <w:ind w:left="-20" w:right="60" w:firstLine="464"/>
        <w:spacing w:after="0" w:line="290" w:lineRule="auto"/>
        <w:tabs>
          <w:tab w:leader="none" w:pos="6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be under any liability to any Underwriter with respect to the Designated Shares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Shares, but the Company shall then be under no further liability to any Underwriter with respect to such Designated Shares except as provided in Section 6 and Section 8 hereof.</w:t>
      </w:r>
    </w:p>
    <w:p>
      <w:pPr>
        <w:spacing w:after="0" w:line="118" w:lineRule="exact"/>
        <w:rPr>
          <w:rFonts w:ascii="Arial" w:cs="Arial" w:eastAsia="Arial" w:hAnsi="Arial"/>
          <w:sz w:val="16"/>
          <w:szCs w:val="16"/>
          <w:color w:val="auto"/>
        </w:rPr>
      </w:pPr>
    </w:p>
    <w:p>
      <w:pPr>
        <w:ind w:left="-20" w:firstLine="464"/>
        <w:spacing w:after="0" w:line="306"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80" w:right="259" w:bottom="1440" w:gutter="0" w:footer="0" w:header="0"/>
        </w:sectPr>
      </w:pPr>
    </w:p>
    <w:bookmarkStart w:id="25" w:name="page26"/>
    <w:bookmarkEnd w:id="25"/>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18" w:lineRule="exact"/>
        <w:rPr>
          <w:sz w:val="20"/>
          <w:szCs w:val="20"/>
          <w:color w:val="auto"/>
        </w:rPr>
      </w:pPr>
    </w:p>
    <w:p>
      <w:pPr>
        <w:ind w:right="80" w:firstLine="464"/>
        <w:spacing w:after="0" w:line="294"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Shares from any Underwriter shall be deemed a successor or assign by reason merely of such purchase.</w:t>
      </w:r>
    </w:p>
    <w:p>
      <w:pPr>
        <w:spacing w:after="0" w:line="115" w:lineRule="exact"/>
        <w:rPr>
          <w:rFonts w:ascii="Arial" w:cs="Arial" w:eastAsia="Arial" w:hAnsi="Arial"/>
          <w:sz w:val="16"/>
          <w:szCs w:val="16"/>
          <w:color w:val="auto"/>
        </w:rPr>
      </w:pPr>
    </w:p>
    <w:p>
      <w:pPr>
        <w:ind w:right="740" w:firstLine="464"/>
        <w:spacing w:after="0" w:line="268"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right="360" w:firstLine="464"/>
        <w:spacing w:after="0" w:line="332"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Underwriting Agreement to us.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jc w:val="right"/>
        <w:spacing w:after="0"/>
        <w:tabs>
          <w:tab w:leader="none" w:pos="40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President-General Counsel and 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INCORPORATED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Incorporated</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C.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C. Porter</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7" w:name="page28"/>
    <w:bookmarkEnd w:id="27"/>
    <w:p>
      <w:pPr>
        <w:ind w:left="10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20,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Merrill Lynch, Pierce, Fenner &amp; Smith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 World Financial Center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10080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December 20, 2007 (the “Underwriting Agreement”), between the Company on the one hand and Merrill Lynch, Pierce, Fenner &amp; Smith Incorporated (“Merrill Lynch”) and Wachovia Capital Markets, LLC (together with Merrill Lynch, the “Underwriters”), on the other hand, to issue and sell 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24"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A supplement to the Prospectus relating to the Designated Shares, in the form heretofore delivered to you, is now proposed to be filed with the Commission.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28" w:name="page29"/>
    <w:bookmarkEnd w:id="2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at the Time of Delivery and place and at the purchase price to the Underwriters set forth in Schedule II hereto, the number of Shares (as defined in Schedule II hereto) set forth opposite the name of such Underwriter in Schedule I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agrees to reimburse the Underwriters for their reasonable out-of-pocket expenses incurred in connection with the offering.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00"/>
          </w:cols>
          <w:pgMar w:left="240" w:top="280" w:right="359" w:bottom="1440" w:gutter="0" w:footer="0" w:header="0"/>
        </w:sectPr>
      </w:pPr>
    </w:p>
    <w:bookmarkStart w:id="29" w:name="page30"/>
    <w:bookmarkEnd w:id="2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Incorporated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80"/>
          </w:cols>
          <w:pgMar w:left="240" w:top="280" w:right="5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480" w:type="dxa"/>
            <w:vAlign w:val="bottom"/>
            <w:gridSpan w:val="4"/>
          </w:tcPr>
          <w:p>
            <w:pPr>
              <w:jc w:val="center"/>
              <w:ind w:right="3980"/>
              <w:spacing w:after="0"/>
              <w:rPr>
                <w:sz w:val="20"/>
                <w:szCs w:val="20"/>
                <w:color w:val="auto"/>
              </w:rPr>
            </w:pPr>
            <w:r>
              <w:rPr>
                <w:rFonts w:ascii="Arial" w:cs="Arial" w:eastAsia="Arial" w:hAnsi="Arial"/>
                <w:sz w:val="18"/>
                <w:szCs w:val="18"/>
                <w:color w:val="auto"/>
                <w:w w:val="94"/>
              </w:rPr>
              <w:t>SCHEDULE I</w:t>
            </w:r>
          </w:p>
        </w:tc>
      </w:tr>
      <w:tr>
        <w:trPr>
          <w:trHeight w:val="34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Initial Shares</w:t>
            </w:r>
          </w:p>
        </w:tc>
      </w:tr>
      <w:tr>
        <w:trPr>
          <w:trHeight w:val="168"/>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to be Purchased</w:t>
            </w:r>
          </w:p>
        </w:tc>
      </w:tr>
      <w:tr>
        <w:trPr>
          <w:trHeight w:val="208"/>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60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39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Incorporated</w:t>
            </w:r>
          </w:p>
        </w:tc>
        <w:tc>
          <w:tcPr>
            <w:tcW w:w="7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Wachovia Capital Markets, LLC</w:t>
            </w:r>
          </w:p>
        </w:tc>
        <w:tc>
          <w:tcPr>
            <w:tcW w:w="6520" w:type="dxa"/>
            <w:vAlign w:val="bottom"/>
            <w:gridSpan w:val="2"/>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52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480" w:type="dxa"/>
            <w:vAlign w:val="bottom"/>
            <w:gridSpan w:val="4"/>
          </w:tcPr>
          <w:p>
            <w:pPr>
              <w:jc w:val="center"/>
              <w:ind w:right="3960"/>
              <w:spacing w:after="0"/>
              <w:rPr>
                <w:sz w:val="20"/>
                <w:szCs w:val="20"/>
                <w:color w:val="auto"/>
              </w:rPr>
            </w:pPr>
            <w:r>
              <w:rPr>
                <w:rFonts w:ascii="Arial" w:cs="Arial" w:eastAsia="Arial" w:hAnsi="Arial"/>
                <w:sz w:val="18"/>
                <w:szCs w:val="18"/>
                <w:color w:val="auto"/>
                <w:w w:val="94"/>
              </w:rPr>
              <w:t>I-1</w:t>
            </w:r>
          </w:p>
        </w:tc>
      </w:tr>
    </w:tbl>
    <w:p>
      <w:pPr>
        <w:jc w:val="center"/>
        <w:ind w:right="396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1" w:name="page32"/>
    <w:bookmarkEnd w:id="31"/>
    <w:p>
      <w:pPr>
        <w:jc w:val="center"/>
        <w:ind w:right="-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ectPr>
          <w:pgSz w:w="11900" w:h="16838" w:orient="portrait"/>
          <w:cols w:equalWidth="0" w:num="1">
            <w:col w:w="11380"/>
          </w:cols>
          <w:pgMar w:left="240" w:top="280" w:right="27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Title of Designated Shares: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of Beneficial Interest</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Number of Designated Shares:</w:t>
      </w:r>
    </w:p>
    <w:p>
      <w:pPr>
        <w:spacing w:after="0" w:line="20" w:lineRule="exact"/>
        <w:rPr>
          <w:sz w:val="20"/>
          <w:szCs w:val="20"/>
          <w:color w:val="auto"/>
        </w:rPr>
      </w:pPr>
      <w:r>
        <w:rPr>
          <w:sz w:val="20"/>
          <w:szCs w:val="20"/>
          <w:color w:val="auto"/>
        </w:rPr>
        <w:br w:type="column"/>
      </w:r>
    </w:p>
    <w:p>
      <w:pPr>
        <w:ind w:right="20"/>
        <w:spacing w:after="0" w:line="294" w:lineRule="auto"/>
        <w:rPr>
          <w:sz w:val="20"/>
          <w:szCs w:val="20"/>
          <w:color w:val="auto"/>
        </w:rPr>
      </w:pPr>
      <w:r>
        <w:rPr>
          <w:rFonts w:ascii="Arial" w:cs="Arial" w:eastAsia="Arial" w:hAnsi="Arial"/>
          <w:sz w:val="16"/>
          <w:szCs w:val="16"/>
          <w:color w:val="auto"/>
        </w:rPr>
        <w:t>2,000,000 shares. The Designated Shares consist of an aggregate of 2,000,000 Designated Shares (the “Shares”) that the several Underwriters have agreed to purchase and that the Company has agreed to sell, subject to the terms and conditions set forth in this Pricing Agreement and the Underwriting Agreement incorporated by reference herein.</w:t>
      </w:r>
    </w:p>
    <w:p>
      <w:pPr>
        <w:spacing w:after="0" w:line="62"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Initial Offering Price to Public Per Share for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$81.21 per share.</w:t>
      </w:r>
    </w:p>
    <w:p>
      <w:pPr>
        <w:spacing w:after="0" w:line="151"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Purchase Price per Share for Designated Shares to be Paid by the Underwriters: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$81.21 per share.</w:t>
      </w:r>
    </w:p>
    <w:p>
      <w:pPr>
        <w:spacing w:after="0" w:line="152" w:lineRule="exact"/>
        <w:rPr>
          <w:sz w:val="20"/>
          <w:szCs w:val="20"/>
          <w:color w:val="auto"/>
        </w:rPr>
      </w:pPr>
    </w:p>
    <w:p>
      <w:pPr>
        <w:sectPr>
          <w:pgSz w:w="11900" w:h="16838" w:orient="portrait"/>
          <w:cols w:equalWidth="0" w:num="2">
            <w:col w:w="5600" w:space="46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Applicable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4:30 p.m. (Eastern Time) on December 20, 2007 or such other time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agreed by the Company and the Underwriters.</w:t>
      </w:r>
    </w:p>
    <w:p>
      <w:pPr>
        <w:spacing w:after="0" w:line="111"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Preliminary Prospectus Supplement: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2"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Specified funds for payment of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Wire transfer of immediately available funds.</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Liquidation Preference Per Share for Designated Shares,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Dividend Payment Dates,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may be specified from time to time by the Company’s Board of Trustees</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provisions,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Sinking fund requirements,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Names of Underwriters: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Merrill Lynch, Pierce, Fenner &amp; Smith</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165"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380"/>
          </w:cols>
          <w:pgMar w:left="240" w:top="280" w:right="2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color w:val="auto"/>
        </w:rPr>
        <w:t>Address for Notices, etc.: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Merrill Lynch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-219710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World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10080</w:t>
      </w:r>
    </w:p>
    <w:p>
      <w:pPr>
        <w:spacing w:after="0" w:line="124" w:lineRule="exact"/>
        <w:rPr>
          <w:sz w:val="20"/>
          <w:szCs w:val="20"/>
          <w:color w:val="auto"/>
        </w:rPr>
      </w:pPr>
    </w:p>
    <w:p>
      <w:pPr>
        <w:sectPr>
          <w:pgSz w:w="11900" w:h="16838" w:orient="portrait"/>
          <w:cols w:equalWidth="0" w:num="2">
            <w:col w:w="5340" w:space="720"/>
            <w:col w:w="4340"/>
          </w:cols>
          <w:pgMar w:left="240" w:top="280" w:right="1259" w:bottom="1440" w:gutter="0" w:footer="0" w:header="0"/>
        </w:sectPr>
      </w:pPr>
    </w:p>
    <w:p>
      <w:pPr>
        <w:spacing w:after="0"/>
        <w:rPr>
          <w:sz w:val="20"/>
          <w:szCs w:val="20"/>
          <w:color w:val="auto"/>
        </w:rPr>
      </w:pPr>
      <w:r>
        <w:rPr>
          <w:rFonts w:ascii="Arial" w:cs="Arial" w:eastAsia="Arial" w:hAnsi="Arial"/>
          <w:sz w:val="15"/>
          <w:szCs w:val="15"/>
          <w:color w:val="auto"/>
        </w:rPr>
        <w:t>Other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140" w:lineRule="exact"/>
        <w:rPr>
          <w:sz w:val="20"/>
          <w:szCs w:val="20"/>
          <w:color w:val="auto"/>
        </w:rPr>
      </w:pPr>
    </w:p>
    <w:p>
      <w:pPr>
        <w:sectPr>
          <w:pgSz w:w="11900" w:h="16838" w:orient="portrait"/>
          <w:cols w:equalWidth="0" w:num="2">
            <w:col w:w="5340" w:space="720"/>
            <w:col w:w="4340"/>
          </w:cols>
          <w:pgMar w:left="240" w:top="280" w:right="1259" w:bottom="1440" w:gutter="0" w:footer="0" w:header="0"/>
          <w:type w:val="continuous"/>
        </w:sectPr>
      </w:pPr>
    </w:p>
    <w:p>
      <w:pPr>
        <w:spacing w:after="0"/>
        <w:rPr>
          <w:sz w:val="20"/>
          <w:szCs w:val="20"/>
          <w:color w:val="auto"/>
        </w:rPr>
      </w:pPr>
      <w:r>
        <w:rPr>
          <w:rFonts w:ascii="Arial" w:cs="Arial" w:eastAsia="Arial" w:hAnsi="Arial"/>
          <w:sz w:val="16"/>
          <w:szCs w:val="16"/>
          <w:color w:val="auto"/>
        </w:rPr>
        <w:t>Time of Delivery: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(New York City time) on December 27, 2007</w:t>
      </w:r>
    </w:p>
    <w:p>
      <w:pPr>
        <w:spacing w:after="0" w:line="140" w:lineRule="exact"/>
        <w:rPr>
          <w:sz w:val="20"/>
          <w:szCs w:val="20"/>
          <w:color w:val="auto"/>
        </w:rPr>
      </w:pPr>
    </w:p>
    <w:p>
      <w:pPr>
        <w:sectPr>
          <w:pgSz w:w="11900" w:h="16838" w:orient="portrait"/>
          <w:cols w:equalWidth="0" w:num="2">
            <w:col w:w="5340" w:space="720"/>
            <w:col w:w="4340"/>
          </w:cols>
          <w:pgMar w:left="240" w:top="280" w:right="1259" w:bottom="1440" w:gutter="0" w:footer="0" w:header="0"/>
          <w:type w:val="continuous"/>
        </w:sectPr>
      </w:pPr>
    </w:p>
    <w:p>
      <w:pPr>
        <w:spacing w:after="0"/>
        <w:rPr>
          <w:sz w:val="20"/>
          <w:szCs w:val="20"/>
          <w:color w:val="auto"/>
        </w:rPr>
      </w:pPr>
      <w:r>
        <w:rPr>
          <w:rFonts w:ascii="Arial" w:cs="Arial" w:eastAsia="Arial" w:hAnsi="Arial"/>
          <w:sz w:val="16"/>
          <w:szCs w:val="16"/>
          <w:color w:val="auto"/>
        </w:rPr>
        <w:t>Closing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Sidley Austin </w:t>
      </w:r>
      <w:r>
        <w:rPr>
          <w:rFonts w:ascii="Arial" w:cs="Arial" w:eastAsia="Arial" w:hAnsi="Arial"/>
          <w:sz w:val="13"/>
          <w:szCs w:val="13"/>
          <w:color w:val="auto"/>
        </w:rPr>
        <w:t>LLP</w:t>
      </w:r>
      <w:r>
        <w:rPr>
          <w:rFonts w:ascii="Arial" w:cs="Arial" w:eastAsia="Arial" w:hAnsi="Arial"/>
          <w:sz w:val="16"/>
          <w:szCs w:val="16"/>
          <w:color w:val="auto"/>
        </w:rPr>
        <w:t xml:space="preserve"> 787 Seventh Avenue New York, NY 10019</w:t>
      </w:r>
    </w:p>
    <w:p>
      <w:pPr>
        <w:spacing w:after="0" w:line="140" w:lineRule="exact"/>
        <w:rPr>
          <w:sz w:val="20"/>
          <w:szCs w:val="20"/>
          <w:color w:val="auto"/>
        </w:rPr>
      </w:pPr>
    </w:p>
    <w:p>
      <w:pPr>
        <w:sectPr>
          <w:pgSz w:w="11900" w:h="16838" w:orient="portrait"/>
          <w:cols w:equalWidth="0" w:num="2">
            <w:col w:w="5340" w:space="720"/>
            <w:col w:w="4340"/>
          </w:cols>
          <w:pgMar w:left="240" w:top="280" w:right="1259" w:bottom="1440" w:gutter="0" w:footer="0" w:header="0"/>
          <w:type w:val="continuous"/>
        </w:sectPr>
      </w:pPr>
    </w:p>
    <w:p>
      <w:pPr>
        <w:spacing w:after="0"/>
        <w:rPr>
          <w:sz w:val="20"/>
          <w:szCs w:val="20"/>
          <w:color w:val="auto"/>
        </w:rPr>
      </w:pPr>
      <w:r>
        <w:rPr>
          <w:rFonts w:ascii="Arial" w:cs="Arial" w:eastAsia="Arial" w:hAnsi="Arial"/>
          <w:sz w:val="15"/>
          <w:szCs w:val="15"/>
          <w:color w:val="auto"/>
        </w:rPr>
        <w:t>Place of Delivery of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New York</w:t>
      </w:r>
    </w:p>
    <w:p>
      <w:pPr>
        <w:spacing w:after="0" w:line="181" w:lineRule="exact"/>
        <w:rPr>
          <w:sz w:val="20"/>
          <w:szCs w:val="20"/>
          <w:color w:val="auto"/>
        </w:rPr>
      </w:pPr>
    </w:p>
    <w:p>
      <w:pPr>
        <w:sectPr>
          <w:pgSz w:w="11900" w:h="16838" w:orient="portrait"/>
          <w:cols w:equalWidth="0" w:num="2">
            <w:col w:w="5340" w:space="720"/>
            <w:col w:w="4340"/>
          </w:cols>
          <w:pgMar w:left="240" w:top="280" w:right="1259" w:bottom="1440" w:gutter="0" w:footer="0" w:header="0"/>
          <w:type w:val="continuous"/>
        </w:sectPr>
      </w:pPr>
    </w:p>
    <w:p>
      <w:pPr>
        <w:ind w:left="558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400"/>
          </w:cols>
          <w:pgMar w:left="240" w:top="280" w:right="1259" w:bottom="1440" w:gutter="0" w:footer="0" w:header="0"/>
          <w:type w:val="continuous"/>
        </w:sectPr>
      </w:pPr>
    </w:p>
    <w:bookmarkStart w:id="33" w:name="page34"/>
    <w:bookmarkEnd w:id="33"/>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List of Persons Subject to Lock-Up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Larry E. Finger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Joseph M. Squeri</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280"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60"/>
          </w:cols>
          <w:pgMar w:left="700" w:top="27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PRICE-RELATED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Issuer: Federal Realty Investment Trust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Ticker: FRT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 $81.21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Last reported NYSE sale price: $81.25 on 12/20/2007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Shares offered: 2,000,000 shares, all primary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offering size: $162,420,000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Federal Realty Investment Trust: $162,420,000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Trade date: 12/20/2007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 12/27/2007</w:t>
      </w:r>
    </w:p>
    <w:p>
      <w:pPr>
        <w:spacing w:after="0" w:line="212" w:lineRule="exact"/>
        <w:rPr>
          <w:sz w:val="20"/>
          <w:szCs w:val="20"/>
          <w:color w:val="auto"/>
        </w:rPr>
      </w:pPr>
    </w:p>
    <w:p>
      <w:pPr>
        <w:jc w:val="right"/>
        <w:ind w:right="7700"/>
        <w:spacing w:after="0"/>
        <w:rPr>
          <w:sz w:val="20"/>
          <w:szCs w:val="20"/>
          <w:color w:val="auto"/>
        </w:rPr>
      </w:pPr>
      <w:r>
        <w:rPr>
          <w:rFonts w:ascii="Arial" w:cs="Arial" w:eastAsia="Arial" w:hAnsi="Arial"/>
          <w:sz w:val="16"/>
          <w:szCs w:val="16"/>
          <w:color w:val="auto"/>
        </w:rPr>
        <w:t>Underwriters: Merrill Lynch &amp; Co. 1,000,000 shares</w:t>
      </w:r>
    </w:p>
    <w:p>
      <w:pPr>
        <w:spacing w:after="0" w:line="38" w:lineRule="exact"/>
        <w:rPr>
          <w:sz w:val="20"/>
          <w:szCs w:val="20"/>
          <w:color w:val="auto"/>
        </w:rPr>
      </w:pPr>
    </w:p>
    <w:p>
      <w:pPr>
        <w:jc w:val="right"/>
        <w:ind w:right="7720"/>
        <w:spacing w:after="0"/>
        <w:rPr>
          <w:sz w:val="20"/>
          <w:szCs w:val="20"/>
          <w:color w:val="auto"/>
        </w:rPr>
      </w:pPr>
      <w:r>
        <w:rPr>
          <w:rFonts w:ascii="Arial" w:cs="Arial" w:eastAsia="Arial" w:hAnsi="Arial"/>
          <w:sz w:val="18"/>
          <w:szCs w:val="18"/>
          <w:color w:val="auto"/>
        </w:rPr>
        <w:t>Wachovia Securities 1,000,000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 For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[Not Filed with this Current Report]</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0220"/>
          </w:cols>
          <w:pgMar w:left="1440" w:top="274" w:right="239" w:bottom="1440" w:gutter="0" w:footer="0" w:header="0"/>
        </w:sectPr>
      </w:pPr>
    </w:p>
    <w:bookmarkStart w:id="37" w:name="page38"/>
    <w:bookmarkEnd w:id="37"/>
    <w:p>
      <w:pPr>
        <w:ind w:left="10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D-1</w:t>
      </w:r>
    </w:p>
    <w:p>
      <w:pPr>
        <w:spacing w:after="0" w:line="17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Indenture dated December 13, 1993, related to the Company’s 7.48% Debentures due August 15, 2026; and 6.82% Medium Term Notes due August 1, 2027, filed with the Commission on December 13, 1993 as Exhibit 4(a) to the Company’s Registration Statement on Form S-3 (File No. 33-51029).</w:t>
      </w:r>
    </w:p>
    <w:p>
      <w:pPr>
        <w:spacing w:after="0" w:line="112" w:lineRule="exact"/>
        <w:rPr>
          <w:sz w:val="20"/>
          <w:szCs w:val="20"/>
          <w:color w:val="auto"/>
        </w:rPr>
      </w:pPr>
    </w:p>
    <w:p>
      <w:pPr>
        <w:jc w:val="both"/>
        <w:ind w:right="80"/>
        <w:spacing w:after="0" w:line="230" w:lineRule="auto"/>
        <w:rPr>
          <w:sz w:val="20"/>
          <w:szCs w:val="20"/>
          <w:color w:val="auto"/>
        </w:rPr>
      </w:pPr>
      <w:r>
        <w:rPr>
          <w:rFonts w:ascii="Arial" w:cs="Arial" w:eastAsia="Arial" w:hAnsi="Arial"/>
          <w:sz w:val="18"/>
          <w:szCs w:val="18"/>
          <w:color w:val="auto"/>
        </w:rPr>
        <w:t xml:space="preserve">Indenture dated September 1, 1998 related to the Company’s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due November 15, 2007, 8.75% Notes due December 1, 2009, 4.50% Notes due 2011, 5.65% Notes due 2016, 6.00% Notes due 2012, 6.20% Notes due 2017, and 5.40% Notes due 2013 filed as Exhibit 4(a) to the Company’s Registration Statement on Form S-3 (File No. 333 63619).</w:t>
      </w:r>
    </w:p>
    <w:p>
      <w:pPr>
        <w:spacing w:after="0" w:line="18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Credit Agreement dated as of July 28, 2006, by and among the Company, as Borrower, The Financial Institutions Party Thereto and Their Assignees Under Section 12.5.(d), as Lenders, Wachovia Capital Markets, LLC as sole Lead Arranger and Sole Book Manager, Wachovia Bank, National Association as Agent, Eurohypo AG, New York Branch as Syndication Agent, and each of PNC Bank, National Association, SunTrust Bank and U.S. Bank National Association, as Documentation Agent.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Company’s Direct or Indirect Ownership</w:t>
            </w:r>
          </w:p>
        </w:tc>
      </w:tr>
      <w:tr>
        <w:trPr>
          <w:trHeight w:val="181"/>
        </w:trPr>
        <w:tc>
          <w:tcPr>
            <w:tcW w:w="8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FEDERAL REALTY INVESTMENT TRUST</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0"/>
              </w:rPr>
              <w:t>Interest</w:t>
            </w:r>
          </w:p>
        </w:tc>
      </w:tr>
      <w:tr>
        <w:trPr>
          <w:trHeight w:val="195"/>
        </w:trPr>
        <w:tc>
          <w:tcPr>
            <w:tcW w:w="8000" w:type="dxa"/>
            <w:vAlign w:val="bottom"/>
          </w:tcPr>
          <w:p>
            <w:pPr>
              <w:spacing w:after="0" w:line="195" w:lineRule="exact"/>
              <w:rPr>
                <w:sz w:val="20"/>
                <w:szCs w:val="20"/>
                <w:color w:val="auto"/>
              </w:rPr>
            </w:pPr>
            <w:r>
              <w:rPr>
                <w:rFonts w:ascii="Arial" w:cs="Arial" w:eastAsia="Arial" w:hAnsi="Arial"/>
                <w:sz w:val="18"/>
                <w:szCs w:val="18"/>
                <w:color w:val="auto"/>
              </w:rPr>
              <w:t>FR Associates Limited Partnership (“FR”)</w:t>
            </w:r>
          </w:p>
        </w:tc>
        <w:tc>
          <w:tcPr>
            <w:tcW w:w="240" w:type="dxa"/>
            <w:vAlign w:val="bottom"/>
          </w:tcPr>
          <w:p>
            <w:pPr>
              <w:spacing w:after="0"/>
              <w:rPr>
                <w:sz w:val="16"/>
                <w:szCs w:val="16"/>
                <w:color w:val="auto"/>
              </w:rPr>
            </w:pPr>
          </w:p>
        </w:tc>
        <w:tc>
          <w:tcPr>
            <w:tcW w:w="3180" w:type="dxa"/>
            <w:vAlign w:val="bottom"/>
            <w:gridSpan w:val="2"/>
          </w:tcPr>
          <w:p>
            <w:pPr>
              <w:spacing w:after="0" w:line="195" w:lineRule="exact"/>
              <w:rPr>
                <w:sz w:val="20"/>
                <w:szCs w:val="20"/>
                <w:color w:val="auto"/>
              </w:rPr>
            </w:pPr>
            <w:r>
              <w:rPr>
                <w:rFonts w:ascii="Arial" w:cs="Arial" w:eastAsia="Arial" w:hAnsi="Arial"/>
                <w:sz w:val="18"/>
                <w:szCs w:val="18"/>
                <w:color w:val="auto"/>
              </w:rPr>
              <w:t>98.97% (1.03% SRI)</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Andorra Associates</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99% (1% FR)</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Governor Plaza Associates</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99% (1% FR)</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Shopping Center Associates</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99% (1% FR)</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Berman Enterprises II Limited Partnership</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99% (1% FR)</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FRIT Escondido Promenade, LLC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70%</w:t>
            </w:r>
          </w:p>
        </w:tc>
        <w:tc>
          <w:tcPr>
            <w:tcW w:w="276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FRIT Leasing &amp; Development Services, Inc. (“FRIT L&amp;D”)</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FRIT Santana Row TRS, Inc.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ind w:left="20"/>
              <w:spacing w:after="0"/>
              <w:rPr>
                <w:sz w:val="20"/>
                <w:szCs w:val="20"/>
                <w:color w:val="auto"/>
              </w:rPr>
            </w:pPr>
            <w:r>
              <w:rPr>
                <w:rFonts w:ascii="Arial" w:cs="Arial" w:eastAsia="Arial" w:hAnsi="Arial"/>
                <w:sz w:val="18"/>
                <w:szCs w:val="18"/>
                <w:color w:val="auto"/>
              </w:rPr>
              <w:t>(FRIT L&amp;D)</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Congressional Plaza Associates, LLC</w:t>
            </w:r>
          </w:p>
        </w:tc>
        <w:tc>
          <w:tcPr>
            <w:tcW w:w="3420" w:type="dxa"/>
            <w:vAlign w:val="bottom"/>
            <w:gridSpan w:val="3"/>
          </w:tcPr>
          <w:p>
            <w:pPr>
              <w:ind w:left="240"/>
              <w:spacing w:after="0"/>
              <w:rPr>
                <w:sz w:val="20"/>
                <w:szCs w:val="20"/>
                <w:color w:val="auto"/>
              </w:rPr>
            </w:pPr>
            <w:r>
              <w:rPr>
                <w:rFonts w:ascii="Arial" w:cs="Arial" w:eastAsia="Arial" w:hAnsi="Arial"/>
                <w:sz w:val="18"/>
                <w:szCs w:val="18"/>
                <w:color w:val="auto"/>
              </w:rPr>
              <w:t>64.1030%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Pike 7 Limited Partnership (DownREIT) – 12,393.71 units outstanding)</w:t>
            </w:r>
          </w:p>
        </w:tc>
        <w:tc>
          <w:tcPr>
            <w:tcW w:w="3420" w:type="dxa"/>
            <w:vAlign w:val="bottom"/>
            <w:gridSpan w:val="3"/>
          </w:tcPr>
          <w:p>
            <w:pPr>
              <w:ind w:left="240"/>
              <w:spacing w:after="0"/>
              <w:rPr>
                <w:sz w:val="20"/>
                <w:szCs w:val="20"/>
                <w:color w:val="auto"/>
              </w:rPr>
            </w:pPr>
            <w:r>
              <w:rPr>
                <w:rFonts w:ascii="Arial" w:cs="Arial" w:eastAsia="Arial" w:hAnsi="Arial"/>
                <w:sz w:val="18"/>
                <w:szCs w:val="18"/>
                <w:color w:val="auto"/>
              </w:rPr>
              <w:t>99.3143%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w w:val="96"/>
              </w:rPr>
              <w:t>Federal Realty Partners L. P. (Master DownREIT- 146,793 units outstanding – 714,755 units have been</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40 units (FedRP Inc.)</w:t>
            </w:r>
          </w:p>
        </w:tc>
      </w:tr>
      <w:tr>
        <w:trPr>
          <w:trHeight w:val="222"/>
        </w:trPr>
        <w:tc>
          <w:tcPr>
            <w:tcW w:w="8000" w:type="dxa"/>
            <w:vAlign w:val="bottom"/>
          </w:tcPr>
          <w:p>
            <w:pPr>
              <w:ind w:left="220"/>
              <w:spacing w:after="0"/>
              <w:rPr>
                <w:sz w:val="20"/>
                <w:szCs w:val="20"/>
                <w:color w:val="auto"/>
              </w:rPr>
            </w:pPr>
            <w:r>
              <w:rPr>
                <w:rFonts w:ascii="Arial" w:cs="Arial" w:eastAsia="Arial" w:hAnsi="Arial"/>
                <w:sz w:val="18"/>
                <w:szCs w:val="18"/>
                <w:color w:val="auto"/>
              </w:rPr>
              <w:t>redeemed)</w:t>
            </w:r>
          </w:p>
        </w:tc>
        <w:tc>
          <w:tcPr>
            <w:tcW w:w="24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714,795 units (FRLP Inc.)</w:t>
            </w:r>
          </w:p>
        </w:tc>
      </w:tr>
      <w:tr>
        <w:trPr>
          <w:trHeight w:val="223"/>
        </w:trPr>
        <w:tc>
          <w:tcPr>
            <w:tcW w:w="8000" w:type="dxa"/>
            <w:vAlign w:val="bottom"/>
          </w:tcPr>
          <w:p>
            <w:pPr>
              <w:ind w:left="440"/>
              <w:spacing w:after="0"/>
              <w:rPr>
                <w:sz w:val="20"/>
                <w:szCs w:val="20"/>
                <w:color w:val="auto"/>
              </w:rPr>
            </w:pPr>
            <w:r>
              <w:rPr>
                <w:rFonts w:ascii="Arial" w:cs="Arial" w:eastAsia="Arial" w:hAnsi="Arial"/>
                <w:sz w:val="18"/>
                <w:szCs w:val="18"/>
                <w:color w:val="auto"/>
              </w:rPr>
              <w:t>Federal Realty Partners, Inc. (“FedRP Inc.”)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spacing w:after="0"/>
              <w:rPr>
                <w:sz w:val="19"/>
                <w:szCs w:val="19"/>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FRLP, Inc. (“FRLP Inc.”)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Leesburg Plaza, LLC (“Leesburg LLC”)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w w:val="93"/>
              </w:rPr>
              <w:t>FR Leesburg Plaza, LP (DownREIT– 36,267 units outstanding – 101,733 units have been redeemed)</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316,233 units (Leesburg LLC)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Federal Realty Management Services, Inc.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Federal Plaza, Inc. (“FedPlaza Inc.”)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 Federal Plaza, LLC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ind w:left="20"/>
              <w:spacing w:after="0"/>
              <w:rPr>
                <w:sz w:val="20"/>
                <w:szCs w:val="20"/>
                <w:color w:val="auto"/>
              </w:rPr>
            </w:pPr>
            <w:r>
              <w:rPr>
                <w:rFonts w:ascii="Arial" w:cs="Arial" w:eastAsia="Arial" w:hAnsi="Arial"/>
                <w:sz w:val="18"/>
                <w:szCs w:val="18"/>
                <w:color w:val="auto"/>
              </w:rPr>
              <w:t>(FedPlaza Inc.)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Mercer Mall, Inc. (“Mercer Inc.”)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 Mercer Mall, LLC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ind w:left="20"/>
              <w:spacing w:after="0"/>
              <w:rPr>
                <w:sz w:val="20"/>
                <w:szCs w:val="20"/>
                <w:color w:val="auto"/>
              </w:rPr>
            </w:pPr>
            <w:r>
              <w:rPr>
                <w:rFonts w:ascii="Arial" w:cs="Arial" w:eastAsia="Arial" w:hAnsi="Arial"/>
                <w:sz w:val="18"/>
                <w:szCs w:val="18"/>
                <w:color w:val="auto"/>
              </w:rPr>
              <w:t>(Mercer Inc.)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Federal/LPF GP, Inc. (“LPF”)</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Federal/Lion Venture LP (“Venture”)</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29.9% (.1% LPF)</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FLV Plaza del Mercado, LLC (“Mercado”)</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FLV Plaza del Mercado, LP</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Mercado</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FLV Campus Plaza GP, LLC (“Campus”)</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FLV Campus Plaza Limited Partnership</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Campus</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FLV Pleasant Shops GP, LLC (“Pleasant”)</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FLV Pleasant Shops Limited Partnership</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Pleasant</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FLV Atlantic Plaza GP, LLC (“Atlantic”)</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FLV Atlantic Plaza Limited Partnership</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Atlantic</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FLV Greenlawn Plaza GP, LLC (“Greenlawn”)</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FLV Greenlawn Plaza, LP</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Greenlawn</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FLV Barcroft Plaza GP, LLC (“Barcroft”)</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FLV Barcroft Plaza, LP</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Barcroft</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FLV Free State GP, LLC (“Free State”)</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Venture</w:t>
            </w: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FLV Free State Limited Partnership</w:t>
            </w:r>
          </w:p>
        </w:tc>
        <w:tc>
          <w:tcPr>
            <w:tcW w:w="24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30% through Free State</w:t>
            </w: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FR Westgate Mall, Inc. (“Westgate Inc.”)</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6"/>
              </w:rPr>
              <w:t>100%</w:t>
            </w:r>
          </w:p>
        </w:tc>
        <w:tc>
          <w:tcPr>
            <w:tcW w:w="2760" w:type="dxa"/>
            <w:vAlign w:val="bottom"/>
          </w:tcPr>
          <w:p>
            <w:pPr>
              <w:spacing w:after="0"/>
              <w:rPr>
                <w:sz w:val="19"/>
                <w:szCs w:val="19"/>
                <w:color w:val="auto"/>
              </w:rPr>
            </w:pPr>
          </w:p>
        </w:tc>
      </w:tr>
      <w:tr>
        <w:trPr>
          <w:trHeight w:val="365"/>
        </w:trPr>
        <w:tc>
          <w:tcPr>
            <w:tcW w:w="8000" w:type="dxa"/>
            <w:vAlign w:val="bottom"/>
          </w:tcPr>
          <w:p>
            <w:pPr>
              <w:ind w:left="5580"/>
              <w:spacing w:after="0"/>
              <w:rPr>
                <w:sz w:val="20"/>
                <w:szCs w:val="20"/>
                <w:color w:val="auto"/>
              </w:rPr>
            </w:pPr>
            <w:r>
              <w:rPr>
                <w:rFonts w:ascii="Arial" w:cs="Arial" w:eastAsia="Arial" w:hAnsi="Arial"/>
                <w:sz w:val="18"/>
                <w:szCs w:val="18"/>
                <w:color w:val="auto"/>
              </w:rPr>
              <w:t>E-1</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 Westgate Mall,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(Westgate Inc.)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Assembly Square,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Sturtevant Street, Inc. (“Sturtevant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 Sturtevant Street,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(Sturtevant Inc.)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Crow Canyon, Inc. (f/k/a JS&amp;DB, Inc.) (“Crow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 Crow Canyon,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(Crow Inc.)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Key Road,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Riverside,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Linden Square,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North Dartmouth, Inc. (“ND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 North Dartmouth,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(ND Inc.)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Chelsea Commons I, Inc. (“Chelsea I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 Chelsea Commons I,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(Chelsea I Inc.)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Chelsea Commons II, Inc. (“Chelsea II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 Chelsea Commons II,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(Chelsea II Inc.)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Shoppers World, Inc. (“Shoppers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FR Shoppers World,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(Shoppers Inc.)</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FR White Marsh, Inc. (“WM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Cordon Fairfield Business Trust</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Campbell-Philadelphia Business Trust</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Shoppes at Nottingham Square Business Trust</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Nottingham Square Business Trust</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Retail Properties Business Trust</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Byron Station, LLC (“Byron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Byron Station Limited Partnership, LLLP</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w w:val="97"/>
              </w:rPr>
              <w:t>(1% Byron LLC; 99% WM Inc.)</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White Marsh Plaza, LLC (“WMP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000" w:type="dxa"/>
            <w:vAlign w:val="bottom"/>
          </w:tcPr>
          <w:p>
            <w:pPr>
              <w:ind w:left="880"/>
              <w:spacing w:after="0"/>
              <w:rPr>
                <w:sz w:val="20"/>
                <w:szCs w:val="20"/>
                <w:color w:val="auto"/>
              </w:rPr>
            </w:pPr>
            <w:r>
              <w:rPr>
                <w:rFonts w:ascii="Arial" w:cs="Arial" w:eastAsia="Arial" w:hAnsi="Arial"/>
                <w:sz w:val="18"/>
                <w:szCs w:val="18"/>
                <w:color w:val="auto"/>
              </w:rPr>
              <w:t>White Marsh Plaza Limited Partnership (“WMP LP”)</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w w:val="99"/>
              </w:rPr>
              <w:t>(1% WMP LLC; 99% WM Inc.)</w:t>
            </w:r>
          </w:p>
        </w:tc>
      </w:tr>
      <w:tr>
        <w:trPr>
          <w:trHeight w:val="216"/>
        </w:trPr>
        <w:tc>
          <w:tcPr>
            <w:tcW w:w="8000" w:type="dxa"/>
            <w:vAlign w:val="bottom"/>
          </w:tcPr>
          <w:p>
            <w:pPr>
              <w:ind w:left="1300"/>
              <w:spacing w:after="0"/>
              <w:rPr>
                <w:sz w:val="20"/>
                <w:szCs w:val="20"/>
                <w:color w:val="auto"/>
              </w:rPr>
            </w:pPr>
            <w:r>
              <w:rPr>
                <w:rFonts w:ascii="Arial" w:cs="Arial" w:eastAsia="Arial" w:hAnsi="Arial"/>
                <w:sz w:val="18"/>
                <w:szCs w:val="18"/>
                <w:color w:val="auto"/>
              </w:rPr>
              <w:t>White Marsh Plaza Business Trust</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(WMP LP)</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NVI-Avenue, LLC (DownREIT – 185,484 units outstanding) (“NVI LLC”)</w:t>
            </w:r>
          </w:p>
        </w:tc>
        <w:tc>
          <w:tcPr>
            <w:tcW w:w="3100" w:type="dxa"/>
            <w:vAlign w:val="bottom"/>
            <w:gridSpan w:val="2"/>
          </w:tcPr>
          <w:p>
            <w:pPr>
              <w:ind w:left="240"/>
              <w:spacing w:after="0"/>
              <w:rPr>
                <w:sz w:val="20"/>
                <w:szCs w:val="20"/>
                <w:color w:val="auto"/>
              </w:rPr>
            </w:pPr>
            <w:r>
              <w:rPr>
                <w:rFonts w:ascii="Arial" w:cs="Arial" w:eastAsia="Arial" w:hAnsi="Arial"/>
                <w:sz w:val="18"/>
                <w:szCs w:val="18"/>
                <w:color w:val="auto"/>
              </w:rPr>
              <w:t>20 units (WM Inc.)</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The Avenue at White Marsh Business Trust (“Avenue BT”)</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Retail Funding Affiliates,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w w:val="92"/>
              </w:rPr>
              <w:t>(50% NVI LLC; 30% Avenue BT;</w:t>
            </w:r>
          </w:p>
        </w:tc>
      </w:tr>
      <w:tr>
        <w:trPr>
          <w:trHeight w:val="216"/>
        </w:trPr>
        <w:tc>
          <w:tcPr>
            <w:tcW w:w="8000" w:type="dxa"/>
            <w:vAlign w:val="bottom"/>
          </w:tcPr>
          <w:p>
            <w:pPr>
              <w:spacing w:after="0"/>
              <w:rPr>
                <w:sz w:val="18"/>
                <w:szCs w:val="18"/>
                <w:color w:val="auto"/>
              </w:rPr>
            </w:pPr>
          </w:p>
        </w:tc>
        <w:tc>
          <w:tcPr>
            <w:tcW w:w="3100" w:type="dxa"/>
            <w:vAlign w:val="bottom"/>
            <w:gridSpan w:val="2"/>
          </w:tcPr>
          <w:p>
            <w:pPr>
              <w:ind w:left="240"/>
              <w:spacing w:after="0"/>
              <w:rPr>
                <w:sz w:val="20"/>
                <w:szCs w:val="20"/>
                <w:color w:val="auto"/>
              </w:rPr>
            </w:pPr>
            <w:r>
              <w:rPr>
                <w:rFonts w:ascii="Arial" w:cs="Arial" w:eastAsia="Arial" w:hAnsi="Arial"/>
                <w:sz w:val="18"/>
                <w:szCs w:val="18"/>
                <w:color w:val="auto"/>
              </w:rPr>
              <w:t>20% WM Inc.)</w:t>
            </w:r>
          </w:p>
        </w:tc>
      </w:tr>
      <w:tr>
        <w:trPr>
          <w:trHeight w:val="222"/>
        </w:trPr>
        <w:tc>
          <w:tcPr>
            <w:tcW w:w="8000" w:type="dxa"/>
            <w:vAlign w:val="bottom"/>
          </w:tcPr>
          <w:p>
            <w:pPr>
              <w:spacing w:after="0"/>
              <w:rPr>
                <w:sz w:val="20"/>
                <w:szCs w:val="20"/>
                <w:color w:val="auto"/>
              </w:rPr>
            </w:pPr>
            <w:r>
              <w:rPr>
                <w:rFonts w:ascii="Arial" w:cs="Arial" w:eastAsia="Arial" w:hAnsi="Arial"/>
                <w:sz w:val="18"/>
                <w:szCs w:val="18"/>
                <w:color w:val="auto"/>
              </w:rPr>
              <w:t>Street Retail, Inc.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9"/>
                <w:szCs w:val="19"/>
                <w:color w:val="auto"/>
              </w:rPr>
            </w:pPr>
          </w:p>
        </w:tc>
      </w:tr>
      <w:tr>
        <w:trPr>
          <w:trHeight w:val="367"/>
        </w:trPr>
        <w:tc>
          <w:tcPr>
            <w:tcW w:w="8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STREET RETAIL, INC. (“SRI”)</w:t>
            </w: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5"/>
        </w:trPr>
        <w:tc>
          <w:tcPr>
            <w:tcW w:w="8000" w:type="dxa"/>
            <w:vAlign w:val="bottom"/>
          </w:tcPr>
          <w:p>
            <w:pPr>
              <w:spacing w:after="0"/>
              <w:rPr>
                <w:sz w:val="20"/>
                <w:szCs w:val="20"/>
                <w:color w:val="auto"/>
              </w:rPr>
            </w:pPr>
            <w:r>
              <w:rPr>
                <w:rFonts w:ascii="Arial" w:cs="Arial" w:eastAsia="Arial" w:hAnsi="Arial"/>
                <w:sz w:val="18"/>
                <w:szCs w:val="18"/>
                <w:color w:val="auto"/>
              </w:rPr>
              <w:t>SRI Old Town,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Street Retail Forest Hills I,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Street Retail Forest Hills II, LLC</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Street Retail West GP, Inc. (“SRWGP”)</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spacing w:after="0"/>
              <w:rPr>
                <w:sz w:val="18"/>
                <w:szCs w:val="18"/>
                <w:color w:val="auto"/>
              </w:rPr>
            </w:pP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Street Retail West I, L.P.</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Street Retail West II, L.P.</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8000" w:type="dxa"/>
            <w:vAlign w:val="bottom"/>
          </w:tcPr>
          <w:p>
            <w:pPr>
              <w:ind w:left="440"/>
              <w:spacing w:after="0"/>
              <w:rPr>
                <w:sz w:val="20"/>
                <w:szCs w:val="20"/>
                <w:color w:val="auto"/>
              </w:rPr>
            </w:pPr>
            <w:r>
              <w:rPr>
                <w:rFonts w:ascii="Arial" w:cs="Arial" w:eastAsia="Arial" w:hAnsi="Arial"/>
                <w:sz w:val="18"/>
                <w:szCs w:val="18"/>
                <w:color w:val="auto"/>
              </w:rPr>
              <w:t>Street Retail West 3, L.P.</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22"/>
        </w:trPr>
        <w:tc>
          <w:tcPr>
            <w:tcW w:w="8000" w:type="dxa"/>
            <w:vAlign w:val="bottom"/>
          </w:tcPr>
          <w:p>
            <w:pPr>
              <w:ind w:left="440"/>
              <w:spacing w:after="0"/>
              <w:rPr>
                <w:sz w:val="20"/>
                <w:szCs w:val="20"/>
                <w:color w:val="auto"/>
              </w:rPr>
            </w:pPr>
            <w:r>
              <w:rPr>
                <w:rFonts w:ascii="Arial" w:cs="Arial" w:eastAsia="Arial" w:hAnsi="Arial"/>
                <w:sz w:val="18"/>
                <w:szCs w:val="18"/>
                <w:color w:val="auto"/>
              </w:rPr>
              <w:t>Street Retail West 4, L.P.</w:t>
            </w:r>
          </w:p>
        </w:tc>
        <w:tc>
          <w:tcPr>
            <w:tcW w:w="660" w:type="dxa"/>
            <w:vAlign w:val="bottom"/>
          </w:tcPr>
          <w:p>
            <w:pPr>
              <w:ind w:left="240"/>
              <w:spacing w:after="0"/>
              <w:rPr>
                <w:sz w:val="20"/>
                <w:szCs w:val="20"/>
                <w:color w:val="auto"/>
              </w:rPr>
            </w:pPr>
            <w:r>
              <w:rPr>
                <w:rFonts w:ascii="Arial" w:cs="Arial" w:eastAsia="Arial" w:hAnsi="Arial"/>
                <w:sz w:val="18"/>
                <w:szCs w:val="18"/>
                <w:color w:val="auto"/>
                <w:w w:val="86"/>
              </w:rPr>
              <w:t>100%</w:t>
            </w:r>
          </w:p>
        </w:tc>
        <w:tc>
          <w:tcPr>
            <w:tcW w:w="244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365"/>
        </w:trPr>
        <w:tc>
          <w:tcPr>
            <w:tcW w:w="8000" w:type="dxa"/>
            <w:vAlign w:val="bottom"/>
          </w:tcPr>
          <w:p>
            <w:pPr>
              <w:ind w:left="5580"/>
              <w:spacing w:after="0"/>
              <w:rPr>
                <w:sz w:val="20"/>
                <w:szCs w:val="20"/>
                <w:color w:val="auto"/>
              </w:rPr>
            </w:pPr>
            <w:r>
              <w:rPr>
                <w:rFonts w:ascii="Arial" w:cs="Arial" w:eastAsia="Arial" w:hAnsi="Arial"/>
                <w:sz w:val="18"/>
                <w:szCs w:val="18"/>
                <w:color w:val="auto"/>
              </w:rPr>
              <w:t>E-2</w:t>
            </w:r>
          </w:p>
        </w:tc>
        <w:tc>
          <w:tcPr>
            <w:tcW w:w="66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100"/>
          </w:cols>
          <w:pgMar w:left="240" w:top="280" w:right="55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Street Retail West 6, L.P.</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Street Retail West 7, L.P.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Street Retail West 10,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Retail San Antonio, LP</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SRI San Antonio, Inc. (f/k/a Dim Sum, Inc. f/k/a FR Acquisition Holding Co., Inc.) (“SRI San Anton”)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SRI Texas, Inc. (“SRI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FRIT San Jose Town and Country Village, LLC (“San Jose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Jose Residential,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Santana Row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Santana Row ROF, Inc. (“ROF”)</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 Rive Gauche San Jose,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Straits Santana Row,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Blowfish SR,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Village Café Santana Row,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Yankee Pier Santana Row,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Pizza Antica,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Sino, LLC (f/k/a Red Lantern Restaurant,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Santana Grill Partners,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100% (10% through SRI)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(10% through SRI)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(SRI San Anton)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99.9% (SRI Texas)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100% nonvoting stock (San Jose LLC)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(ROF)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29.167% (ROF)</w:t>
      </w:r>
    </w:p>
    <w:p>
      <w:pPr>
        <w:spacing w:after="0" w:line="165" w:lineRule="exact"/>
        <w:rPr>
          <w:sz w:val="20"/>
          <w:szCs w:val="20"/>
          <w:color w:val="auto"/>
        </w:rPr>
      </w:pPr>
    </w:p>
    <w:p>
      <w:pPr>
        <w:sectPr>
          <w:pgSz w:w="11900" w:h="16838" w:orient="portrait"/>
          <w:cols w:equalWidth="0" w:num="2">
            <w:col w:w="7520" w:space="720"/>
            <w:col w:w="2720"/>
          </w:cols>
          <w:pgMar w:left="240" w:top="280" w:right="699" w:bottom="1440" w:gutter="0" w:footer="0" w:header="0"/>
        </w:sectPr>
      </w:pPr>
    </w:p>
    <w:p>
      <w:pPr>
        <w:ind w:left="460"/>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Margo Building and Villa Cornet Building Condominium Owners Association, a California non-profit mutual benefit corporation</w:t>
      </w:r>
    </w:p>
    <w:p>
      <w:pPr>
        <w:spacing w:after="0" w:line="18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960"/>
          </w:cols>
          <w:pgMar w:left="240" w:top="280" w:right="69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7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[Form of Lock-Up Agreement]</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Shares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20,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Merrill Lynch, Pierce, Fenner &amp; Smith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 World Financial Center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10080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agreement is being delivered to you in connection with the proposed Pricing Agreement (the “Pricing Agreement”), between Federal Realty Investment Trust, a Maryland real estate investment trust (the “Company”), and you, relating to an underwritten public offering of the Company’s common shares of beneficial interest, par value $0.01 (the “Common Shares”).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induce you to enter into the Pricing Agreement, the undersigned will not, without the prior written consent of Merrill Lynch, Pierce, Fenner &amp; Smith Incorporated (“Merrill Lynch”), as representative of a group of underwriters, offer, sell, contract to sell, pledge or otherwise dispose of (or enter into any transaction that is designed to, or might reasonably be expected to, result in the disposition of (whether by actual disposition or effective economic disposition due to cash settlement or otherwise) by the undersigned),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capital shares of the Company or any securities convertible into or exercisable, redeemable or exchangeable for such capital shares (in each case whether now owned or hereinafter acquired by the Company), or publicly announce an intention to effect any such transaction, for a period beginning on and including the date of the Pricing Agreement through and including the date which is 45 days after the date of the Pricing Agreement (the “Lock-Up Period”).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Notwithstanding the provisions set forth in the immediately preceding paragraph, nothing contained herein shall prohibit the exercise of stock options by the undersigned under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42" w:name="page43"/>
    <w:bookmarkEnd w:id="42"/>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Company’s stock option plans for employees or trustees or other purchases by the undersigned of capital shares of the Company or any securities convertible into or exercisable, redeemable or exchangeable for such capital shares under the Company’s stock purchase plan for employees or trustees, in each case as such plans are in effect on the date of the Pricing Agreement (provided that the undersigned understands and agrees that any and all capital shares of the Company and securities convertible into or exercisable, redeemable or exchangeable for such capital shares that the undersigned acquires on or after the date of this agreement (including, without limitation, upon the exercise of stock options or purchases under the Company’s stock purchase plan for employees or trustees) shall be subject to the terms and provisions of this agreement and, without limitation to the foregoing, the undersigned further understands and agrees that the undersigned will not transfer, sell or otherwise dispose of, directly or indirectly (including, without limitation, through a broker or dealer), any capital shares of the Company or any securities convertible into or exercisable, redeemable or exchangeable for such capital shares in payment of all or any portion of the exercise price of any such stock options exercised by the undersigned under any such stock option plans or in payment of all or any portion of the purchase price of any such capital shares or other securities purchased by the undersigned under any such stock purchase plans or otherwise effect a so-called “cashless” exercise or purchase);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undersigned may donate any capital shares of the Company or any securities convertible into or exercisable, redeemable or exchangeable for such capital shares to members of the undersigned’s immediate family, to a trust the beneficiaries of which are exclusively the undersigned or members of the undersigned’s immediate family or to charitable or educational organizations without the prior written consent of Merrill Lynch if, in each case</w:t>
      </w:r>
    </w:p>
    <w:p>
      <w:pPr>
        <w:spacing w:after="0" w:line="3" w:lineRule="exact"/>
        <w:rPr>
          <w:sz w:val="20"/>
          <w:szCs w:val="20"/>
          <w:color w:val="auto"/>
        </w:rPr>
      </w:pPr>
    </w:p>
    <w:p>
      <w:pPr>
        <w:ind w:right="180" w:firstLine="8"/>
        <w:spacing w:after="0" w:line="292" w:lineRule="auto"/>
        <w:tabs>
          <w:tab w:leader="none" w:pos="2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such donation is a bona fide gift, (ii) the undersigned provides written notice of such gift to Merrill Lynch no later than three business days prior to such gift, and (iii) the donee executes and delivers to Merrill Lynch, prior to or contemporaneously with such gift, an agreement, in form and substance reasonably satisfactory to Merrill Lynch, in substantially the form of this agreement. For purposes of this paragraph, “immediate family” shall mean a spouse, lineal descendent, father, mother, brother or sister of the transferor. As used in this agreement, the term “capital shares” includes, without limitation, Common Shares and the Company’s preferred shares of beneficial interest, par value $0.01 per share.</w:t>
      </w:r>
    </w:p>
    <w:p>
      <w:pPr>
        <w:spacing w:after="0" w:line="11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for any reason the Pricing Agreement shall be terminated prior to the Time of Delivery (as defined in the Pricing Agreement), the agreement set forth above shall likewise be terminated.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 Immediately Follows]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280" w:right="259" w:bottom="1440" w:gutter="0" w:footer="0" w:header="0"/>
        </w:sectPr>
      </w:pPr>
    </w:p>
    <w:bookmarkStart w:id="43" w:name="page44"/>
    <w:bookmarkEnd w:id="43"/>
    <w:p>
      <w:pPr>
        <w:ind w:left="5660" w:right="1159" w:hanging="6390"/>
        <w:spacing w:after="0" w:line="5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executed and delivered this agreement as of the day and year first set forth above. 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102235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 Name:</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9019"/>
          </w:cols>
          <w:pgMar w:left="1440" w:top="280" w:right="1440" w:bottom="1440" w:gutter="0" w:footer="0" w:header="0"/>
        </w:sectPr>
      </w:pPr>
    </w:p>
    <w:bookmarkStart w:id="44" w:name="page45"/>
    <w:bookmarkEnd w:id="44"/>
    <w:p>
      <w:pPr>
        <w:ind w:left="10620"/>
        <w:spacing w:after="0"/>
        <w:rPr>
          <w:sz w:val="20"/>
          <w:szCs w:val="20"/>
          <w:color w:val="auto"/>
        </w:rPr>
      </w:pPr>
      <w:r>
        <w:rPr>
          <w:rFonts w:ascii="Arial" w:cs="Arial" w:eastAsia="Arial" w:hAnsi="Arial"/>
          <w:sz w:val="15"/>
          <w:szCs w:val="15"/>
          <w:b w:val="1"/>
          <w:bCs w:val="1"/>
          <w:i w:val="1"/>
          <w:iCs w:val="1"/>
          <w:color w:val="auto"/>
        </w:rPr>
        <w:t>Exhibit 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20,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20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Merrill Lynch, Pierce, Fenner &amp; Smith</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Incorporated</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 World Financial Center</w:t>
      </w:r>
    </w:p>
    <w:p>
      <w:pPr>
        <w:spacing w:after="0" w:line="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New York, NY 10080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December 20, 2007 (the “Underwriting Agreement”), between the Company on the one hand and Merrill Lynch, Pierce, Fenner &amp; Smith Incorporated (“Merrill Lynch”) and Wachovia Capital Markets, LLC (together with Merrill Lynch, the “Underwriters”), on the other hand, to issue and sell 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24"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A supplement to the Prospectus relating to the Designated Shares, in the form heretofore delivered to you, is now proposed to be filed with the Commission.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45" w:name="page46"/>
    <w:bookmarkEnd w:id="4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at the Time of Delivery and place and at the purchase price to the Underwriters set forth in Schedule II hereto, the number of Shares (as defined in Schedule II hereto) set forth opposite the name of such Underwriter in Schedule I hereto.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agrees to reimburse the Underwriters for their reasonable out-of-pocket expenses incurred in connection with the offering.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80" w:right="359" w:bottom="1440" w:gutter="0" w:footer="0" w:header="0"/>
        </w:sectPr>
      </w:pPr>
    </w:p>
    <w:bookmarkStart w:id="46" w:name="page47"/>
    <w:bookmarkEnd w:id="46"/>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Dawn M. Becker</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President-General</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Incorporated</w:t>
      </w:r>
    </w:p>
    <w:p>
      <w:pPr>
        <w:spacing w:after="0" w:line="20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C.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Brian C. Porter</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280" w:right="5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7480" w:type="dxa"/>
            <w:vAlign w:val="bottom"/>
            <w:gridSpan w:val="4"/>
          </w:tcPr>
          <w:p>
            <w:pPr>
              <w:jc w:val="center"/>
              <w:ind w:right="3980"/>
              <w:spacing w:after="0"/>
              <w:rPr>
                <w:sz w:val="20"/>
                <w:szCs w:val="20"/>
                <w:color w:val="auto"/>
              </w:rPr>
            </w:pPr>
            <w:r>
              <w:rPr>
                <w:rFonts w:ascii="Arial" w:cs="Arial" w:eastAsia="Arial" w:hAnsi="Arial"/>
                <w:sz w:val="18"/>
                <w:szCs w:val="18"/>
                <w:color w:val="auto"/>
                <w:w w:val="94"/>
              </w:rPr>
              <w:t>SCHEDULE I</w:t>
            </w:r>
          </w:p>
        </w:tc>
      </w:tr>
      <w:tr>
        <w:trPr>
          <w:trHeight w:val="340"/>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Initial Shares</w:t>
            </w:r>
          </w:p>
        </w:tc>
      </w:tr>
      <w:tr>
        <w:trPr>
          <w:trHeight w:val="168"/>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to be Purchased</w:t>
            </w:r>
          </w:p>
        </w:tc>
      </w:tr>
      <w:tr>
        <w:trPr>
          <w:trHeight w:val="208"/>
        </w:trPr>
        <w:tc>
          <w:tcPr>
            <w:tcW w:w="20" w:type="dxa"/>
            <w:vAlign w:val="bottom"/>
          </w:tcPr>
          <w:p>
            <w:pPr>
              <w:spacing w:after="0"/>
              <w:rPr>
                <w:sz w:val="18"/>
                <w:szCs w:val="18"/>
                <w:color w:val="auto"/>
              </w:rPr>
            </w:pPr>
          </w:p>
        </w:tc>
        <w:tc>
          <w:tcPr>
            <w:tcW w:w="3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60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Incorporated</w:t>
            </w:r>
          </w:p>
        </w:tc>
        <w:tc>
          <w:tcPr>
            <w:tcW w:w="7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Wachovia Capital Markets, LLC</w:t>
            </w:r>
          </w:p>
        </w:tc>
        <w:tc>
          <w:tcPr>
            <w:tcW w:w="6520" w:type="dxa"/>
            <w:vAlign w:val="bottom"/>
            <w:gridSpan w:val="2"/>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520" w:type="dxa"/>
            <w:vAlign w:val="bottom"/>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480" w:type="dxa"/>
            <w:vAlign w:val="bottom"/>
            <w:gridSpan w:val="4"/>
          </w:tcPr>
          <w:p>
            <w:pPr>
              <w:jc w:val="center"/>
              <w:ind w:right="3960"/>
              <w:spacing w:after="0"/>
              <w:rPr>
                <w:sz w:val="20"/>
                <w:szCs w:val="20"/>
                <w:color w:val="auto"/>
              </w:rPr>
            </w:pPr>
            <w:r>
              <w:rPr>
                <w:rFonts w:ascii="Arial" w:cs="Arial" w:eastAsia="Arial" w:hAnsi="Arial"/>
                <w:sz w:val="18"/>
                <w:szCs w:val="18"/>
                <w:color w:val="auto"/>
                <w:w w:val="94"/>
              </w:rPr>
              <w:t>I-1</w:t>
            </w:r>
          </w:p>
        </w:tc>
      </w:tr>
    </w:tbl>
    <w:p>
      <w:pPr>
        <w:jc w:val="center"/>
        <w:ind w:right="396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8" w:name="page49"/>
    <w:bookmarkEnd w:id="48"/>
    <w:p>
      <w:pPr>
        <w:jc w:val="center"/>
        <w:ind w:right="-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ectPr>
          <w:pgSz w:w="11900" w:h="16838" w:orient="portrait"/>
          <w:cols w:equalWidth="0" w:num="1">
            <w:col w:w="11380"/>
          </w:cols>
          <w:pgMar w:left="240" w:top="280" w:right="27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Title of Designated Shares: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of Beneficial Interest</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Number of Designated Shares:</w:t>
      </w:r>
    </w:p>
    <w:p>
      <w:pPr>
        <w:spacing w:after="0" w:line="20" w:lineRule="exact"/>
        <w:rPr>
          <w:sz w:val="20"/>
          <w:szCs w:val="20"/>
          <w:color w:val="auto"/>
        </w:rPr>
      </w:pPr>
      <w:r>
        <w:rPr>
          <w:sz w:val="20"/>
          <w:szCs w:val="20"/>
          <w:color w:val="auto"/>
        </w:rPr>
        <w:br w:type="column"/>
      </w:r>
    </w:p>
    <w:p>
      <w:pPr>
        <w:ind w:right="20"/>
        <w:spacing w:after="0" w:line="294" w:lineRule="auto"/>
        <w:rPr>
          <w:sz w:val="20"/>
          <w:szCs w:val="20"/>
          <w:color w:val="auto"/>
        </w:rPr>
      </w:pPr>
      <w:r>
        <w:rPr>
          <w:rFonts w:ascii="Arial" w:cs="Arial" w:eastAsia="Arial" w:hAnsi="Arial"/>
          <w:sz w:val="16"/>
          <w:szCs w:val="16"/>
          <w:color w:val="auto"/>
        </w:rPr>
        <w:t>2,000,000 shares. The Designated Shares consist of an aggregate of 2,000,000 Designated Shares (the “Shares”) that the several Underwriters have agreed to purchase and that the Company has agreed to sell, subject to the terms and conditions set forth in this Pricing Agreement and the Underwriting Agreement incorporated by reference herein.</w:t>
      </w:r>
    </w:p>
    <w:p>
      <w:pPr>
        <w:spacing w:after="0" w:line="62"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Initial Offering Price to Public Per Share for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$81.21 per share.</w:t>
      </w:r>
    </w:p>
    <w:p>
      <w:pPr>
        <w:spacing w:after="0" w:line="151"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Purchase Price per Share for Designated Shares to be Paid by the Underwriters: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$81.21 per share.</w:t>
      </w:r>
    </w:p>
    <w:p>
      <w:pPr>
        <w:spacing w:after="0" w:line="152" w:lineRule="exact"/>
        <w:rPr>
          <w:sz w:val="20"/>
          <w:szCs w:val="20"/>
          <w:color w:val="auto"/>
        </w:rPr>
      </w:pPr>
    </w:p>
    <w:p>
      <w:pPr>
        <w:sectPr>
          <w:pgSz w:w="11900" w:h="16838" w:orient="portrait"/>
          <w:cols w:equalWidth="0" w:num="2">
            <w:col w:w="5600" w:space="46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Applicable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4:30 p.m. (Eastern Time) on December 20, 2007 or such other time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agreed by the Company and the Underwriters.</w:t>
      </w:r>
    </w:p>
    <w:p>
      <w:pPr>
        <w:spacing w:after="0" w:line="111"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Preliminary Prospectus Supplement: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2"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Specified funds for payment of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Wire transfer of immediately available funds.</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5"/>
          <w:szCs w:val="15"/>
          <w:color w:val="auto"/>
        </w:rPr>
        <w:t>Liquidation Preference Per Share for Designated Shares,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Dividend Payment Dates,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may be specified from time to time by the Company’s Board of Trustees</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Redemption provisions,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Sinking fund requirements,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140"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spacing w:after="0"/>
        <w:rPr>
          <w:sz w:val="20"/>
          <w:szCs w:val="20"/>
          <w:color w:val="auto"/>
        </w:rPr>
      </w:pPr>
      <w:r>
        <w:rPr>
          <w:rFonts w:ascii="Arial" w:cs="Arial" w:eastAsia="Arial" w:hAnsi="Arial"/>
          <w:sz w:val="16"/>
          <w:szCs w:val="16"/>
          <w:color w:val="auto"/>
        </w:rPr>
        <w:t>Names of Underwriters: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Merrill Lynch, Pierce, Fenner &amp; Smith</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Wachovia Capital Markets, LLC</w:t>
      </w:r>
    </w:p>
    <w:p>
      <w:pPr>
        <w:spacing w:after="0" w:line="165" w:lineRule="exact"/>
        <w:rPr>
          <w:sz w:val="20"/>
          <w:szCs w:val="20"/>
          <w:color w:val="auto"/>
        </w:rPr>
      </w:pPr>
    </w:p>
    <w:p>
      <w:pPr>
        <w:sectPr>
          <w:pgSz w:w="11900" w:h="16838" w:orient="portrait"/>
          <w:cols w:equalWidth="0" w:num="2">
            <w:col w:w="5340" w:space="720"/>
            <w:col w:w="5320"/>
          </w:cols>
          <w:pgMar w:left="240" w:top="280"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380"/>
          </w:cols>
          <w:pgMar w:left="240" w:top="280" w:right="27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color w:val="auto"/>
        </w:rPr>
        <w:t>Address for Notices, etc.: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Merrill Lynch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-219710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 World Financial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10080</w:t>
      </w:r>
    </w:p>
    <w:p>
      <w:pPr>
        <w:spacing w:after="0" w:line="124" w:lineRule="exact"/>
        <w:rPr>
          <w:sz w:val="20"/>
          <w:szCs w:val="20"/>
          <w:color w:val="auto"/>
        </w:rPr>
      </w:pPr>
    </w:p>
    <w:p>
      <w:pPr>
        <w:sectPr>
          <w:pgSz w:w="11900" w:h="16838" w:orient="portrait"/>
          <w:cols w:equalWidth="0" w:num="2">
            <w:col w:w="5340" w:space="720"/>
            <w:col w:w="4159"/>
          </w:cols>
          <w:pgMar w:left="240" w:top="280" w:right="1440" w:bottom="1440" w:gutter="0" w:footer="0" w:header="0"/>
        </w:sectPr>
      </w:pPr>
    </w:p>
    <w:p>
      <w:pPr>
        <w:spacing w:after="0"/>
        <w:rPr>
          <w:sz w:val="20"/>
          <w:szCs w:val="20"/>
          <w:color w:val="auto"/>
        </w:rPr>
      </w:pPr>
      <w:r>
        <w:rPr>
          <w:rFonts w:ascii="Arial" w:cs="Arial" w:eastAsia="Arial" w:hAnsi="Arial"/>
          <w:sz w:val="15"/>
          <w:szCs w:val="15"/>
          <w:color w:val="auto"/>
        </w:rPr>
        <w:t>Other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140"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Time of Delivery: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9:00 a.m. (New York City time) on December 27, 2007</w:t>
      </w:r>
    </w:p>
    <w:p>
      <w:pPr>
        <w:spacing w:after="0" w:line="140"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Closing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787 Seventh Avenue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w:t>
      </w:r>
    </w:p>
    <w:p>
      <w:pPr>
        <w:spacing w:after="0" w:line="147"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Place of Delivery of Designated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New York</w:t>
      </w:r>
    </w:p>
    <w:p>
      <w:pPr>
        <w:spacing w:after="0" w:line="181" w:lineRule="exact"/>
        <w:rPr>
          <w:sz w:val="20"/>
          <w:szCs w:val="20"/>
          <w:color w:val="auto"/>
        </w:rPr>
      </w:pPr>
    </w:p>
    <w:p>
      <w:pPr>
        <w:sectPr>
          <w:pgSz w:w="11900" w:h="16838" w:orient="portrait"/>
          <w:cols w:equalWidth="0" w:num="2">
            <w:col w:w="5340" w:space="720"/>
            <w:col w:w="4159"/>
          </w:cols>
          <w:pgMar w:left="240" w:top="280" w:right="1440" w:bottom="1440" w:gutter="0" w:footer="0" w:header="0"/>
          <w:type w:val="continuous"/>
        </w:sectPr>
      </w:pPr>
    </w:p>
    <w:p>
      <w:pPr>
        <w:ind w:left="558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219"/>
          </w:cols>
          <w:pgMar w:left="240" w:top="280" w:right="1440" w:bottom="1440" w:gutter="0" w:footer="0" w:header="0"/>
          <w:type w:val="continuous"/>
        </w:sectPr>
      </w:pPr>
    </w:p>
    <w:bookmarkStart w:id="50" w:name="page51"/>
    <w:bookmarkEnd w:id="50"/>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List of Persons Subject to Lock-Up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Larry E. Finger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Joseph M. Squeri</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280"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i w:val="1"/>
          <w:iCs w:val="1"/>
          <w:color w:val="auto"/>
        </w:rPr>
        <w:t>Exhibit 5.1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9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tab/>
        <w:t>Federal Realty Investment Trust</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Underwritten Public Offering of up to 2,000,000 Common Shares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with the Securities and Exchange Commission under the Securities Act of 1933, as amended, of a prospectus supplement dated December 20, 2007 (the “</w:t>
      </w:r>
      <w:r>
        <w:rPr>
          <w:rFonts w:ascii="Arial" w:cs="Arial" w:eastAsia="Arial" w:hAnsi="Arial"/>
          <w:sz w:val="16"/>
          <w:szCs w:val="16"/>
          <w:b w:val="1"/>
          <w:bCs w:val="1"/>
          <w:color w:val="auto"/>
        </w:rPr>
        <w:t>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Supplement</w:t>
      </w:r>
      <w:r>
        <w:rPr>
          <w:rFonts w:ascii="Arial" w:cs="Arial" w:eastAsia="Arial" w:hAnsi="Arial"/>
          <w:sz w:val="16"/>
          <w:szCs w:val="16"/>
          <w:color w:val="auto"/>
        </w:rPr>
        <w:t>”) to the prospectus dated June 20, 2006 (the “</w:t>
      </w:r>
      <w:r>
        <w:rPr>
          <w:rFonts w:ascii="Arial" w:cs="Arial" w:eastAsia="Arial" w:hAnsi="Arial"/>
          <w:sz w:val="16"/>
          <w:szCs w:val="16"/>
          <w:b w:val="1"/>
          <w:bCs w:val="1"/>
          <w:color w:val="auto"/>
        </w:rPr>
        <w:t>Base Prospectus</w:t>
      </w:r>
      <w:r>
        <w:rPr>
          <w:rFonts w:ascii="Arial" w:cs="Arial" w:eastAsia="Arial" w:hAnsi="Arial"/>
          <w:sz w:val="16"/>
          <w:szCs w:val="16"/>
          <w:color w:val="auto"/>
        </w:rPr>
        <w:t>”) contained in the automatic shelf registration statement on Form S-3 (File No. 333-135159)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was filed on June 20, 2006. The Base Prospectus and the Prospectus Supplement are together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The Prospectus relates to the issuance and sale by the Company of up to 2,000,000 common shares of beneficial interest, par value $.01 per share (the “</w:t>
      </w:r>
      <w:r>
        <w:rPr>
          <w:rFonts w:ascii="Arial" w:cs="Arial" w:eastAsia="Arial" w:hAnsi="Arial"/>
          <w:sz w:val="16"/>
          <w:szCs w:val="16"/>
          <w:b w:val="1"/>
          <w:bCs w:val="1"/>
          <w:color w:val="auto"/>
        </w:rPr>
        <w:t>Shares</w:t>
      </w:r>
      <w:r>
        <w:rPr>
          <w:rFonts w:ascii="Arial" w:cs="Arial" w:eastAsia="Arial" w:hAnsi="Arial"/>
          <w:sz w:val="16"/>
          <w:szCs w:val="16"/>
          <w:color w:val="auto"/>
        </w:rPr>
        <w:t>”), pursuant to the Underwriting Agreement dated December 20, 2007 between the Company and the Underwriters (as defined below)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the related Pricing Agreement dated December 20, 2007 between the Company and the Underwriters (the “</w:t>
      </w:r>
      <w:r>
        <w:rPr>
          <w:rFonts w:ascii="Arial" w:cs="Arial" w:eastAsia="Arial" w:hAnsi="Arial"/>
          <w:sz w:val="16"/>
          <w:szCs w:val="16"/>
          <w:b w:val="1"/>
          <w:bCs w:val="1"/>
          <w:color w:val="auto"/>
        </w:rPr>
        <w:t>Pricing</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to the firms named in Schedule I to the Pricing Agreement (the “</w:t>
      </w:r>
      <w:r>
        <w:rPr>
          <w:rFonts w:ascii="Arial" w:cs="Arial" w:eastAsia="Arial" w:hAnsi="Arial"/>
          <w:sz w:val="16"/>
          <w:szCs w:val="16"/>
          <w:b w:val="1"/>
          <w:bCs w:val="1"/>
          <w:color w:val="auto"/>
        </w:rPr>
        <w:t>Underwriters</w:t>
      </w:r>
      <w:r>
        <w:rPr>
          <w:rFonts w:ascii="Arial" w:cs="Arial" w:eastAsia="Arial" w:hAnsi="Arial"/>
          <w:sz w:val="16"/>
          <w:szCs w:val="16"/>
          <w:color w:val="auto"/>
        </w:rPr>
        <w: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rendering our opinion, we have examined the following:</w:t>
      </w:r>
    </w:p>
    <w:p>
      <w:pPr>
        <w:spacing w:after="0" w:line="90" w:lineRule="exact"/>
        <w:rPr>
          <w:sz w:val="20"/>
          <w:szCs w:val="20"/>
          <w:color w:val="auto"/>
        </w:rPr>
      </w:pPr>
    </w:p>
    <w:p>
      <w:pPr>
        <w:ind w:left="1020" w:hanging="56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1020" w:hanging="56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1020" w:right="20" w:hanging="566"/>
        <w:spacing w:after="0" w:line="268"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and corrected, as certified by the Maryland State Department of Assessments and Taxation on December 14, 2007 and by the Secretary of the Company on December 20, 2007;</w:t>
      </w:r>
    </w:p>
    <w:p>
      <w:pPr>
        <w:sectPr>
          <w:pgSz w:w="11900" w:h="16838" w:orient="portrait"/>
          <w:cols w:equalWidth="0" w:num="1">
            <w:col w:w="11420"/>
          </w:cols>
          <w:pgMar w:left="240" w:top="13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left="1020" w:hanging="566"/>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Amended and Restated Bylaws, as amended, of the Company, as certified by the Secretary of the Company on December 20, 2007;</w:t>
      </w:r>
    </w:p>
    <w:p>
      <w:pPr>
        <w:spacing w:after="0" w:line="113" w:lineRule="exact"/>
        <w:rPr>
          <w:rFonts w:ascii="Arial" w:cs="Arial" w:eastAsia="Arial" w:hAnsi="Arial"/>
          <w:sz w:val="16"/>
          <w:szCs w:val="16"/>
          <w:color w:val="auto"/>
        </w:rPr>
      </w:pPr>
    </w:p>
    <w:p>
      <w:pPr>
        <w:ind w:left="1020" w:hanging="56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copy of the specimen certificate for the Shares to be issued pursuant to the Underwriting Agreement;</w:t>
      </w:r>
    </w:p>
    <w:p>
      <w:pPr>
        <w:spacing w:after="0" w:line="84" w:lineRule="exact"/>
        <w:rPr>
          <w:rFonts w:ascii="Arial" w:cs="Arial" w:eastAsia="Arial" w:hAnsi="Arial"/>
          <w:sz w:val="18"/>
          <w:szCs w:val="18"/>
          <w:color w:val="auto"/>
        </w:rPr>
      </w:pPr>
    </w:p>
    <w:p>
      <w:pPr>
        <w:ind w:left="1020" w:right="600" w:hanging="566"/>
        <w:spacing w:after="0" w:line="275"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resolutions adopted by the Board of Trustees of the Company on February 17, 2006 and December 14, 2007 (the “</w:t>
      </w:r>
      <w:r>
        <w:rPr>
          <w:rFonts w:ascii="Arial" w:cs="Arial" w:eastAsia="Arial" w:hAnsi="Arial"/>
          <w:sz w:val="18"/>
          <w:szCs w:val="18"/>
          <w:b w:val="1"/>
          <w:bCs w:val="1"/>
          <w:color w:val="auto"/>
        </w:rPr>
        <w:t>Board Resolutions</w:t>
      </w:r>
      <w:r>
        <w:rPr>
          <w:rFonts w:ascii="Arial" w:cs="Arial" w:eastAsia="Arial" w:hAnsi="Arial"/>
          <w:sz w:val="18"/>
          <w:szCs w:val="18"/>
          <w:color w:val="auto"/>
        </w:rPr>
        <w:t>”), as certified by the Secretary of the Company on December 20, 2007;</w:t>
      </w:r>
    </w:p>
    <w:p>
      <w:pPr>
        <w:spacing w:after="0" w:line="38" w:lineRule="exact"/>
        <w:rPr>
          <w:rFonts w:ascii="Arial" w:cs="Arial" w:eastAsia="Arial" w:hAnsi="Arial"/>
          <w:sz w:val="18"/>
          <w:szCs w:val="18"/>
          <w:color w:val="auto"/>
        </w:rPr>
      </w:pPr>
    </w:p>
    <w:p>
      <w:pPr>
        <w:ind w:left="1020" w:right="160" w:hanging="566"/>
        <w:spacing w:after="0" w:line="361" w:lineRule="auto"/>
        <w:tabs>
          <w:tab w:leader="none" w:pos="10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resolutions adopted by the Pricing Committee of the Board of Trustees of the Company on December 20, 2007 (the “</w:t>
      </w:r>
      <w:r>
        <w:rPr>
          <w:rFonts w:ascii="Arial" w:cs="Arial" w:eastAsia="Arial" w:hAnsi="Arial"/>
          <w:sz w:val="15"/>
          <w:szCs w:val="15"/>
          <w:b w:val="1"/>
          <w:bCs w:val="1"/>
          <w:color w:val="auto"/>
        </w:rPr>
        <w:t>Pricing Committee</w:t>
      </w:r>
      <w:r>
        <w:rPr>
          <w:rFonts w:ascii="Arial" w:cs="Arial" w:eastAsia="Arial" w:hAnsi="Arial"/>
          <w:sz w:val="15"/>
          <w:szCs w:val="15"/>
          <w:color w:val="auto"/>
        </w:rPr>
        <w:t xml:space="preserve"> </w:t>
      </w:r>
      <w:r>
        <w:rPr>
          <w:rFonts w:ascii="Arial" w:cs="Arial" w:eastAsia="Arial" w:hAnsi="Arial"/>
          <w:sz w:val="15"/>
          <w:szCs w:val="15"/>
          <w:b w:val="1"/>
          <w:bCs w:val="1"/>
          <w:color w:val="auto"/>
        </w:rPr>
        <w:t>Resolutions</w:t>
      </w:r>
      <w:r>
        <w:rPr>
          <w:rFonts w:ascii="Arial" w:cs="Arial" w:eastAsia="Arial" w:hAnsi="Arial"/>
          <w:sz w:val="15"/>
          <w:szCs w:val="15"/>
          <w:color w:val="auto"/>
        </w:rPr>
        <w:t>” and, together with the Board Resolutions, the “</w:t>
      </w:r>
      <w:r>
        <w:rPr>
          <w:rFonts w:ascii="Arial" w:cs="Arial" w:eastAsia="Arial" w:hAnsi="Arial"/>
          <w:sz w:val="15"/>
          <w:szCs w:val="15"/>
          <w:b w:val="1"/>
          <w:bCs w:val="1"/>
          <w:color w:val="auto"/>
        </w:rPr>
        <w:t>Resolutions</w:t>
      </w:r>
      <w:r>
        <w:rPr>
          <w:rFonts w:ascii="Arial" w:cs="Arial" w:eastAsia="Arial" w:hAnsi="Arial"/>
          <w:sz w:val="15"/>
          <w:szCs w:val="15"/>
          <w:color w:val="auto"/>
        </w:rPr>
        <w:t>”), as certified by the Secretary of the Company on December 20, 2007;</w:t>
      </w:r>
    </w:p>
    <w:p>
      <w:pPr>
        <w:ind w:left="1020" w:hanging="56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1020" w:right="320" w:hanging="566"/>
        <w:spacing w:after="0" w:line="268"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our examination of the aforesaid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opinions expressed below, we have assumed that, at and prior to the time of the sale and delivery of the Shares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Shares or the validity of the Shares.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also assumed that the offering, sale and delivery of the Shares will not at the time of such offering, sale and delivery violate or conflict with (i) the Declaration of Trust, as then amended, restated and supplemented, and Bylaws, as then amended, restated and supplemented, of the Company, (ii) any provision of any license, indenture,</w:t>
      </w:r>
    </w:p>
    <w:p>
      <w:pPr>
        <w:sectPr>
          <w:pgSz w:w="11900" w:h="16838" w:orient="portrait"/>
          <w:cols w:equalWidth="0" w:num="1">
            <w:col w:w="11400"/>
          </w:cols>
          <w:pgMar w:left="240" w:top="280"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instrument, mortgage, contract, document or agreement to which the Company is then a party or by which the Company is then bound, or (iii) any law or regulation or any decree, judgment or order then applicable to the Company. We have further assumed that the number of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Shares, when sold, issued and delivered by Company in accordance with the terms of the Underwriting Agreement and the Pricing Agreement, will be validly issued, fully paid and nonassessable.</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This opinion is limited to the laws of the United States and Maryland law, in each case excluding choice of law provisions thereof. We render no opinions with respect to the law of any other jurisdiction. Our opinion is rendered only with respect to the laws and the rules, regulations and orders thereunder that are currently in effect. We assume no obligation to advise you of any changes in the foregoing subsequent to the delivery of this opinion.</w:t>
      </w:r>
    </w:p>
    <w:p>
      <w:pPr>
        <w:spacing w:after="0" w:line="10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use of our name in the Prospectus under the caption “Legal Matters.” The giving of this consent, however, does not constitute an admission that we are “experts” within the meaning of Section 11 of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or within the category of persons whose consent is required by Section 7 of the Act.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420"/>
          </w:cols>
          <w:pgMar w:left="240" w:top="2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i w:val="1"/>
          <w:iCs w:val="1"/>
          <w:color w:val="auto"/>
        </w:rPr>
        <w:t>Exhibit 8.1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20,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all documents incorporated and deemed to be incorporated by reference therein) with the Securities and Exchange Commission.</w:t>
      </w:r>
    </w:p>
    <w:p>
      <w:pPr>
        <w:spacing w:after="0" w:line="10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w:t>
      </w:r>
    </w:p>
    <w:p>
      <w:pPr>
        <w:sectPr>
          <w:pgSz w:w="11900" w:h="16838" w:orient="portrait"/>
          <w:cols w:equalWidth="0" w:num="1">
            <w:col w:w="11420"/>
          </w:cols>
          <w:pgMar w:left="240" w:top="13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07" w:lineRule="exact"/>
        <w:rPr>
          <w:sz w:val="20"/>
          <w:szCs w:val="20"/>
          <w:color w:val="auto"/>
        </w:rPr>
      </w:pPr>
    </w:p>
    <w:p>
      <w:pPr>
        <w:ind w:right="120" w:firstLine="456"/>
        <w:spacing w:after="0" w:line="307" w:lineRule="auto"/>
        <w:rPr>
          <w:sz w:val="20"/>
          <w:szCs w:val="20"/>
          <w:color w:val="auto"/>
        </w:rPr>
      </w:pPr>
      <w:r>
        <w:rPr>
          <w:rFonts w:ascii="Arial" w:cs="Arial" w:eastAsia="Arial" w:hAnsi="Arial"/>
          <w:sz w:val="15"/>
          <w:szCs w:val="15"/>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2007;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(2007) taxable year and for future taxable years, and (iii) the discussions in (x) the Registration Statement under the caption “Federal Income Tax Considerations,” and (y) the Company’s Annual Report on Form 10-K for the year ended December 31, 2006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Registration Statement under “Federal Income Tax Consequences” are hereby confirmed.</w:t>
      </w:r>
    </w:p>
    <w:p>
      <w:pPr>
        <w:spacing w:after="0" w:line="11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(“IRS”)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380"/>
          </w:cols>
          <w:pgMar w:left="240" w:top="280" w:right="27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20,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PILLSBURY WINTHROP SHAW PITTMAN LLP</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lvl w:ilvl="1">
      <w:lvlJc w:val="left"/>
      <w:lvlText w:val="(%2)"/>
      <w:numFmt w:val="lowerLetter"/>
      <w:start w:val="1"/>
    </w:lvl>
  </w:abstractNum>
  <w:abstractNum w:abstractNumId="2">
    <w:nsid w:val="257130A3"/>
    <w:multiLevelType w:val="hybridMultilevel"/>
    <w:lvl w:ilvl="0">
      <w:lvlJc w:val="left"/>
      <w:lvlText w:val="(%1)"/>
      <w:numFmt w:val="lowerLetter"/>
      <w:start w:val="2"/>
    </w:lvl>
  </w:abstractNum>
  <w:abstractNum w:abstractNumId="3">
    <w:nsid w:val="62BBD95A"/>
    <w:multiLevelType w:val="hybridMultilevel"/>
    <w:lvl w:ilvl="0">
      <w:lvlJc w:val="left"/>
      <w:lvlText w:val="(%1)"/>
      <w:numFmt w:val="lowerLetter"/>
      <w:start w:val="3"/>
    </w:lvl>
  </w:abstractNum>
  <w:abstractNum w:abstractNumId="4">
    <w:nsid w:val="436C6125"/>
    <w:multiLevelType w:val="hybridMultilevel"/>
    <w:lvl w:ilvl="0">
      <w:lvlJc w:val="left"/>
      <w:lvlText w:val="(%1)"/>
      <w:numFmt w:val="upperLetter"/>
      <w:start w:val="1"/>
    </w:lvl>
  </w:abstractNum>
  <w:abstractNum w:abstractNumId="5">
    <w:nsid w:val="628C895D"/>
    <w:multiLevelType w:val="hybridMultilevel"/>
    <w:lvl w:ilvl="0">
      <w:lvlJc w:val="left"/>
      <w:lvlText w:val="(%1)"/>
      <w:numFmt w:val="lowerRoman"/>
      <w:start w:val="2"/>
    </w:lvl>
  </w:abstractNum>
  <w:abstractNum w:abstractNumId="6">
    <w:nsid w:val="333AB105"/>
    <w:multiLevelType w:val="hybridMultilevel"/>
    <w:lvl w:ilvl="0">
      <w:lvlJc w:val="left"/>
      <w:lvlText w:val="(%1)"/>
      <w:numFmt w:val="lowerLetter"/>
      <w:start w:val="4"/>
    </w:lvl>
  </w:abstractNum>
  <w:abstractNum w:abstractNumId="7">
    <w:nsid w:val="721DA317"/>
    <w:multiLevelType w:val="hybridMultilevel"/>
    <w:lvl w:ilvl="0">
      <w:lvlJc w:val="left"/>
      <w:lvlText w:val="(%1)"/>
      <w:numFmt w:val="lowerLetter"/>
      <w:start w:val="6"/>
    </w:lvl>
  </w:abstractNum>
  <w:abstractNum w:abstractNumId="8">
    <w:nsid w:val="2443A858"/>
    <w:multiLevelType w:val="hybridMultilevel"/>
    <w:lvl w:ilvl="0">
      <w:lvlJc w:val="left"/>
      <w:lvlText w:val="(%1)"/>
      <w:numFmt w:val="lowerLetter"/>
      <w:start w:val="8"/>
    </w:lvl>
  </w:abstractNum>
  <w:abstractNum w:abstractNumId="9">
    <w:nsid w:val="2D1D5AE9"/>
    <w:multiLevelType w:val="hybridMultilevel"/>
    <w:lvl w:ilvl="0">
      <w:lvlJc w:val="left"/>
      <w:lvlText w:val="(%1)"/>
      <w:numFmt w:val="lowerLetter"/>
      <w:start w:val="11"/>
    </w:lvl>
  </w:abstractNum>
  <w:abstractNum w:abstractNumId="10">
    <w:nsid w:val="6763845E"/>
    <w:multiLevelType w:val="hybridMultilevel"/>
    <w:lvl w:ilvl="0">
      <w:lvlJc w:val="left"/>
      <w:lvlText w:val="%1"/>
      <w:numFmt w:val="decimal"/>
      <w:start w:val="1"/>
    </w:lvl>
    <w:lvl w:ilvl="1">
      <w:lvlJc w:val="left"/>
      <w:lvlText w:val="(%2)"/>
      <w:numFmt w:val="lowerLetter"/>
      <w:start w:val="16"/>
    </w:lvl>
  </w:abstractNum>
  <w:abstractNum w:abstractNumId="11">
    <w:nsid w:val="75A2A8D4"/>
    <w:multiLevelType w:val="hybridMultilevel"/>
    <w:lvl w:ilvl="0">
      <w:lvlJc w:val="left"/>
      <w:lvlText w:val="%1."/>
      <w:numFmt w:val="decimal"/>
      <w:start w:val="3"/>
    </w:lvl>
    <w:lvl w:ilvl="1">
      <w:lvlJc w:val="left"/>
      <w:lvlText w:val="%2"/>
      <w:numFmt w:val="lowerLetter"/>
      <w:start w:val="1"/>
    </w:lvl>
  </w:abstractNum>
  <w:abstractNum w:abstractNumId="12">
    <w:nsid w:val="8EDBDAB"/>
    <w:multiLevelType w:val="hybridMultilevel"/>
    <w:lvl w:ilvl="0">
      <w:lvlJc w:val="left"/>
      <w:lvlText w:val="%1."/>
      <w:numFmt w:val="decimal"/>
      <w:start w:val="5"/>
    </w:lvl>
    <w:lvl w:ilvl="1">
      <w:lvlJc w:val="left"/>
      <w:lvlText w:val="(%2)"/>
      <w:numFmt w:val="lowerLetter"/>
      <w:start w:val="1"/>
    </w:lvl>
  </w:abstractNum>
  <w:abstractNum w:abstractNumId="13">
    <w:nsid w:val="79838CB2"/>
    <w:multiLevelType w:val="hybridMultilevel"/>
    <w:lvl w:ilvl="0">
      <w:lvlJc w:val="left"/>
      <w:lvlText w:val="(%1)"/>
      <w:numFmt w:val="lowerLetter"/>
      <w:start w:val="2"/>
    </w:lvl>
  </w:abstractNum>
  <w:abstractNum w:abstractNumId="14">
    <w:nsid w:val="4353D0CD"/>
    <w:multiLevelType w:val="hybridMultilevel"/>
    <w:lvl w:ilvl="0">
      <w:lvlJc w:val="left"/>
      <w:lvlText w:val="(%1)"/>
      <w:numFmt w:val="lowerLetter"/>
      <w:start w:val="5"/>
    </w:lvl>
  </w:abstractNum>
  <w:abstractNum w:abstractNumId="15">
    <w:nsid w:val="B03E0C6"/>
    <w:multiLevelType w:val="hybridMultilevel"/>
    <w:lvl w:ilvl="0">
      <w:lvlJc w:val="left"/>
      <w:lvlText w:val="(%1)"/>
      <w:numFmt w:val="lowerLetter"/>
      <w:start w:val="8"/>
    </w:lvl>
  </w:abstractNum>
  <w:abstractNum w:abstractNumId="16">
    <w:nsid w:val="189A769B"/>
    <w:multiLevelType w:val="hybridMultilevel"/>
    <w:lvl w:ilvl="0">
      <w:lvlJc w:val="left"/>
      <w:lvlText w:val="(%1)"/>
      <w:numFmt w:val="lowerLetter"/>
      <w:start w:val="10"/>
    </w:lvl>
  </w:abstractNum>
  <w:abstractNum w:abstractNumId="17">
    <w:nsid w:val="54E49EB4"/>
    <w:multiLevelType w:val="hybridMultilevel"/>
    <w:lvl w:ilvl="0">
      <w:lvlJc w:val="left"/>
      <w:lvlText w:val="%1."/>
      <w:numFmt w:val="decimal"/>
      <w:start w:val="6"/>
    </w:lvl>
  </w:abstractNum>
  <w:abstractNum w:abstractNumId="18">
    <w:nsid w:val="71F32454"/>
    <w:multiLevelType w:val="hybridMultilevel"/>
    <w:lvl w:ilvl="0">
      <w:lvlJc w:val="left"/>
      <w:lvlText w:val="%1."/>
      <w:numFmt w:val="decimal"/>
      <w:start w:val="7"/>
    </w:lvl>
    <w:lvl w:ilvl="1">
      <w:lvlJc w:val="left"/>
      <w:lvlText w:val="(%2)"/>
      <w:numFmt w:val="lowerLetter"/>
      <w:start w:val="1"/>
    </w:lvl>
  </w:abstractNum>
  <w:abstractNum w:abstractNumId="19">
    <w:nsid w:val="2CA88611"/>
    <w:multiLevelType w:val="hybridMultilevel"/>
    <w:lvl w:ilvl="0">
      <w:lvlJc w:val="left"/>
      <w:lvlText w:val="%1"/>
      <w:numFmt w:val="lowerLetter"/>
      <w:start w:val="1"/>
    </w:lvl>
    <w:lvl w:ilvl="1">
      <w:lvlJc w:val="left"/>
      <w:lvlText w:val="(%2)"/>
      <w:numFmt w:val="lowerLetter"/>
      <w:start w:val="2"/>
    </w:lvl>
  </w:abstractNum>
  <w:abstractNum w:abstractNumId="20">
    <w:nsid w:val="836C40E"/>
    <w:multiLevelType w:val="hybridMultilevel"/>
    <w:lvl w:ilvl="0">
      <w:lvlJc w:val="left"/>
      <w:lvlText w:val="(%1)"/>
      <w:numFmt w:val="lowerLetter"/>
      <w:start w:val="25"/>
    </w:lvl>
    <w:lvl w:ilvl="1">
      <w:lvlJc w:val="left"/>
      <w:lvlText w:val="(%2)"/>
      <w:numFmt w:val="lowerLetter"/>
      <w:start w:val="5"/>
    </w:lvl>
  </w:abstractNum>
  <w:abstractNum w:abstractNumId="21">
    <w:nsid w:val="2901D82"/>
    <w:multiLevelType w:val="hybridMultilevel"/>
    <w:lvl w:ilvl="0">
      <w:lvlJc w:val="left"/>
      <w:lvlText w:val="(%1)"/>
      <w:numFmt w:val="lowerLetter"/>
      <w:start w:val="6"/>
    </w:lvl>
  </w:abstractNum>
  <w:abstractNum w:abstractNumId="22">
    <w:nsid w:val="3A95F874"/>
    <w:multiLevelType w:val="hybridMultilevel"/>
    <w:lvl w:ilvl="0">
      <w:lvlJc w:val="left"/>
      <w:lvlText w:val="%1"/>
      <w:numFmt w:val="decimal"/>
      <w:start w:val="1"/>
    </w:lvl>
    <w:lvl w:ilvl="1">
      <w:lvlJc w:val="left"/>
      <w:lvlText w:val="(%2)"/>
      <w:numFmt w:val="lowerLetter"/>
      <w:start w:val="9"/>
    </w:lvl>
  </w:abstractNum>
  <w:abstractNum w:abstractNumId="23">
    <w:nsid w:val="8138641"/>
    <w:multiLevelType w:val="hybridMultilevel"/>
    <w:lvl w:ilvl="0">
      <w:lvlJc w:val="left"/>
      <w:lvlText w:val="%1."/>
      <w:numFmt w:val="decimal"/>
      <w:start w:val="8"/>
    </w:lvl>
    <w:lvl w:ilvl="1">
      <w:lvlJc w:val="left"/>
      <w:lvlText w:val="%2"/>
      <w:numFmt w:val="lowerLetter"/>
      <w:start w:val="1"/>
    </w:lvl>
  </w:abstractNum>
  <w:abstractNum w:abstractNumId="24">
    <w:nsid w:val="1E7FF521"/>
    <w:multiLevelType w:val="hybridMultilevel"/>
    <w:lvl w:ilvl="0">
      <w:lvlJc w:val="left"/>
      <w:lvlText w:val="(%1)"/>
      <w:numFmt w:val="lowerLetter"/>
      <w:start w:val="2"/>
    </w:lvl>
  </w:abstractNum>
  <w:abstractNum w:abstractNumId="25">
    <w:nsid w:val="7C3DBD3D"/>
    <w:multiLevelType w:val="hybridMultilevel"/>
    <w:lvl w:ilvl="0">
      <w:lvlJc w:val="left"/>
      <w:lvlText w:val="%1"/>
      <w:numFmt w:val="lowerLetter"/>
      <w:start w:val="1"/>
    </w:lvl>
    <w:lvl w:ilvl="1">
      <w:lvlJc w:val="left"/>
      <w:lvlText w:val="(%2)"/>
      <w:numFmt w:val="lowerLetter"/>
      <w:start w:val="4"/>
    </w:lvl>
  </w:abstractNum>
  <w:abstractNum w:abstractNumId="26">
    <w:nsid w:val="737B8DDC"/>
    <w:multiLevelType w:val="hybridMultilevel"/>
    <w:lvl w:ilvl="0">
      <w:lvlJc w:val="left"/>
      <w:lvlText w:val="(%1)"/>
      <w:numFmt w:val="lowerLetter"/>
      <w:start w:val="2"/>
    </w:lvl>
    <w:lvl w:ilvl="1">
      <w:lvlJc w:val="left"/>
      <w:lvlText w:val="%2"/>
      <w:numFmt w:val="lowerLetter"/>
      <w:start w:val="1"/>
    </w:lvl>
  </w:abstractNum>
  <w:abstractNum w:abstractNumId="27">
    <w:nsid w:val="6CEAF087"/>
    <w:multiLevelType w:val="hybridMultilevel"/>
    <w:lvl w:ilvl="0">
      <w:lvlJc w:val="left"/>
      <w:lvlText w:val="(%1)"/>
      <w:numFmt w:val="lowerLetter"/>
      <w:start w:val="5"/>
    </w:lvl>
  </w:abstractNum>
  <w:abstractNum w:abstractNumId="28">
    <w:nsid w:val="22221A70"/>
    <w:multiLevelType w:val="hybridMultilevel"/>
    <w:lvl w:ilvl="0">
      <w:lvlJc w:val="left"/>
      <w:lvlText w:val="%1."/>
      <w:numFmt w:val="decimal"/>
      <w:start w:val="9"/>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1)"/>
      <w:numFmt w:val="lowerLetter"/>
      <w:start w:val="3"/>
    </w:lvl>
  </w:abstractNum>
  <w:abstractNum w:abstractNumId="31">
    <w:nsid w:val="614FD4A1"/>
    <w:multiLevelType w:val="hybridMultilevel"/>
    <w:lvl w:ilvl="0">
      <w:lvlJc w:val="left"/>
      <w:lvlText w:val="%1."/>
      <w:numFmt w:val="decimal"/>
      <w:start w:val="10"/>
    </w:lvl>
  </w:abstractNum>
  <w:abstractNum w:abstractNumId="32">
    <w:nsid w:val="419AC241"/>
    <w:multiLevelType w:val="hybridMultilevel"/>
    <w:lvl w:ilvl="0">
      <w:lvlJc w:val="left"/>
      <w:lvlText w:val="%1."/>
      <w:numFmt w:val="decimal"/>
      <w:start w:val="13"/>
    </w:lvl>
  </w:abstractNum>
  <w:abstractNum w:abstractNumId="33">
    <w:nsid w:val="5577F8E1"/>
    <w:multiLevelType w:val="hybridMultilevel"/>
    <w:lvl w:ilvl="0">
      <w:lvlJc w:val="left"/>
      <w:lvlText w:val="(%1)"/>
      <w:numFmt w:val="lowerRoman"/>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2019-12-11T16:54:37Z</dcterms:created>
  <dcterms:modified xsi:type="dcterms:W3CDTF">2019-12-11T16:54:37Z</dcterms:modified>
</cp:coreProperties>
</file>