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040" w:type="dxa"/>
            <w:vAlign w:val="bottom"/>
            <w:tcBorders>
              <w:top w:val="single" w:sz="8" w:color="auto"/>
              <w:right w:val="single" w:sz="8" w:color="auto"/>
            </w:tcBorders>
          </w:tcPr>
          <w:p>
            <w:pPr>
              <w:spacing w:after="0"/>
              <w:rPr>
                <w:sz w:val="13"/>
                <w:szCs w:val="13"/>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top w:val="single" w:sz="8" w:color="auto"/>
              <w:right w:val="single" w:sz="8" w:color="auto"/>
            </w:tcBorders>
          </w:tcPr>
          <w:p>
            <w:pPr>
              <w:jc w:val="center"/>
              <w:ind w:left="24"/>
              <w:spacing w:after="0" w:line="153" w:lineRule="exact"/>
              <w:rPr>
                <w:sz w:val="20"/>
                <w:szCs w:val="20"/>
                <w:color w:val="auto"/>
              </w:rPr>
            </w:pPr>
            <w:r>
              <w:rPr>
                <w:rFonts w:ascii="Arial" w:cs="Arial" w:eastAsia="Arial" w:hAnsi="Arial"/>
                <w:sz w:val="14"/>
                <w:szCs w:val="14"/>
                <w:b w:val="1"/>
                <w:bCs w:val="1"/>
                <w:color w:val="auto"/>
                <w:w w:val="89"/>
              </w:rPr>
              <w:t>Proposed</w:t>
            </w:r>
          </w:p>
        </w:tc>
        <w:tc>
          <w:tcPr>
            <w:tcW w:w="1600" w:type="dxa"/>
            <w:vAlign w:val="bottom"/>
            <w:tcBorders>
              <w:top w:val="single" w:sz="8" w:color="auto"/>
              <w:right w:val="single" w:sz="8" w:color="auto"/>
            </w:tcBorders>
          </w:tcPr>
          <w:p>
            <w:pPr>
              <w:jc w:val="center"/>
              <w:ind w:left="24"/>
              <w:spacing w:after="0" w:line="153" w:lineRule="exact"/>
              <w:rPr>
                <w:sz w:val="20"/>
                <w:szCs w:val="20"/>
                <w:color w:val="auto"/>
              </w:rPr>
            </w:pPr>
            <w:r>
              <w:rPr>
                <w:rFonts w:ascii="Arial" w:cs="Arial" w:eastAsia="Arial" w:hAnsi="Arial"/>
                <w:sz w:val="14"/>
                <w:szCs w:val="14"/>
                <w:b w:val="1"/>
                <w:bCs w:val="1"/>
                <w:color w:val="auto"/>
                <w:w w:val="89"/>
              </w:rPr>
              <w:t>Proposed</w:t>
            </w:r>
          </w:p>
        </w:tc>
        <w:tc>
          <w:tcPr>
            <w:tcW w:w="1560" w:type="dxa"/>
            <w:vAlign w:val="bottom"/>
            <w:tcBorders>
              <w:top w:val="single" w:sz="8" w:color="auto"/>
            </w:tcBorders>
            <w:vMerge w:val="restart"/>
          </w:tcPr>
          <w:p>
            <w:pPr>
              <w:jc w:val="center"/>
              <w:ind w:left="2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5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5"/>
              </w:rPr>
              <w:t>Price Per Unit</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3"/>
              </w:rPr>
              <w:t>Price</w:t>
            </w:r>
          </w:p>
        </w:tc>
        <w:tc>
          <w:tcPr>
            <w:tcW w:w="15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2"/>
              </w:rPr>
              <w:t>Fee(1)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2.55% Notes due 2021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$250,000,000</w:t>
            </w:r>
          </w:p>
        </w:tc>
        <w:tc>
          <w:tcPr>
            <w:tcW w:w="156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color w:val="auto"/>
              </w:rPr>
              <w:t>$29,050</w:t>
            </w:r>
          </w:p>
        </w:tc>
        <w:tc>
          <w:tcPr>
            <w:tcW w:w="0" w:type="dxa"/>
            <w:vAlign w:val="bottom"/>
          </w:tcPr>
          <w:p>
            <w:pPr>
              <w:spacing w:after="0"/>
              <w:rPr>
                <w:sz w:val="1"/>
                <w:szCs w:val="1"/>
                <w:color w:val="auto"/>
              </w:rPr>
            </w:pPr>
          </w:p>
        </w:tc>
      </w:tr>
    </w:tbl>
    <w:p>
      <w:pPr>
        <w:jc w:val="both"/>
        <w:ind w:left="460" w:right="480" w:hanging="452"/>
        <w:spacing w:after="0" w:line="277"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filing fee is calculated in accordance with Rule 457(r) under the Securities Act of 1933, as amended (the “Securities Act”), and relates to the Registration Statement on Form S-3 (No. 333-203999) filed on May 8, 2015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24130</wp:posOffset>
            </wp:positionV>
            <wp:extent cx="2255520" cy="909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2.55%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offering $250,000,000 aggregate principal amount of our 2.55% Notes due 2021. The notes will bear interest at the rate of 2.55% per year. Interest on the notes will be payable semi-annually in arears on January 15 and July 15 of each year, beginning on January 15, 2016. The notes will mature on January 15, 2021. We may redeem some or all of the notes at any time before maturity at the applicable redemption price discussed under the caption “Description of Notes — Optional Redemption.”</w:t>
      </w:r>
    </w:p>
    <w:p>
      <w:pPr>
        <w:spacing w:after="0" w:line="7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are a new issue of securities with no established trading market. We do not intend to apply to list the notes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ind w:right="140" w:firstLine="456"/>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1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S-6 of this prospectus supplement, on page 3 of the accompanying prospectus and in our Annual Report on Form 10-K for the year ended December 31, 2014, filed with the Securities and Exchange Commission, or the SEC, on February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4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Public offering price </w:t>
            </w:r>
            <w:r>
              <w:rPr>
                <w:rFonts w:ascii="Arial" w:cs="Arial" w:eastAsia="Arial" w:hAnsi="Arial"/>
                <w:sz w:val="15"/>
                <w:szCs w:val="15"/>
                <w:color w:val="auto"/>
              </w:rPr>
              <w:t>(1)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99.771%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249,427,500</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Underwriting discount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0.600%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99.171%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247,927,500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Plus accrued interest from September 28, 2015, if settlement occurs after that date.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September 28, 2015.</w:t>
      </w:r>
    </w:p>
    <w:p>
      <w:pPr>
        <w:spacing w:after="0" w:line="58" w:lineRule="exact"/>
        <w:rPr>
          <w:sz w:val="20"/>
          <w:szCs w:val="20"/>
          <w:color w:val="auto"/>
        </w:rPr>
      </w:pPr>
    </w:p>
    <w:p>
      <w:pPr>
        <w:ind w:right="780" w:firstLine="456"/>
        <w:spacing w:after="0" w:line="347"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BofA Merrill Lynch</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149" w:lineRule="exact"/>
        <w:rPr>
          <w:sz w:val="20"/>
          <w:szCs w:val="20"/>
          <w:color w:val="auto"/>
        </w:rPr>
      </w:pPr>
    </w:p>
    <w:p>
      <w:pPr>
        <w:sectPr>
          <w:pgSz w:w="11900" w:h="16838" w:orient="portrait"/>
          <w:cols w:equalWidth="0" w:num="3">
            <w:col w:w="4000" w:space="720"/>
            <w:col w:w="4660" w:space="720"/>
            <w:col w:w="13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420"/>
          </w:cols>
          <w:pgMar w:left="240" w:top="459" w:right="2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One Securities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Regions Securities LLC</w:t>
      </w:r>
    </w:p>
    <w:p>
      <w:pPr>
        <w:spacing w:after="0" w:line="200" w:lineRule="exact"/>
        <w:rPr>
          <w:sz w:val="20"/>
          <w:szCs w:val="20"/>
          <w:color w:val="auto"/>
        </w:rPr>
      </w:pPr>
    </w:p>
    <w:p>
      <w:pPr>
        <w:sectPr>
          <w:pgSz w:w="11900" w:h="16838" w:orient="portrait"/>
          <w:cols w:equalWidth="0" w:num="3">
            <w:col w:w="4140" w:space="720"/>
            <w:col w:w="3660" w:space="720"/>
            <w:col w:w="2180"/>
          </w:cols>
          <w:pgMar w:left="240" w:top="459"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920"/>
        <w:spacing w:after="0"/>
        <w:rPr>
          <w:sz w:val="20"/>
          <w:szCs w:val="20"/>
          <w:color w:val="auto"/>
        </w:rPr>
      </w:pPr>
      <w:r>
        <w:rPr>
          <w:rFonts w:ascii="Arial" w:cs="Arial" w:eastAsia="Arial" w:hAnsi="Arial"/>
          <w:sz w:val="19"/>
          <w:szCs w:val="19"/>
          <w:b w:val="1"/>
          <w:bCs w:val="1"/>
          <w:color w:val="auto"/>
        </w:rPr>
        <w:t>TD Securities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Bancorp</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BBVA Securities</w:t>
      </w:r>
    </w:p>
    <w:p>
      <w:pPr>
        <w:spacing w:after="0" w:line="101" w:lineRule="exact"/>
        <w:rPr>
          <w:sz w:val="20"/>
          <w:szCs w:val="20"/>
          <w:color w:val="auto"/>
        </w:rPr>
      </w:pPr>
    </w:p>
    <w:p>
      <w:pPr>
        <w:sectPr>
          <w:pgSz w:w="11900" w:h="16838" w:orient="portrait"/>
          <w:cols w:equalWidth="0" w:num="4">
            <w:col w:w="3760" w:space="720"/>
            <w:col w:w="2180" w:space="720"/>
            <w:col w:w="1140" w:space="380"/>
            <w:col w:w="25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September 21, 2015.</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3"/>
          </w:tcPr>
          <w:p>
            <w:pPr>
              <w:jc w:val="right"/>
              <w:ind w:right="472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7"/>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2180" w:type="dxa"/>
            <w:vAlign w:val="bottom"/>
            <w:gridSpan w:val="4"/>
            <w:vMerge w:val="restart"/>
          </w:tcPr>
          <w:p>
            <w:pPr>
              <w:spacing w:after="0"/>
              <w:rPr>
                <w:sz w:val="24"/>
                <w:szCs w:val="24"/>
                <w:color w:val="auto"/>
              </w:rPr>
            </w:pPr>
          </w:p>
        </w:tc>
        <w:tc>
          <w:tcPr>
            <w:tcW w:w="624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7"/>
            <w:vMerge w:val="continue"/>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624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2240" w:type="dxa"/>
            <w:vAlign w:val="bottom"/>
            <w:gridSpan w:val="5"/>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3760" w:type="dxa"/>
            <w:vAlign w:val="bottom"/>
            <w:gridSpan w:val="9"/>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Use of Proceeds</w:t>
              </w:r>
            </w:hyperlink>
          </w:p>
        </w:tc>
        <w:tc>
          <w:tcPr>
            <w:tcW w:w="3500" w:type="dxa"/>
            <w:vAlign w:val="bottom"/>
            <w:gridSpan w:val="7"/>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Notes</w:t>
              </w:r>
            </w:hyperlink>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Additional Material Federal Income Tax Considerations</w:t>
              </w:r>
            </w:hyperlink>
          </w:p>
        </w:tc>
        <w:tc>
          <w:tcPr>
            <w:tcW w:w="640" w:type="dxa"/>
            <w:vAlign w:val="bottom"/>
            <w:gridSpan w:val="2"/>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4680" w:type="dxa"/>
            <w:vAlign w:val="bottom"/>
            <w:gridSpan w:val="1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Underwriting (Conflicts of Interest)</w:t>
              </w:r>
            </w:hyperlink>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Experts</w:t>
              </w:r>
            </w:hyperlink>
          </w:p>
        </w:tc>
        <w:tc>
          <w:tcPr>
            <w:tcW w:w="2020" w:type="dxa"/>
            <w:vAlign w:val="bottom"/>
            <w:tcBorders>
              <w:top w:val="single" w:sz="8" w:color="0000EE"/>
            </w:tcBorders>
            <w:gridSpan w:val="7"/>
          </w:tcPr>
          <w:p>
            <w:pPr>
              <w:spacing w:after="0"/>
              <w:rPr>
                <w:sz w:val="17"/>
                <w:szCs w:val="17"/>
                <w:color w:val="auto"/>
              </w:rPr>
            </w:pPr>
          </w:p>
        </w:tc>
        <w:tc>
          <w:tcPr>
            <w:tcW w:w="2100" w:type="dxa"/>
            <w:vAlign w:val="bottom"/>
            <w:gridSpan w:val="3"/>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Legal Matters</w:t>
              </w:r>
            </w:hyperlink>
          </w:p>
        </w:tc>
        <w:tc>
          <w:tcPr>
            <w:tcW w:w="3660" w:type="dxa"/>
            <w:vAlign w:val="bottom"/>
            <w:gridSpan w:val="8"/>
          </w:tcPr>
          <w:p>
            <w:pPr>
              <w:spacing w:after="0"/>
              <w:rPr>
                <w:sz w:val="17"/>
                <w:szCs w:val="17"/>
                <w:color w:val="auto"/>
              </w:rPr>
            </w:pPr>
          </w:p>
        </w:tc>
        <w:tc>
          <w:tcPr>
            <w:tcW w:w="6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080" w:type="dxa"/>
            <w:vAlign w:val="bottom"/>
            <w:gridSpan w:val="3"/>
          </w:tcPr>
          <w:p>
            <w:pPr>
              <w:jc w:val="right"/>
              <w:ind w:right="52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vMerge w:val="restart"/>
          </w:tcPr>
          <w:p>
            <w:pPr>
              <w:spacing w:after="0"/>
              <w:rPr>
                <w:sz w:val="20"/>
                <w:szCs w:val="20"/>
                <w:color w:val="auto"/>
              </w:rPr>
            </w:pPr>
            <w:r>
              <w:rPr>
                <w:rFonts w:ascii="Arial" w:cs="Arial" w:eastAsia="Arial" w:hAnsi="Arial"/>
                <w:sz w:val="18"/>
                <w:szCs w:val="18"/>
                <w:color w:val="auto"/>
              </w:rPr>
              <w:t>About this Prospectus</w:t>
            </w:r>
          </w:p>
        </w:tc>
        <w:tc>
          <w:tcPr>
            <w:tcW w:w="67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676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Forward-Looking Statements</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Prospectus Summary</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Risk Factors</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Use of Proceeds</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Description of Shares of Beneficial Interest</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Material Federal Income Tax Considerations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Plan of Distribution</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Legal Matters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Experts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2014, filed with the SEC on February 10, 2015,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45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545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left="200" w:right="100" w:firstLine="443"/>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June 30, 2015, we owned or had a majority interest in community and neighborhood shopping centers and mixed-use properties which are operated as 90 predominantly retail real estate projects comprising 20.8 million square feet (excludes unconsolidated joint venture properties). In total, the real estate projects were 95.7% leased and 94.9% occupied at June 30, 2015. A joint venture in which we own a 30% interest owned six retail real estate projects totaling 0.8 million square feet as of June 30, 2015. In total, the joint venture properties in which we own a 30% interest were 92.6% leased and 85.8% occupied at June 30, 2015. We have paid quarterly dividends to our shareholders continuously since our founding in 1962 and have increased our dividends per common share for 48 consecutive years.</w:t>
      </w:r>
    </w:p>
    <w:p>
      <w:pPr>
        <w:spacing w:after="0" w:line="166" w:lineRule="exact"/>
        <w:rPr>
          <w:sz w:val="20"/>
          <w:szCs w:val="20"/>
          <w:color w:val="auto"/>
        </w:rPr>
      </w:pPr>
    </w:p>
    <w:p>
      <w:pPr>
        <w:ind w:left="200" w:right="20" w:firstLine="443"/>
        <w:spacing w:after="0" w:line="276" w:lineRule="auto"/>
        <w:rPr>
          <w:sz w:val="20"/>
          <w:szCs w:val="20"/>
          <w:color w:val="auto"/>
        </w:rPr>
      </w:pPr>
      <w:r>
        <w:rPr>
          <w:rFonts w:ascii="Arial" w:cs="Arial" w:eastAsia="Arial" w:hAnsi="Arial"/>
          <w:sz w:val="17"/>
          <w:szCs w:val="17"/>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7"/>
          <w:szCs w:val="17"/>
          <w:i w:val="1"/>
          <w:iCs w:val="1"/>
          <w:color w:val="auto"/>
        </w:rPr>
        <w:t>www.federalrealty.com</w:t>
      </w:r>
      <w:r>
        <w:rPr>
          <w:rFonts w:ascii="Arial" w:cs="Arial" w:eastAsia="Arial" w:hAnsi="Arial"/>
          <w:sz w:val="17"/>
          <w:szCs w:val="17"/>
          <w:color w:val="auto"/>
        </w:rPr>
        <w:t>. The information contained on our website is not a part of this prospectus supplement or the accompanying prospectus and is not incorporated herein or therein by reference.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48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148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the Six Months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7"/>
              </w:rPr>
              <w:t>For the Years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 June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180" w:type="dxa"/>
            <w:vAlign w:val="bottom"/>
            <w:tcBorders>
              <w:top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Ratios of earnings to fixed charges</w:t>
            </w:r>
          </w:p>
        </w:tc>
        <w:tc>
          <w:tcPr>
            <w:tcW w:w="1180" w:type="dxa"/>
            <w:vAlign w:val="bottom"/>
            <w:tcBorders>
              <w:top w:val="single" w:sz="8" w:color="auto"/>
            </w:tcBorders>
            <w:shd w:val="clear" w:color="auto" w:fill="CCEEFF"/>
          </w:tcPr>
          <w:p>
            <w:pPr>
              <w:jc w:val="right"/>
              <w:ind w:right="384"/>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20" w:hanging="3"/>
        <w:spacing w:after="0" w:line="254" w:lineRule="auto"/>
        <w:tabs>
          <w:tab w:leader="none" w:pos="44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353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73533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240"/>
          </w:cols>
          <w:pgMar w:left="240" w:top="459" w:right="419" w:bottom="1440" w:gutter="0" w:footer="0" w:header="0"/>
        </w:sectPr>
      </w:pPr>
    </w:p>
    <w:p>
      <w:pPr>
        <w:spacing w:after="0" w:line="18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$250 million aggregate principal amount of 2.55% Notes due 2021.</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Unless redeemed prior to maturity as described below, the notes will mature on January 15, 2021.</w:t>
      </w:r>
    </w:p>
    <w:p>
      <w:pPr>
        <w:spacing w:after="0" w:line="19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Interest on the notes will be payable semi-annually in arrears on January 15 and July 15 of each year, beginning on January 15, 2016, and at maturity.</w:t>
      </w:r>
    </w:p>
    <w:p>
      <w:pPr>
        <w:spacing w:after="0" w:line="19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June 30, 2015, we had outstanding approximately $569 million (excluding net unamortized premium) of secured indebtedness, collateralized by all or parts of 15 properties, which will rank senior to the notes to the extent of the securing collateral (approximately $422 million of this amount, which was issued by our subsidiaries, will also be structurally senior to the notes), approximately $15 million of unsecured indebtedness issued by our subsidiaries, which will be structurally senior to the notes, and approximately $1,876 million of unsecured indebtedness (excluding net unamortized discount), which will rank equally with the notes. Since June 30, 2015, $149 million of secured indebtedness was repaid with the proceeds of borrowings under our unsecured revolving credit facility; accordingly, as of September 18, 2015 we had approximately $421 million of secured indebtedness outstanding.</w:t>
      </w:r>
    </w:p>
    <w:p>
      <w:pPr>
        <w:spacing w:after="0" w:line="19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40"/>
        <w:spacing w:after="0" w:line="264" w:lineRule="auto"/>
        <w:rPr>
          <w:sz w:val="20"/>
          <w:szCs w:val="20"/>
          <w:color w:val="auto"/>
        </w:rPr>
      </w:pPr>
      <w:r>
        <w:rPr>
          <w:rFonts w:ascii="Arial" w:cs="Arial" w:eastAsia="Arial" w:hAnsi="Arial"/>
          <w:sz w:val="18"/>
          <w:szCs w:val="18"/>
          <w:color w:val="auto"/>
        </w:rPr>
        <w:t>We intend to use the net proceeds from this offering to pay down the outstanding balance under our revolving credit facility and for general corporate purposes. See “Use of Proceeds” on page S-8 for more information.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4400"/>
        <w:spacing w:after="0" w:line="286" w:lineRule="auto"/>
        <w:rPr>
          <w:sz w:val="20"/>
          <w:szCs w:val="20"/>
          <w:color w:val="auto"/>
        </w:rPr>
      </w:pPr>
      <w:r>
        <w:rPr>
          <w:rFonts w:ascii="Arial" w:cs="Arial" w:eastAsia="Arial" w:hAnsi="Arial"/>
          <w:sz w:val="16"/>
          <w:szCs w:val="16"/>
          <w:color w:val="auto"/>
        </w:rPr>
        <w:t>(1) 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27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7027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line="285" w:lineRule="auto"/>
        <w:rPr>
          <w:sz w:val="20"/>
          <w:szCs w:val="20"/>
          <w:color w:val="auto"/>
        </w:rPr>
      </w:pPr>
      <w:r>
        <w:rPr>
          <w:rFonts w:ascii="Arial" w:cs="Arial" w:eastAsia="Arial" w:hAnsi="Arial"/>
          <w:sz w:val="16"/>
          <w:szCs w:val="16"/>
          <w:color w:val="auto"/>
        </w:rPr>
        <w:t xml:space="preserve">(2)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202" w:lineRule="exact"/>
        <w:rPr>
          <w:sz w:val="20"/>
          <w:szCs w:val="20"/>
          <w:color w:val="auto"/>
        </w:rPr>
      </w:pPr>
    </w:p>
    <w:p>
      <w:pPr>
        <w:ind w:left="4400" w:right="20"/>
        <w:spacing w:after="0" w:line="300" w:lineRule="auto"/>
        <w:rPr>
          <w:sz w:val="20"/>
          <w:szCs w:val="20"/>
          <w:color w:val="auto"/>
        </w:rPr>
      </w:pPr>
      <w:r>
        <w:rPr>
          <w:rFonts w:ascii="Arial" w:cs="Arial" w:eastAsia="Arial" w:hAnsi="Arial"/>
          <w:sz w:val="16"/>
          <w:szCs w:val="16"/>
          <w:color w:val="auto"/>
        </w:rPr>
        <w:t>(3)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200" w:lineRule="exact"/>
        <w:rPr>
          <w:sz w:val="20"/>
          <w:szCs w:val="20"/>
          <w:color w:val="auto"/>
        </w:rPr>
      </w:pPr>
    </w:p>
    <w:p>
      <w:pPr>
        <w:spacing w:after="0" w:line="211" w:lineRule="exact"/>
        <w:rPr>
          <w:sz w:val="20"/>
          <w:szCs w:val="20"/>
          <w:color w:val="auto"/>
        </w:rPr>
      </w:pPr>
    </w:p>
    <w:p>
      <w:pPr>
        <w:jc w:val="both"/>
        <w:ind w:left="4400" w:right="60"/>
        <w:spacing w:after="0" w:line="264" w:lineRule="auto"/>
        <w:rPr>
          <w:sz w:val="20"/>
          <w:szCs w:val="20"/>
          <w:color w:val="auto"/>
        </w:rPr>
      </w:pPr>
      <w:r>
        <w:rPr>
          <w:rFonts w:ascii="Arial" w:cs="Arial" w:eastAsia="Arial" w:hAnsi="Arial"/>
          <w:sz w:val="18"/>
          <w:szCs w:val="18"/>
          <w:color w:val="auto"/>
        </w:rPr>
        <w:t>(4) we, together with our subsidiaries, will maintain an Unencumbered Total Asset Value in an amount not less than 150% of the aggregate outstanding principal amount of all of our and our subsidiaries’ unsecured Debt, taken as a whole.</w:t>
      </w:r>
    </w:p>
    <w:p>
      <w:pPr>
        <w:sectPr>
          <w:pgSz w:w="11900" w:h="16838" w:orient="portrait"/>
          <w:cols w:equalWidth="0" w:num="1">
            <w:col w:w="11260"/>
          </w:cols>
          <w:pgMar w:left="240" w:top="459" w:right="39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notes will be redeemable at any time at our option, in whole or in part. If the notes are redeemed before December 15, 2020 (one month prior to the maturity date), the redemption price will be equal to the greater of (1) 100% of the principal amount of the notes being redeemed, or (2) the sum of the</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43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3743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80"/>
        <w:spacing w:after="0" w:line="255" w:lineRule="auto"/>
        <w:rPr>
          <w:sz w:val="20"/>
          <w:szCs w:val="20"/>
          <w:color w:val="auto"/>
        </w:rPr>
      </w:pPr>
      <w:r>
        <w:rPr>
          <w:rFonts w:ascii="Arial" w:cs="Arial" w:eastAsia="Arial" w:hAnsi="Arial"/>
          <w:sz w:val="18"/>
          <w:szCs w:val="18"/>
          <w:color w:val="auto"/>
        </w:rPr>
        <w:t>present values of the remaining scheduled payments of principal and interest thereon, discounted to the redemption date on a semi-annual basis at the Adjusted Treasury Rate plus 20 basis points (0.20%), plus, in each case, accrued and unpaid interest thereon to, but excluding, the redemption date. If the notes are redeemed on or after December 15, 2020 (one month prior to the maturity date), the redemption price will be equal to 100% of the principal amount of the notes being redeemed plus accrued and unpaid interest thereon to, but excluding, the redemption date.</w:t>
      </w:r>
    </w:p>
    <w:p>
      <w:pPr>
        <w:spacing w:after="0" w:line="23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See “Description of Notes — Optional Redemption” for more information.</w:t>
      </w:r>
    </w:p>
    <w:p>
      <w:pPr>
        <w:sectPr>
          <w:pgSz w:w="11900" w:h="16838" w:orient="portrait"/>
          <w:cols w:equalWidth="0" w:num="1">
            <w:col w:w="11240"/>
          </w:cols>
          <w:pgMar w:left="240" w:top="459" w:right="41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80"/>
        <w:spacing w:after="0" w:line="289" w:lineRule="auto"/>
        <w:rPr>
          <w:sz w:val="20"/>
          <w:szCs w:val="20"/>
          <w:color w:val="auto"/>
        </w:rPr>
      </w:pPr>
      <w:r>
        <w:rPr>
          <w:rFonts w:ascii="Arial" w:cs="Arial" w:eastAsia="Arial" w:hAnsi="Arial"/>
          <w:sz w:val="16"/>
          <w:szCs w:val="16"/>
          <w:color w:val="auto"/>
        </w:rPr>
        <w:t>Investing in the notes involves risks. Please review the risk factors discussed beginning on page S-6 of this prospectus supplement, on page 3 of the accompanying prospectus and in our Annual Report on Form 10-K for the year ended December 31, 2014, filed with the SEC on February 10, 2015,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47 of the accompanying prospectus.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2014 filed with the SEC on February 10, 2015 before you decide to purchase the notes. The risks and uncertainties described below and in the incorporated Form 10-K for the year ended December 31, 2014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claims of our subsidiaries’ creditors and our subsidiaries’ preferred equity holders.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June 30, 2015, our subsidiaries had approximately $437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2015, we had approximately $569 million (excluding net unamortized premium) of secured debt outstanding, all of which was effectively senior to the notes to the extent of the value of the securing assets. Since June 30, 2015, $149 million of secured indebtedness was repaid with the proceeds of borrowings under our unsecured revolving credit facility; accordingly, as of September 18, 2015 we had approximately $421 million of secured indebtedness outstanding.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net proceeds to us from the issuance and sale of the notes offered by this prospectus supplement are estimated to be approximately $247.4 million after deducting the underwriting discount and other estimated expenses of this offering payable by us. We intend to use these net proceeds to pay down the outstanding balance under our revolving credit facility and for general corporate purposes. Pending application of the net proceeds, we may invest the net proceeds in short-term income-producing investments.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$600 million revolving credit facility matures on April 21, 2017, subject to a one-year extension at our option. LIBOR loans outstanding under our revolving credit facility bear interest at seven day, one month, three month or six month LIBOR, at our election, plus a spread of 90 basis points, subject to adjustment based on our credit rating. As of June 30, 2015, we had $107 million outstanding under our revolving credit facility ($250 million as of September 18, 2015).</w:t>
      </w:r>
    </w:p>
    <w:p>
      <w:pPr>
        <w:spacing w:after="0" w:line="18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Affiliates of certain of the underwriters are lenders under our revolving credit facility and will receive a pro rata portion of the net proceeds used to repay amounts outstanding under our revolving credit facility. See “Underwriting (Conflicts of Interest) — Conflicts of Interest.”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$250 million of our 2.55% notes maturing on January 15, 2021, which may be redeemed prior to that date in accordance with their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will pay interest on the notes semi-annually in arrears on January 15 and July 15 of each year, beginning January 15, 2016, to the registered holders of the notes on the preceding January 1 and July 1.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ind w:right="300" w:firstLine="456"/>
        <w:spacing w:after="0" w:line="273" w:lineRule="auto"/>
        <w:rPr>
          <w:sz w:val="20"/>
          <w:szCs w:val="20"/>
          <w:color w:val="auto"/>
        </w:rPr>
      </w:pPr>
      <w:r>
        <w:rPr>
          <w:rFonts w:ascii="Arial" w:cs="Arial" w:eastAsia="Arial" w:hAnsi="Arial"/>
          <w:sz w:val="17"/>
          <w:szCs w:val="17"/>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June 30, 2015, we had outstanding approximately $569 million (excluding net unamortized premium) of secured indebtedness collateralized by all or parts of 15 properties, which ranks senior to the notes to the extent of securing collateral (approximately $422 million of this amount, which was issued by our subsidiaries, will also be structurally senior to the notes), approximately $15 million of unsecured indebtedness issued by our subsidiaries, which will be structurally senior to the notes, and approximately $1,876 million of unsecured indebtedness (excluding net unamortized discount), which will rank equally. Since June 30, 2015, $149 million of secured indebtedness was repaid with the proceeds of borrowings under our unsecured revolving credit facility; accordingly, as of September 18, 2015 we had approximately $421 million of secured indebtedness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will be redeemable at any time at our option, in whole or in part. If the notes are redeemed before December 15, 2020 (the “Par Call Date”), the redemption price will be equal to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 redemption date on a semi-annual basis (assuming a 360-day year consisting of twelve 30-day months) at the Adjusted Treasury Rate (as defined below) plus 20 basis points (0.20%),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a Primary Treasury Dealer (as defined below) selected by Wells Fargo Securities, LLC, (2) J.P. Morgan Securities LLC and Merrill Lynch, Pierce, Fenner &amp; Smith Incorporated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(3) any two other Primary Treasury Dealers selected by us.</w:t>
      </w:r>
    </w:p>
    <w:p>
      <w:pPr>
        <w:spacing w:after="0" w:line="18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6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purposes of this limitation, the amount of obligations under capital leases shown as a liability on our consolidated balance sheet shall be deducted from Debt and from Total Assets.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will provide that we will, and will cause each of our subsidiaries to, maintain insurance with financially sound and reputable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4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“Unencumbered Total Asset Value”</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225" w:lineRule="exact"/>
        <w:rPr>
          <w:sz w:val="20"/>
          <w:szCs w:val="20"/>
          <w:color w:val="auto"/>
        </w:rPr>
      </w:pPr>
    </w:p>
    <w:p>
      <w:pPr>
        <w:ind w:right="160" w:firstLine="464"/>
        <w:spacing w:after="0" w:line="277"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320" w:firstLine="464"/>
        <w:spacing w:after="0" w:line="277"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right="40" w:firstLine="464"/>
        <w:spacing w:after="0" w:line="264"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us and the trustee by the holders of at least 25% in aggregate principal amount of the outstanding debt securities of the series.</w:t>
      </w:r>
    </w:p>
    <w:p>
      <w:pPr>
        <w:spacing w:after="0" w:line="236" w:lineRule="exact"/>
        <w:rPr>
          <w:rFonts w:ascii="Arial" w:cs="Arial" w:eastAsia="Arial" w:hAnsi="Arial"/>
          <w:sz w:val="17"/>
          <w:szCs w:val="17"/>
          <w:color w:val="auto"/>
        </w:rPr>
      </w:pPr>
    </w:p>
    <w:p>
      <w:pPr>
        <w:ind w:right="60" w:firstLine="464"/>
        <w:spacing w:after="0" w:line="276"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66"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236" w:lineRule="exact"/>
        <w:rPr>
          <w:rFonts w:ascii="Arial" w:cs="Arial" w:eastAsia="Arial" w:hAnsi="Arial"/>
          <w:sz w:val="17"/>
          <w:szCs w:val="17"/>
          <w:color w:val="auto"/>
        </w:rPr>
      </w:pPr>
    </w:p>
    <w:p>
      <w:pPr>
        <w:ind w:left="1160" w:hanging="239"/>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225"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921"/>
        <w:spacing w:after="0" w:line="277" w:lineRule="auto"/>
        <w:tabs>
          <w:tab w:leader="none" w:pos="1168"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69" w:lineRule="exact"/>
        <w:rPr>
          <w:sz w:val="20"/>
          <w:szCs w:val="20"/>
          <w:color w:val="auto"/>
        </w:rPr>
      </w:pPr>
    </w:p>
    <w:p>
      <w:pPr>
        <w:ind w:right="200" w:firstLine="456"/>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28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in this offering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165" w:lineRule="exact"/>
        <w:rPr>
          <w:sz w:val="20"/>
          <w:szCs w:val="20"/>
          <w:color w:val="auto"/>
        </w:rPr>
      </w:pPr>
    </w:p>
    <w:p>
      <w:pPr>
        <w:ind w:right="580" w:firstLine="456"/>
        <w:spacing w:after="0" w:line="313"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 received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its “issue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the notes are treated as issued with OID under the rules described above, a U.S. Holder generally will be required to include such OID in income over the term of the notes in accordance with a constant-yield-to-maturity method,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19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Unless a non-recognition provision applies, upon the sale,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0"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8"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Subject to the rules described below under “— Information Reporting and Backup Withholding” and “— FATCA Regime,”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Non-U.S. Holder generally will not be subject to U.S. federal income or withholding tax on payments of interest on a note, provided that:</w:t>
      </w:r>
    </w:p>
    <w:p>
      <w:pPr>
        <w:spacing w:after="0" w:line="1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53"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900" w:right="6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6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900" w:right="60" w:hanging="325"/>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51" w:lineRule="exact"/>
        <w:rPr>
          <w:rFonts w:ascii="Arial" w:cs="Arial" w:eastAsia="Arial" w:hAnsi="Arial"/>
          <w:sz w:val="17"/>
          <w:szCs w:val="17"/>
          <w:color w:val="auto"/>
        </w:rPr>
      </w:pPr>
    </w:p>
    <w:p>
      <w:pPr>
        <w:ind w:left="900" w:right="4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(commonly referred to as “FATCA”),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withholding tax will be imposed in certain circumstances on payments of (i) interest on the notes and (ii) beginning on or after January 1, 2019, gross proceeds from the sale or other disposition of the notes (which includes redemption and retirement of the notes).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w:t>
      </w:r>
    </w:p>
    <w:p>
      <w:pPr>
        <w:spacing w:after="0" w:line="5" w:lineRule="exact"/>
        <w:rPr>
          <w:sz w:val="20"/>
          <w:szCs w:val="20"/>
          <w:color w:val="auto"/>
        </w:rPr>
      </w:pPr>
    </w:p>
    <w:p>
      <w:pPr>
        <w:ind w:right="20" w:firstLine="8"/>
        <w:spacing w:after="0" w:line="271" w:lineRule="auto"/>
        <w:tabs>
          <w:tab w:leader="none" w:pos="2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intend to offer the notes through the underwriters named below, for whom Wells Fargo Securities, LLC, J.P. Morgan Securities LLC and Merrill Lynch, Pierce, Fenner &amp; Smith Incorporated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Wells Fargo</w:t>
            </w:r>
          </w:p>
        </w:tc>
        <w:tc>
          <w:tcPr>
            <w:tcW w:w="39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Securities, LLC</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shd w:val="clear" w:color="auto" w:fill="CCEEFF"/>
          </w:tcPr>
          <w:p>
            <w:pPr>
              <w:spacing w:after="0"/>
              <w:rPr>
                <w:sz w:val="21"/>
                <w:szCs w:val="21"/>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Incorporated</w:t>
            </w: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55,000,000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BBVA Securities Inc.</w:t>
            </w:r>
          </w:p>
        </w:tc>
        <w:tc>
          <w:tcPr>
            <w:tcW w:w="1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780" w:type="dxa"/>
            <w:vAlign w:val="bottom"/>
          </w:tcPr>
          <w:p>
            <w:pPr>
              <w:spacing w:after="0"/>
              <w:rPr>
                <w:sz w:val="6"/>
                <w:szCs w:val="6"/>
                <w:color w:val="auto"/>
              </w:rPr>
            </w:pPr>
          </w:p>
        </w:tc>
        <w:tc>
          <w:tcPr>
            <w:tcW w:w="39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notes will be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0.350% of the principal amount of the notes. The underwriters may allow, and the dealers may reallow, a discount not in excess of 0.250% of the principal amount of the notes on sales to other dealers. After the initial offering, the public offering price and concession to dealers may be changed.</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4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Paid by Us</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3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31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Bancorp Investments, Inc., one of the underwriters, is an affiliate of the trustee under the indenture governing the notes.</w:t>
      </w:r>
    </w:p>
    <w:p>
      <w:pPr>
        <w:spacing w:after="0" w:line="18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no offer of notes may be made to the public in that Relevant Member State other than:</w:t>
      </w:r>
    </w:p>
    <w:p>
      <w:pPr>
        <w:spacing w:after="0" w:line="7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nominated by the issuer for any such offer;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provided that no such offer of notes shall require us or any underwriter to publish a prospectus pursuant to Article 3 of the Prospectus Directive.</w:t>
      </w:r>
    </w:p>
    <w:p>
      <w:pPr>
        <w:spacing w:after="0" w:line="23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notes or to whom any offer is made will be deemed to have represented, acknowledged and agreed that it is a “qualified investor” within the meaning of the law in that Relevant Member State implementing Article 2(1)(e) of the Prospectus Directive. In the case of any notes being offered to a financial intermediary as that term is used in Article 3(2) of the Prospectus Directive, each such financial intermediary will be deemed to have represented, acknowledged and agreed that the notes acquired by it in the offer have not been acquired on a non-discretionary basis on behalf of, nor have they been acquired with a view to their offer or resale to, persons in circumstances which may give rise to an offer of any notes to the public other than their offer or resale in a Relevant Member State to qualified investors as so defined or in circumstances in which the prior consent of the representatives has been obtained to each such proposed offer or resale.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representatives and their affiliates will rely upon the truth and accuracy of the foregoing representations, acknowledgements and agreements.</w:t>
      </w:r>
    </w:p>
    <w:p>
      <w:pPr>
        <w:spacing w:after="0" w:line="24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is not a prospectus for purposes of the Prospectus Directive. 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they authorize, the making of any offer of notes in circumstances in which an obligation arises for us or the underwriters to publish a prospectus for such offer.</w:t>
      </w:r>
    </w:p>
    <w:p>
      <w:pPr>
        <w:spacing w:after="0" w:line="18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(as amended, including by Directive 2010/73/EU) and includes any relevant implementing measure in the Relevant Member State.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(i) who have professional experience in matters relating to investments falling within Article 19 (5) of the Financial Services and Markets Act 2000 (Financial Promotion) Order 2005, as amended (the “Order”) and/or (ii) who are persons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only engaged in with, relevant persons.</w:t>
      </w:r>
    </w:p>
    <w:p>
      <w:pPr>
        <w:spacing w:after="0" w:line="193"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No invitation or inducement to engage in investment activity (within the meaning of Section 21 of the Financial Services and Markets Act 2000 (“FSMA”)) received by the underwriters in connection with the issue or sale of the notes may be communicated or caused to be communicated except in circumstances in which Section 21(1) of the FSMA does not apply to the issuer. All applicable provisions of the FSMA must be complied with respect to anything done or to be done by the underwriters in relation to any notes in, from or otherwise involving the United Kingdom.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audited consolidated financial statements, schedules and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5"/>
          <w:szCs w:val="15"/>
          <w:color w:val="auto"/>
        </w:rPr>
        <w:t>LLP</w:t>
      </w:r>
      <w:r>
        <w:rPr>
          <w:rFonts w:ascii="Arial" w:cs="Arial" w:eastAsia="Arial" w:hAnsi="Arial"/>
          <w:sz w:val="18"/>
          <w:szCs w:val="18"/>
          <w:color w:val="auto"/>
        </w:rPr>
        <w:t>, New York, New York, will act as counsel to the underwriters.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Investing in our securities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3"/>
              </w:rPr>
              <w:t>Plan of Distribution</w:t>
            </w:r>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Legal Matters</w:t>
            </w:r>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Experts</w:t>
            </w:r>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Where You Can Find More Information</w:t>
            </w:r>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160"/>
        <w:spacing w:after="0"/>
        <w:tabs>
          <w:tab w:leader="none" w:pos="890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tabs>
          <w:tab w:leader="none" w:pos="8640" w:val="left"/>
          <w:tab w:leader="none" w:pos="9240" w:val="left"/>
          <w:tab w:leader="none" w:pos="9840" w:val="left"/>
          <w:tab w:leader="none" w:pos="10420" w:val="left"/>
          <w:tab w:leader="none" w:pos="110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5660" w:right="2000" w:hanging="5206"/>
        <w:spacing w:after="0" w:line="449" w:lineRule="auto"/>
        <w:tabs>
          <w:tab w:leader="none" w:pos="8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90" w:lineRule="auto"/>
        <w:tabs>
          <w:tab w:leader="none" w:pos="70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 for relief against us or any of our significant subsidiaries in an involuntary case, 10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24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20"/>
        <w:spacing w:after="0"/>
        <w:rPr>
          <w:sz w:val="20"/>
          <w:szCs w:val="20"/>
          <w:color w:val="auto"/>
        </w:rPr>
      </w:pPr>
      <w:r>
        <w:rPr>
          <w:rFonts w:ascii="Arial" w:cs="Arial" w:eastAsia="Arial" w:hAnsi="Arial"/>
          <w:sz w:val="25"/>
          <w:szCs w:val="25"/>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492125</wp:posOffset>
            </wp:positionV>
            <wp:extent cx="2255520" cy="909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2.55% Notes due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560705</wp:posOffset>
            </wp:positionV>
            <wp:extent cx="1517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250190</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220"/>
        <w:spacing w:after="0"/>
        <w:rPr>
          <w:sz w:val="20"/>
          <w:szCs w:val="20"/>
          <w:color w:val="auto"/>
        </w:rPr>
      </w:pPr>
      <w:r>
        <w:rPr>
          <w:rFonts w:ascii="Arial" w:cs="Arial" w:eastAsia="Arial" w:hAnsi="Arial"/>
          <w:sz w:val="27"/>
          <w:szCs w:val="27"/>
          <w:b w:val="1"/>
          <w:bCs w:val="1"/>
          <w:color w:val="auto"/>
        </w:rPr>
        <w:t>Wells Fargo Securities</w:t>
      </w:r>
    </w:p>
    <w:p>
      <w:pPr>
        <w:spacing w:after="0" w:line="135"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Capital One Securities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PNC Capital Markets LLC</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Regions Securities LLC</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SunTrust Robinson Humphrey</w:t>
      </w:r>
    </w:p>
    <w:p>
      <w:pPr>
        <w:spacing w:after="0" w:line="133"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TD Securities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US Bancorp</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BBVA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396875</wp:posOffset>
            </wp:positionV>
            <wp:extent cx="15176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September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
      <w:numFmt w:val="bullet"/>
      <w:start w:val="1"/>
    </w:lvl>
    <w:lvl w:ilvl="1">
      <w:lvlJc w:val="left"/>
      <w:lvlText w:val="•"/>
      <w:numFmt w:val="bullet"/>
      <w:start w:val="1"/>
    </w:lvl>
  </w:abstractNum>
  <w:abstractNum w:abstractNumId="3">
    <w:nsid w:val="684A481A"/>
    <w:multiLevelType w:val="hybridMultilevel"/>
    <w:lvl w:ilvl="0">
      <w:lvlJc w:val="left"/>
      <w:lvlText w:val="(%1)"/>
      <w:numFmt w:val="lowerLetter"/>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1."/>
      <w:numFmt w:val="decimal"/>
      <w:start w:val="1"/>
    </w:lvl>
    <w:lvl w:ilvl="1">
      <w:lvlJc w:val="left"/>
      <w:lvlText w:val="(%2)"/>
      <w:numFmt w:val="lowerLetter"/>
      <w:start w:val="1"/>
    </w:lvl>
  </w:abstractNum>
  <w:abstractNum w:abstractNumId="7">
    <w:nsid w:val="1BA026FA"/>
    <w:multiLevelType w:val="hybridMultilevel"/>
    <w:lvl w:ilvl="0">
      <w:lvlJc w:val="left"/>
      <w:lvlText w:val="%1."/>
      <w:numFmt w:val="decimal"/>
      <w:start w:val="6"/>
    </w:lvl>
    <w:lvl w:ilvl="1">
      <w:lvlJc w:val="left"/>
      <w:lvlText w:val="(%2)"/>
      <w:numFmt w:val="lowerLetter"/>
      <w:start w:val="1"/>
    </w:lvl>
  </w:abstractNum>
  <w:abstractNum w:abstractNumId="8">
    <w:nsid w:val="79A1DEAA"/>
    <w:multiLevelType w:val="hybridMultilevel"/>
    <w:lvl w:ilvl="0">
      <w:lvlJc w:val="left"/>
      <w:lvlText w:val="%1."/>
      <w:numFmt w:val="decimal"/>
      <w:start w:val="7"/>
    </w:lvl>
    <w:lvl w:ilvl="1">
      <w:lvlJc w:val="left"/>
      <w:lvlText w:val="(%2)"/>
      <w:numFmt w:val="lowerLetter"/>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lvl w:ilvl="1">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lowerRoman"/>
      <w:start w:val="2"/>
    </w:lvl>
  </w:abstractNum>
  <w:abstractNum w:abstractNumId="17">
    <w:nsid w:val="275AC794"/>
    <w:multiLevelType w:val="hybridMultilevel"/>
    <w:lvl w:ilvl="0">
      <w:lvlJc w:val="left"/>
      <w:lvlText w:val="%1."/>
      <w:numFmt w:val="upperLetter"/>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1)"/>
      <w:numFmt w:val="lowerLetter"/>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lvl w:ilvl="1">
      <w:lvlJc w:val="left"/>
      <w:lvlText w:val="•"/>
      <w:numFmt w:val="bullet"/>
      <w:start w:val="1"/>
    </w:lvl>
  </w:abstractNum>
  <w:abstractNum w:abstractNumId="33">
    <w:nsid w:val="310C50B3"/>
    <w:multiLevelType w:val="hybridMultilevel"/>
    <w:lvl w:ilvl="0">
      <w:lvlJc w:val="left"/>
      <w:lvlText w:val="•"/>
      <w:numFmt w:val="bullet"/>
      <w:start w:val="1"/>
    </w:lvl>
    <w:lvl w:ilvl="1">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lowerLetter"/>
      <w:start w:val="1"/>
    </w:lvl>
  </w:abstractNum>
  <w:abstractNum w:abstractNumId="41">
    <w:nsid w:val="5DB70AE5"/>
    <w:multiLevelType w:val="hybridMultilevel"/>
    <w:lvl w:ilvl="0">
      <w:lvlJc w:val="left"/>
      <w:lvlText w:val="%1."/>
      <w:numFmt w:val="decimal"/>
      <w:start w:val="5"/>
    </w:lvl>
  </w:abstractNum>
  <w:abstractNum w:abstractNumId="42">
    <w:nsid w:val="100F8FCA"/>
    <w:multiLevelType w:val="hybridMultilevel"/>
    <w:lvl w:ilvl="0">
      <w:lvlJc w:val="left"/>
      <w:lvlText w:val="(%1)"/>
      <w:numFmt w:val="lowerLetter"/>
      <w:start w:val="1"/>
    </w:lvl>
  </w:abstractNum>
  <w:abstractNum w:abstractNumId="43">
    <w:nsid w:val="6590700B"/>
    <w:multiLevelType w:val="hybridMultilevel"/>
    <w:lvl w:ilvl="0">
      <w:lvlJc w:val="left"/>
      <w:lvlText w:val="(%1)"/>
      <w:numFmt w:val="lowerLetter"/>
      <w:start w:val="2"/>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lvl w:ilvl="1">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lvl w:ilvl="1">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lvl w:ilvl="1">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lvl w:ilvl="1">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
      <w:numFmt w:val="bullet"/>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emdash "/>
      <w:numFmt w:val="bullet"/>
      <w:start w:val="1"/>
    </w:lvl>
  </w:abstractNum>
  <w:abstractNum w:abstractNumId="83">
    <w:nsid w:val="3222E7CD"/>
    <w:multiLevelType w:val="hybridMultilevel"/>
    <w:lvl w:ilvl="0">
      <w:lvlJc w:val="left"/>
      <w:lvlText w:val="•"/>
      <w:numFmt w:val="bullet"/>
      <w:start w:val="1"/>
    </w:lvl>
    <w:lvl w:ilvl="1">
      <w:lvlJc w:val="left"/>
      <w:lvlText w:val="•"/>
      <w:numFmt w:val="bullet"/>
      <w:start w:val="1"/>
    </w:lvl>
  </w:abstractNum>
  <w:abstractNum w:abstractNumId="84">
    <w:nsid w:val="74DE0EE3"/>
    <w:multiLevelType w:val="hybridMultilevel"/>
    <w:lvl w:ilvl="0">
      <w:lvlJc w:val="left"/>
      <w:lvlText w:val="(%1)"/>
      <w:numFmt w:val="lowerRoman"/>
      <w:start w:val="2"/>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1)"/>
      <w:numFmt w:val="lowerRoman"/>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2"/>
    </w:lvl>
  </w:abstractNum>
  <w:abstractNum w:abstractNumId="91">
    <w:nsid w:val="CC1016F"/>
    <w:multiLevelType w:val="hybridMultilevel"/>
    <w:lvl w:ilvl="0">
      <w:lvlJc w:val="left"/>
      <w:lvlText w:val="(%1)"/>
      <w:numFmt w:val="decimal"/>
      <w:start w:val="4"/>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2019-12-05T09:48:57Z</dcterms:created>
  <dcterms:modified xsi:type="dcterms:W3CDTF">2019-12-05T09:48:57Z</dcterms:modified>
</cp:coreProperties>
</file>