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59"/>
        <w:spacing w:after="0"/>
        <w:rPr>
          <w:sz w:val="20"/>
          <w:szCs w:val="20"/>
          <w:color w:val="auto"/>
        </w:rPr>
      </w:pPr>
      <w:r>
        <w:rPr>
          <w:rFonts w:ascii="Courier New" w:cs="Courier New" w:eastAsia="Courier New" w:hAnsi="Courier New"/>
          <w:sz w:val="17"/>
          <w:szCs w:val="17"/>
          <w:color w:val="auto"/>
        </w:rPr>
        <w:t>Pursuant to Rule 424(b)(2)</w:t>
      </w:r>
    </w:p>
    <w:p>
      <w:pPr>
        <w:spacing w:after="0" w:line="4" w:lineRule="exact"/>
        <w:rPr>
          <w:sz w:val="24"/>
          <w:szCs w:val="24"/>
          <w:color w:val="auto"/>
        </w:rPr>
      </w:pPr>
    </w:p>
    <w:p>
      <w:pPr>
        <w:jc w:val="right"/>
        <w:ind w:right="2059"/>
        <w:spacing w:after="0"/>
        <w:rPr>
          <w:sz w:val="20"/>
          <w:szCs w:val="20"/>
          <w:color w:val="auto"/>
        </w:rPr>
      </w:pPr>
      <w:r>
        <w:rPr>
          <w:rFonts w:ascii="Courier New" w:cs="Courier New" w:eastAsia="Courier New" w:hAnsi="Courier New"/>
          <w:sz w:val="17"/>
          <w:szCs w:val="17"/>
          <w:color w:val="auto"/>
        </w:rPr>
        <w:t>Registration No. 33-63687</w:t>
      </w:r>
    </w:p>
    <w:p>
      <w:pPr>
        <w:spacing w:after="0" w:line="20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PROSPECTUS SUPPLEMENT TO PROSPECTUS DATED NOVEMBER 7, 1995</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4,000,000 SHARES</w:t>
      </w:r>
    </w:p>
    <w:p>
      <w:pPr>
        <w:spacing w:after="0" w:line="396"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200"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7.95% SERIES A CUMULATIVE REDEEMABLE PREFERRED SHARES</w:t>
      </w:r>
    </w:p>
    <w:p>
      <w:pPr>
        <w:spacing w:after="0" w:line="4"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(NO PAR VALUE PER SHARE)</w:t>
      </w:r>
    </w:p>
    <w:p>
      <w:pPr>
        <w:spacing w:after="0" w:line="4" w:lineRule="exact"/>
        <w:rPr>
          <w:sz w:val="24"/>
          <w:szCs w:val="24"/>
          <w:color w:val="auto"/>
        </w:rPr>
      </w:pPr>
    </w:p>
    <w:p>
      <w:pPr>
        <w:ind w:left="1940"/>
        <w:spacing w:after="0"/>
        <w:rPr>
          <w:sz w:val="20"/>
          <w:szCs w:val="20"/>
          <w:color w:val="auto"/>
        </w:rPr>
      </w:pPr>
      <w:r>
        <w:rPr>
          <w:rFonts w:ascii="Courier New" w:cs="Courier New" w:eastAsia="Courier New" w:hAnsi="Courier New"/>
          <w:sz w:val="17"/>
          <w:szCs w:val="17"/>
          <w:color w:val="auto"/>
        </w:rPr>
        <w:t>(LIQUIDATION PREFERENCE $25.00 PER SHARE)</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Federal Realty Investment Trust (the "Trust") is an equity real estate investment trust specializing in the ownership, management, development and redevelopment of prime retail properties. At September 30, 1997, the Trust owned 94 retail properties, consisting of community and neighborhood shopping centers and main street retail properties with a total of 13.5 million square feet.</w:t>
      </w:r>
    </w:p>
    <w:p>
      <w:pPr>
        <w:spacing w:after="0" w:line="199" w:lineRule="exact"/>
        <w:rPr>
          <w:sz w:val="24"/>
          <w:szCs w:val="24"/>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Dividends on the Trust's Series A Cumulative Redeemable Preferred Shares (the "Series A Preferred Shares"), offered by this Prospectus Supplement (the "Offering") will be cumulative from the date of original issue and will be payable quarterly in arrears on the last day of January, April, July and October of each year (or, if such day is not a business day, the next business day), commencing on October 31, 1997, at the rate of 7.95% of the liquidation preference per annum. See "Description of Series A Preferred Shares-- Dividends."</w:t>
      </w:r>
    </w:p>
    <w:p>
      <w:pPr>
        <w:spacing w:after="0" w:line="199" w:lineRule="exact"/>
        <w:rPr>
          <w:sz w:val="24"/>
          <w:szCs w:val="24"/>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Series A Preferred Shares are not redeemable prior to October 6, 2002. On and after such date, the Series A Preferred Shares may be redeemed, in whole or in part, at the option of the Trust, at a redemption price of $25.00 per share, plus all accrued and unpaid dividends. The Series A Preferred Shares will not be subject to any sinking fund or mandatory redemption and will not be convertible into any other securities of the Trust. See "Description of Series A Preferred Shares--Redemption."</w:t>
      </w:r>
    </w:p>
    <w:p>
      <w:pPr>
        <w:spacing w:after="0" w:line="199" w:lineRule="exact"/>
        <w:rPr>
          <w:sz w:val="24"/>
          <w:szCs w:val="24"/>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The Trust intends to file an application to list the Series A Preferred Shares on the New York Stock Exchange, although there can be no assurance that the Series A Preferred Shares will be approved for listing.</w:t>
      </w:r>
    </w:p>
    <w:p>
      <w:pPr>
        <w:spacing w:after="0" w:line="199"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THESE SECURITIES HAVE NOT BEEN APPROVED OR DISAPPROVED BY THE SECURITIES AND</w:t>
      </w:r>
    </w:p>
    <w:p>
      <w:pPr>
        <w:spacing w:after="0" w:line="5" w:lineRule="exact"/>
        <w:rPr>
          <w:sz w:val="24"/>
          <w:szCs w:val="24"/>
          <w:color w:val="auto"/>
        </w:rPr>
      </w:pPr>
    </w:p>
    <w:p>
      <w:pPr>
        <w:ind w:left="420" w:right="2459" w:hanging="203"/>
        <w:spacing w:after="0" w:line="244" w:lineRule="auto"/>
        <w:rPr>
          <w:sz w:val="20"/>
          <w:szCs w:val="20"/>
          <w:color w:val="auto"/>
        </w:rPr>
      </w:pPr>
      <w:r>
        <w:rPr>
          <w:rFonts w:ascii="Courier New" w:cs="Courier New" w:eastAsia="Courier New" w:hAnsi="Courier New"/>
          <w:sz w:val="17"/>
          <w:szCs w:val="17"/>
          <w:color w:val="auto"/>
        </w:rPr>
        <w:t>EXCHANGE</w:t>
      </w:r>
      <w:r>
        <w:rPr>
          <w:sz w:val="20"/>
          <w:szCs w:val="20"/>
          <w:color w:val="auto"/>
        </w:rPr>
        <w:t xml:space="preserve"> </w:t>
      </w:r>
      <w:r>
        <w:rPr>
          <w:rFonts w:ascii="Courier New" w:cs="Courier New" w:eastAsia="Courier New" w:hAnsi="Courier New"/>
          <w:sz w:val="17"/>
          <w:szCs w:val="17"/>
          <w:color w:val="auto"/>
        </w:rPr>
        <w:t>COMMISSION OR ANY STATE SECURITIES COMMISSION NOR HAS THE SECURITIES AND EXCHANGE COMMISSION OR ANY STATE SECURITIES COMMISSION PASSED UPON THE ACCURACY OR ADEQUACY OF THIS PROSPECTUS SUPPLEMENT OR THE PROSPECTUS TO WHICH IT RELATES. ANY REPRESENTATION TO THE CONTRARY IS A CRIMINAL OFFENSE.</w:t>
      </w:r>
    </w:p>
    <w:p>
      <w:pPr>
        <w:spacing w:after="0" w:line="197"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392" w:lineRule="exact"/>
        <w:rPr>
          <w:sz w:val="24"/>
          <w:szCs w:val="24"/>
          <w:color w:val="auto"/>
        </w:rPr>
      </w:pPr>
    </w:p>
    <w:p>
      <w:pPr>
        <w:ind w:left="5620"/>
        <w:spacing w:after="0"/>
        <w:rPr>
          <w:sz w:val="20"/>
          <w:szCs w:val="20"/>
          <w:color w:val="auto"/>
        </w:rPr>
      </w:pPr>
      <w:r>
        <w:rPr>
          <w:rFonts w:ascii="Courier New" w:cs="Courier New" w:eastAsia="Courier New" w:hAnsi="Courier New"/>
          <w:sz w:val="17"/>
          <w:szCs w:val="17"/>
          <w:color w:val="auto"/>
        </w:rPr>
        <w:t>UNDERWRITING</w:t>
      </w:r>
    </w:p>
    <w:p>
      <w:pPr>
        <w:spacing w:after="0" w:line="4" w:lineRule="exact"/>
        <w:rPr>
          <w:sz w:val="24"/>
          <w:szCs w:val="24"/>
          <w:color w:val="auto"/>
        </w:rPr>
      </w:pPr>
    </w:p>
    <w:p>
      <w:pPr>
        <w:ind w:left="3780"/>
        <w:spacing w:after="0"/>
        <w:tabs>
          <w:tab w:leader="none" w:pos="5500" w:val="left"/>
          <w:tab w:leader="none" w:pos="7020" w:val="left"/>
        </w:tabs>
        <w:rPr>
          <w:sz w:val="20"/>
          <w:szCs w:val="20"/>
          <w:color w:val="auto"/>
        </w:rPr>
      </w:pPr>
      <w:r>
        <w:rPr>
          <w:rFonts w:ascii="Courier New" w:cs="Courier New" w:eastAsia="Courier New" w:hAnsi="Courier New"/>
          <w:sz w:val="17"/>
          <w:szCs w:val="17"/>
          <w:color w:val="auto"/>
        </w:rPr>
        <w:t>INITIAL PUBLIC</w:t>
      </w:r>
      <w:r>
        <w:rPr>
          <w:sz w:val="20"/>
          <w:szCs w:val="20"/>
          <w:color w:val="auto"/>
        </w:rPr>
        <w:tab/>
      </w:r>
      <w:r>
        <w:rPr>
          <w:rFonts w:ascii="Courier New" w:cs="Courier New" w:eastAsia="Courier New" w:hAnsi="Courier New"/>
          <w:sz w:val="17"/>
          <w:szCs w:val="17"/>
          <w:color w:val="auto"/>
        </w:rPr>
        <w:t>DISCOUNTS AND</w:t>
      </w:r>
      <w:r>
        <w:rPr>
          <w:sz w:val="20"/>
          <w:szCs w:val="20"/>
          <w:color w:val="auto"/>
        </w:rPr>
        <w:tab/>
      </w:r>
      <w:r>
        <w:rPr>
          <w:rFonts w:ascii="Courier New" w:cs="Courier New" w:eastAsia="Courier New" w:hAnsi="Courier New"/>
          <w:sz w:val="16"/>
          <w:szCs w:val="16"/>
          <w:color w:val="auto"/>
        </w:rPr>
        <w:t>PROCEEDS TO</w:t>
      </w:r>
    </w:p>
    <w:p>
      <w:pPr>
        <w:spacing w:after="0" w:line="4" w:lineRule="exact"/>
        <w:rPr>
          <w:sz w:val="24"/>
          <w:szCs w:val="24"/>
          <w:color w:val="auto"/>
        </w:rPr>
      </w:pPr>
    </w:p>
    <w:p>
      <w:pPr>
        <w:ind w:left="3680"/>
        <w:spacing w:after="0"/>
        <w:tabs>
          <w:tab w:leader="none" w:pos="7120" w:val="left"/>
        </w:tabs>
        <w:rPr>
          <w:sz w:val="20"/>
          <w:szCs w:val="20"/>
          <w:color w:val="auto"/>
        </w:rPr>
      </w:pPr>
      <w:r>
        <w:rPr>
          <w:rFonts w:ascii="Courier New" w:cs="Courier New" w:eastAsia="Courier New" w:hAnsi="Courier New"/>
          <w:sz w:val="17"/>
          <w:szCs w:val="17"/>
          <w:color w:val="auto"/>
        </w:rPr>
        <w:t>OFFERING PRICE(1) COMMISSIONS(2)</w:t>
        <w:tab/>
        <w:t>TRUST(3)</w:t>
      </w:r>
    </w:p>
    <w:p>
      <w:pPr>
        <w:spacing w:after="0" w:line="5" w:lineRule="exact"/>
        <w:rPr>
          <w:sz w:val="24"/>
          <w:szCs w:val="24"/>
          <w:color w:val="auto"/>
        </w:rPr>
      </w:pPr>
    </w:p>
    <w:p>
      <w:pPr>
        <w:ind w:left="3680"/>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638" w:right="1440" w:bottom="0" w:gutter="0" w:footer="0" w:header="0"/>
        </w:sect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$25.00</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$100,000,000</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$.7875</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$3,150,000</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$24.2125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$96,850,000</w:t>
      </w:r>
    </w:p>
    <w:p>
      <w:pPr>
        <w:spacing w:after="0" w:line="210" w:lineRule="exact"/>
        <w:rPr>
          <w:sz w:val="24"/>
          <w:szCs w:val="24"/>
          <w:color w:val="auto"/>
        </w:rPr>
      </w:pPr>
    </w:p>
    <w:p>
      <w:pPr>
        <w:sectPr>
          <w:pgSz w:w="11900" w:h="16838" w:orient="portrait"/>
          <w:cols w:equalWidth="0" w:num="4">
            <w:col w:w="3580" w:space="300"/>
            <w:col w:w="1220" w:space="620"/>
            <w:col w:w="1020" w:space="300"/>
            <w:col w:w="3179"/>
          </w:cols>
          <w:pgMar w:left="240" w:top="638"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ind w:left="420" w:hanging="415"/>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Plus accrued dividends, if any, from the date of original issue.</w:t>
      </w:r>
    </w:p>
    <w:p>
      <w:pPr>
        <w:spacing w:after="0" w:line="4" w:lineRule="exact"/>
        <w:rPr>
          <w:rFonts w:ascii="Courier New" w:cs="Courier New" w:eastAsia="Courier New" w:hAnsi="Courier New"/>
          <w:sz w:val="17"/>
          <w:szCs w:val="17"/>
          <w:color w:val="auto"/>
        </w:rPr>
      </w:pPr>
    </w:p>
    <w:p>
      <w:pPr>
        <w:ind w:left="420" w:right="2559" w:hanging="415"/>
        <w:spacing w:after="0" w:line="243"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has agreed to indemnify the Underwriters against certain liabilities, including liabilities under the Securities Act of 1933, as amended. See "Underwriting."</w:t>
      </w:r>
    </w:p>
    <w:p>
      <w:pPr>
        <w:spacing w:after="0" w:line="2" w:lineRule="exact"/>
        <w:rPr>
          <w:rFonts w:ascii="Courier New" w:cs="Courier New" w:eastAsia="Courier New" w:hAnsi="Courier New"/>
          <w:sz w:val="17"/>
          <w:szCs w:val="17"/>
          <w:color w:val="auto"/>
        </w:rPr>
      </w:pPr>
    </w:p>
    <w:p>
      <w:pPr>
        <w:ind w:left="420" w:hanging="415"/>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deducting expenses payable by the Trust estimated at $200,000.</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Series A Preferred Shares offered hereby are offered severally by the Underwriters, subject to receipt and acceptance by them and subject to their right to reject any order in whole or in part. It is expected that the Series A Preferred Shares will be ready for delivery in book-entry form only through the facilities of the Depositary Trust Company in New York, New York, on or about October 6, 1997, against payment therefor in immediately available funds.</w:t>
      </w:r>
    </w:p>
    <w:p>
      <w:pPr>
        <w:sectPr>
          <w:pgSz w:w="11900" w:h="16838" w:orient="portrait"/>
          <w:cols w:equalWidth="0" w:num="1">
            <w:col w:w="10219"/>
          </w:cols>
          <w:pgMar w:left="240" w:top="638" w:right="1440" w:bottom="0" w:gutter="0" w:footer="0" w:header="0"/>
          <w:type w:val="continuous"/>
        </w:sectPr>
      </w:pPr>
    </w:p>
    <w:bookmarkStart w:id="1" w:name="page2"/>
    <w:bookmarkEnd w:id="1"/>
    <w:p>
      <w:pPr>
        <w:spacing w:after="0" w:line="187" w:lineRule="auto"/>
        <w:framePr w:w="1800" w:h="142" w:wrap="auto" w:vAnchor="page" w:hAnchor="page" w:x="6540" w:y="731"/>
        <w:rPr>
          <w:rFonts w:ascii="Courier New" w:cs="Courier New" w:eastAsia="Courier New" w:hAnsi="Courier New"/>
          <w:sz w:val="16"/>
          <w:szCs w:val="16"/>
          <w:color w:val="auto"/>
        </w:rPr>
      </w:pPr>
      <w:r>
        <w:rPr>
          <w:rFonts w:ascii="Courier New" w:cs="Courier New" w:eastAsia="Courier New" w:hAnsi="Courier New"/>
          <w:sz w:val="16"/>
          <w:szCs w:val="16"/>
          <w:color w:val="auto"/>
        </w:rPr>
        <w:t>SMITH BARNEY INC.</w:t>
      </w:r>
    </w:p>
    <w:p>
      <w:pPr>
        <w:spacing w:after="0"/>
        <w:rPr>
          <w:sz w:val="20"/>
          <w:szCs w:val="20"/>
          <w:color w:val="auto"/>
        </w:rPr>
      </w:pPr>
      <w:r>
        <w:rPr>
          <w:rFonts w:ascii="Courier New" w:cs="Courier New" w:eastAsia="Courier New" w:hAnsi="Courier New"/>
          <w:sz w:val="17"/>
          <w:szCs w:val="17"/>
          <w:color w:val="auto"/>
        </w:rPr>
        <w:t>GOLDMAN, SACHS &amp; CO.</w:t>
      </w:r>
    </w:p>
    <w:p>
      <w:pPr>
        <w:spacing w:after="0" w:line="4" w:lineRule="exact"/>
        <w:rPr>
          <w:rFonts w:ascii="Courier New" w:cs="Courier New" w:eastAsia="Courier New" w:hAnsi="Courier New"/>
          <w:sz w:val="16"/>
          <w:szCs w:val="16"/>
          <w:color w:val="auto"/>
        </w:rPr>
      </w:pPr>
    </w:p>
    <w:p>
      <w:pPr>
        <w:jc w:val="center"/>
        <w:ind w:right="2259"/>
        <w:spacing w:after="0"/>
        <w:rPr>
          <w:sz w:val="20"/>
          <w:szCs w:val="20"/>
          <w:color w:val="auto"/>
        </w:rPr>
      </w:pPr>
      <w:r>
        <w:rPr>
          <w:rFonts w:ascii="Courier New" w:cs="Courier New" w:eastAsia="Courier New" w:hAnsi="Courier New"/>
          <w:sz w:val="17"/>
          <w:szCs w:val="17"/>
          <w:color w:val="auto"/>
        </w:rPr>
        <w:t>PRUDENTIAL SECURITIES INCORPORATED</w:t>
      </w:r>
    </w:p>
    <w:p>
      <w:pPr>
        <w:spacing w:after="0" w:line="200" w:lineRule="exact"/>
        <w:rPr>
          <w:rFonts w:ascii="Courier New" w:cs="Courier New" w:eastAsia="Courier New" w:hAnsi="Courier New"/>
          <w:sz w:val="16"/>
          <w:szCs w:val="16"/>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6"/>
          <w:szCs w:val="16"/>
          <w:color w:val="auto"/>
        </w:rPr>
      </w:pPr>
    </w:p>
    <w:p>
      <w:pPr>
        <w:ind w:left="1020"/>
        <w:spacing w:after="0"/>
        <w:rPr>
          <w:sz w:val="20"/>
          <w:szCs w:val="20"/>
          <w:color w:val="auto"/>
        </w:rPr>
      </w:pPr>
      <w:r>
        <w:rPr>
          <w:rFonts w:ascii="Courier New" w:cs="Courier New" w:eastAsia="Courier New" w:hAnsi="Courier New"/>
          <w:sz w:val="17"/>
          <w:szCs w:val="17"/>
          <w:color w:val="auto"/>
        </w:rPr>
        <w:t>The date of this Prospectus Supplement is October 1, 1997.</w:t>
      </w:r>
    </w:p>
    <w:p>
      <w:pPr>
        <w:sectPr>
          <w:pgSz w:w="11900" w:h="16838" w:orient="portrait"/>
          <w:cols w:equalWidth="0" w:num="1">
            <w:col w:w="10219"/>
          </w:cols>
          <w:pgMar w:left="240" w:top="337" w:right="1440" w:bottom="1440" w:gutter="0" w:footer="0" w:header="0"/>
        </w:sectPr>
      </w:pPr>
    </w:p>
    <w:bookmarkStart w:id="2" w:name="page3"/>
    <w:bookmarkEnd w:id="2"/>
    <w:p>
      <w:pPr>
        <w:ind w:right="2559" w:firstLine="204"/>
        <w:spacing w:after="0" w:line="244" w:lineRule="auto"/>
        <w:rPr>
          <w:sz w:val="20"/>
          <w:szCs w:val="20"/>
          <w:color w:val="auto"/>
        </w:rPr>
      </w:pPr>
      <w:r>
        <w:rPr>
          <w:rFonts w:ascii="Courier New" w:cs="Courier New" w:eastAsia="Courier New" w:hAnsi="Courier New"/>
          <w:sz w:val="17"/>
          <w:szCs w:val="17"/>
          <w:color w:val="auto"/>
        </w:rPr>
        <w:t>CERTAIN PERSONS PARTICIPATING IN THIS OFFERING MAY ENGAGE IN TRANSACTIONS THAT STABILIZE, MAINTAIN OR OTHERWISE AFFECT THE PRICE OF THE SERIES A PREFERRED SHARES, INCLUDING OVER-ALLOTMENT, STABILIZING AND SHORT-COVERING TRANSACTIONS IN SUCH SECURITIES, AND THE IMPOSITION OF A PENALTY BID, IN CONNECTION WITH THE OFFERING. FOR A DESCRIPTION OF THESE ACTIVITIES, SEE "UNDERWRITING".</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TRUST</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Federal Realty Investment Trust (the "Trust") specializes in the ownership, management, development and redevelopment of prime retail properties. At September 30, 1997, the Trust owned 94 retail properties consisting of shopping centers and main street retail properties. At June 30, 1997, the occupancy rate of the core retail portfolio (which excludes properties acquired in the previous twelve months and centers under redevelopment) was 94%. Including all retail properties owned at June 30, 1997, the occupancy rate was 94%.</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DEVELOPMENTS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Since July 1, 1997 the Trust has made three main street retail acquisitions. On August 28, 1997 the Trust, through a limited liability company of which the Trust owns 90%, acquired three buildings in Forest Hills, New York for approximately $12.6 million. The Trust contributed 90% of the acquisition cost. On September 17, 1997 a partnership, which was formed during the first quarter of 1997 to purchase another retail building in California, purchased a building in Hermosa Beach, California for approximately $1.5 million in cash. In accordance with the provisions of the partnership agreement, the Trust contributed 90% of the costs. On September 26, 1997 the Trust purchased a main street retail project which also has a residential component in Portland, Oregon for approximately $15.7 million.</w:t>
      </w:r>
    </w:p>
    <w:p>
      <w:pPr>
        <w:spacing w:after="0" w:line="201" w:lineRule="exact"/>
        <w:rPr>
          <w:sz w:val="20"/>
          <w:szCs w:val="20"/>
          <w:color w:val="auto"/>
        </w:rPr>
      </w:pPr>
    </w:p>
    <w:p>
      <w:pPr>
        <w:jc w:val="both"/>
        <w:ind w:right="2659" w:firstLine="204"/>
        <w:spacing w:after="0" w:line="243" w:lineRule="auto"/>
        <w:rPr>
          <w:sz w:val="20"/>
          <w:szCs w:val="20"/>
          <w:color w:val="auto"/>
        </w:rPr>
      </w:pPr>
      <w:r>
        <w:rPr>
          <w:rFonts w:ascii="Courier New" w:cs="Courier New" w:eastAsia="Courier New" w:hAnsi="Courier New"/>
          <w:sz w:val="17"/>
          <w:szCs w:val="17"/>
          <w:color w:val="auto"/>
        </w:rPr>
        <w:t>On September 25, 1997 the Trust sold Brainerd Village Shopping Center in Chattanooga, Tennessee for $10.2 million, resulting in a loss after sales commissions and expenses of approximately $500,000.</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On October 1, 1997 the Trust entered into an agreement with a third party to purchase an 147 acre property in Queens, New York. Upon the purchase, the Trust will take title to the retail component of the property with the other party taking title to the residential component. In connection with this transaction, the Trust made a $3.8 million nonrefundable deposit.</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intends to continue its acquisition of retail properties, both shopping center and main street retail buildings, and redevelopment activities in the major metropolitan markets of New York, Philadelphia, Baltimore/Washington, D.C., Chicago, Boston, Los Angeles, San Francisco, San Diego and San Jose. In addition, the Trust is also pursuing site acquisitions to permit the Trust to develop shopping centers.</w:t>
      </w:r>
    </w:p>
    <w:p>
      <w:pPr>
        <w:spacing w:after="0" w:line="199" w:lineRule="exact"/>
        <w:rPr>
          <w:sz w:val="20"/>
          <w:szCs w:val="20"/>
          <w:color w:val="auto"/>
        </w:rPr>
      </w:pPr>
    </w:p>
    <w:p>
      <w:pPr>
        <w:jc w:val="both"/>
        <w:ind w:right="2759" w:firstLine="204"/>
        <w:spacing w:after="0" w:line="243" w:lineRule="auto"/>
        <w:rPr>
          <w:sz w:val="20"/>
          <w:szCs w:val="20"/>
          <w:color w:val="auto"/>
        </w:rPr>
      </w:pPr>
      <w:r>
        <w:rPr>
          <w:rFonts w:ascii="Courier New" w:cs="Courier New" w:eastAsia="Courier New" w:hAnsi="Courier New"/>
          <w:sz w:val="17"/>
          <w:szCs w:val="17"/>
          <w:color w:val="auto"/>
        </w:rPr>
        <w:t>The Trust, a District of Columbia business trust of unlimited duration, maintains its offices at 1626 East Jefferson Street, Rockville, Maryland, 20852-4041 (telephone 301/998-8100).</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704"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7"/>
          <w:szCs w:val="17"/>
          <w:color w:val="auto"/>
        </w:rPr>
        <w:t>THE OFFERING</w:t>
      </w:r>
    </w:p>
    <w:p>
      <w:pPr>
        <w:spacing w:after="0" w:line="201" w:lineRule="exact"/>
        <w:rPr>
          <w:sz w:val="20"/>
          <w:szCs w:val="20"/>
          <w:color w:val="auto"/>
        </w:rPr>
      </w:pPr>
    </w:p>
    <w:p>
      <w:pPr>
        <w:ind w:right="2659" w:firstLine="204"/>
        <w:spacing w:after="0" w:line="244" w:lineRule="auto"/>
        <w:rPr>
          <w:sz w:val="20"/>
          <w:szCs w:val="20"/>
          <w:color w:val="auto"/>
        </w:rPr>
      </w:pPr>
      <w:r>
        <w:rPr>
          <w:rFonts w:ascii="Courier New" w:cs="Courier New" w:eastAsia="Courier New" w:hAnsi="Courier New"/>
          <w:sz w:val="17"/>
          <w:szCs w:val="17"/>
          <w:color w:val="auto"/>
        </w:rPr>
        <w:t>For a more complete description of the terms of the Series A Preferred Shares, including definitions of capitalized terms used herein but not defined, see "Description of Series A Preferred Shares" in this Prospectus Supplement.</w:t>
      </w:r>
    </w:p>
    <w:p>
      <w:pPr>
        <w:sectPr>
          <w:pgSz w:w="11900" w:h="16838" w:orient="portrait"/>
          <w:cols w:equalWidth="0" w:num="1">
            <w:col w:w="10219"/>
          </w:cols>
          <w:pgMar w:left="240" w:top="703" w:right="1440" w:bottom="144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Offered...........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4,000,000 Series A Preferred Shares.</w:t>
      </w:r>
    </w:p>
    <w:p>
      <w:pPr>
        <w:spacing w:after="0" w:line="200" w:lineRule="exact"/>
        <w:rPr>
          <w:sz w:val="20"/>
          <w:szCs w:val="20"/>
          <w:color w:val="auto"/>
        </w:rPr>
      </w:pPr>
    </w:p>
    <w:p>
      <w:pPr>
        <w:sectPr>
          <w:pgSz w:w="11900" w:h="16838" w:orient="portrait"/>
          <w:cols w:equalWidth="0" w:num="2">
            <w:col w:w="2960" w:space="200"/>
            <w:col w:w="7059"/>
          </w:cols>
          <w:pgMar w:left="240" w:top="70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Use of Proceeds..............</w:t>
      </w:r>
    </w:p>
    <w:p>
      <w:pPr>
        <w:spacing w:after="0" w:line="20" w:lineRule="exact"/>
        <w:rPr>
          <w:sz w:val="20"/>
          <w:szCs w:val="20"/>
          <w:color w:val="auto"/>
        </w:rPr>
      </w:pPr>
      <w:r>
        <w:rPr>
          <w:sz w:val="20"/>
          <w:szCs w:val="20"/>
          <w:color w:val="auto"/>
        </w:rPr>
        <w:br w:type="column"/>
      </w:r>
    </w:p>
    <w:p>
      <w:pPr>
        <w:ind w:right="2259"/>
        <w:spacing w:after="0" w:line="244" w:lineRule="auto"/>
        <w:rPr>
          <w:sz w:val="20"/>
          <w:szCs w:val="20"/>
          <w:color w:val="auto"/>
        </w:rPr>
      </w:pPr>
      <w:r>
        <w:rPr>
          <w:rFonts w:ascii="Courier New" w:cs="Courier New" w:eastAsia="Courier New" w:hAnsi="Courier New"/>
          <w:sz w:val="17"/>
          <w:szCs w:val="17"/>
          <w:color w:val="auto"/>
        </w:rPr>
        <w:t>The net proceeds to the Trust from the Offering (approximately $96.65 million) will be used to repay debt, principally the Trust's revolving credit facilities, and for general corporate purposes. See "Use of Proceeds."</w:t>
      </w:r>
    </w:p>
    <w:p>
      <w:pPr>
        <w:spacing w:after="0" w:line="197" w:lineRule="exact"/>
        <w:rPr>
          <w:sz w:val="20"/>
          <w:szCs w:val="20"/>
          <w:color w:val="auto"/>
        </w:rPr>
      </w:pPr>
    </w:p>
    <w:p>
      <w:pPr>
        <w:sectPr>
          <w:pgSz w:w="11900" w:h="16838" w:orient="portrait"/>
          <w:cols w:equalWidth="0" w:num="2">
            <w:col w:w="2960" w:space="200"/>
            <w:col w:w="7059"/>
          </w:cols>
          <w:pgMar w:left="240" w:top="70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Ranking......................</w:t>
      </w:r>
    </w:p>
    <w:p>
      <w:pPr>
        <w:spacing w:after="0" w:line="20" w:lineRule="exact"/>
        <w:rPr>
          <w:sz w:val="20"/>
          <w:szCs w:val="20"/>
          <w:color w:val="auto"/>
        </w:rPr>
      </w:pPr>
      <w:r>
        <w:rPr>
          <w:sz w:val="20"/>
          <w:szCs w:val="20"/>
          <w:color w:val="auto"/>
        </w:rPr>
        <w:br w:type="column"/>
      </w:r>
    </w:p>
    <w:p>
      <w:pPr>
        <w:ind w:right="2259"/>
        <w:spacing w:after="0" w:line="244" w:lineRule="auto"/>
        <w:rPr>
          <w:sz w:val="20"/>
          <w:szCs w:val="20"/>
          <w:color w:val="auto"/>
        </w:rPr>
      </w:pPr>
      <w:r>
        <w:rPr>
          <w:rFonts w:ascii="Courier New" w:cs="Courier New" w:eastAsia="Courier New" w:hAnsi="Courier New"/>
          <w:sz w:val="17"/>
          <w:szCs w:val="17"/>
          <w:color w:val="auto"/>
        </w:rPr>
        <w:t>With respect to the payment of dividends and amounts upon liquidation, the Series A Preferred Shares will rank senior to the Common Shares. See "Description of Series A Preferred Shares--Ranking."</w:t>
      </w:r>
    </w:p>
    <w:p>
      <w:pPr>
        <w:spacing w:after="0" w:line="197" w:lineRule="exact"/>
        <w:rPr>
          <w:sz w:val="20"/>
          <w:szCs w:val="20"/>
          <w:color w:val="auto"/>
        </w:rPr>
      </w:pPr>
    </w:p>
    <w:p>
      <w:pPr>
        <w:sectPr>
          <w:pgSz w:w="11900" w:h="16838" w:orient="portrait"/>
          <w:cols w:equalWidth="0" w:num="2">
            <w:col w:w="2960" w:space="200"/>
            <w:col w:w="7059"/>
          </w:cols>
          <w:pgMar w:left="240" w:top="70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Dividends....................</w:t>
      </w:r>
    </w:p>
    <w:p>
      <w:pPr>
        <w:spacing w:after="0" w:line="20" w:lineRule="exact"/>
        <w:rPr>
          <w:sz w:val="20"/>
          <w:szCs w:val="20"/>
          <w:color w:val="auto"/>
        </w:rPr>
      </w:pPr>
      <w:r>
        <w:rPr>
          <w:sz w:val="20"/>
          <w:szCs w:val="20"/>
          <w:color w:val="auto"/>
        </w:rPr>
        <w:br w:type="column"/>
      </w:r>
    </w:p>
    <w:p>
      <w:pPr>
        <w:ind w:right="2259"/>
        <w:spacing w:after="0" w:line="244" w:lineRule="auto"/>
        <w:rPr>
          <w:sz w:val="20"/>
          <w:szCs w:val="20"/>
          <w:color w:val="auto"/>
        </w:rPr>
      </w:pPr>
      <w:r>
        <w:rPr>
          <w:rFonts w:ascii="Courier New" w:cs="Courier New" w:eastAsia="Courier New" w:hAnsi="Courier New"/>
          <w:sz w:val="17"/>
          <w:szCs w:val="17"/>
          <w:color w:val="auto"/>
        </w:rPr>
        <w:t>Dividends on the Series A Preferred Shares will be cumulative from the date of original issue and will be payable quarterly in arrears on the last day of January, April, July and October of each year (or, if such day is not a business day, the next business day), commencing on October 31, 1997 at the rate of 7.95% of the liquidation preference per annum (equivalent to $1.9875 per share per annum). Dividends on the Series A Preferred Shares will accrue whether or not the Trust has earnings, whether or not there are funds legally available for the payment of such dividends and whether or not such dividends are declared. See "Description of Series A Preferred Shares--Dividends."</w:t>
      </w:r>
    </w:p>
    <w:p>
      <w:pPr>
        <w:spacing w:after="0" w:line="200" w:lineRule="exact"/>
        <w:rPr>
          <w:sz w:val="20"/>
          <w:szCs w:val="20"/>
          <w:color w:val="auto"/>
        </w:rPr>
      </w:pPr>
    </w:p>
    <w:p>
      <w:pPr>
        <w:sectPr>
          <w:pgSz w:w="11900" w:h="16838" w:orient="portrait"/>
          <w:cols w:equalWidth="0" w:num="2">
            <w:col w:w="2960" w:space="200"/>
            <w:col w:w="7059"/>
          </w:cols>
          <w:pgMar w:left="240" w:top="70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Rights...........</w:t>
      </w:r>
    </w:p>
    <w:p>
      <w:pPr>
        <w:spacing w:after="0" w:line="20" w:lineRule="exact"/>
        <w:rPr>
          <w:sz w:val="20"/>
          <w:szCs w:val="20"/>
          <w:color w:val="auto"/>
        </w:rPr>
      </w:pPr>
      <w:r>
        <w:rPr>
          <w:sz w:val="20"/>
          <w:szCs w:val="20"/>
          <w:color w:val="auto"/>
        </w:rPr>
        <w:br w:type="column"/>
      </w:r>
    </w:p>
    <w:p>
      <w:pPr>
        <w:ind w:right="2259"/>
        <w:spacing w:after="0" w:line="244" w:lineRule="auto"/>
        <w:rPr>
          <w:sz w:val="20"/>
          <w:szCs w:val="20"/>
          <w:color w:val="auto"/>
        </w:rPr>
      </w:pPr>
      <w:r>
        <w:rPr>
          <w:rFonts w:ascii="Courier New" w:cs="Courier New" w:eastAsia="Courier New" w:hAnsi="Courier New"/>
          <w:sz w:val="17"/>
          <w:szCs w:val="17"/>
          <w:color w:val="auto"/>
        </w:rPr>
        <w:t>The liquidation preference for such Series A Preferred Share is $25.00. Upon liquidation, holders will be entitled to be paid the liquidation preference plus an amount equal to accrued and unpaid dividends thereon out of the assets available for such payment. See "Description of Series A Preferred Shares-- Liquidation Rights."</w:t>
      </w:r>
    </w:p>
    <w:p>
      <w:pPr>
        <w:spacing w:after="0" w:line="199" w:lineRule="exact"/>
        <w:rPr>
          <w:sz w:val="20"/>
          <w:szCs w:val="20"/>
          <w:color w:val="auto"/>
        </w:rPr>
      </w:pPr>
    </w:p>
    <w:p>
      <w:pPr>
        <w:sectPr>
          <w:pgSz w:w="11900" w:h="16838" w:orient="portrait"/>
          <w:cols w:equalWidth="0" w:num="2">
            <w:col w:w="2960" w:space="200"/>
            <w:col w:w="7059"/>
          </w:cols>
          <w:pgMar w:left="240" w:top="70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Redemption...................</w:t>
      </w:r>
    </w:p>
    <w:p>
      <w:pPr>
        <w:spacing w:after="0" w:line="20" w:lineRule="exact"/>
        <w:rPr>
          <w:sz w:val="20"/>
          <w:szCs w:val="20"/>
          <w:color w:val="auto"/>
        </w:rPr>
      </w:pPr>
      <w:r>
        <w:rPr>
          <w:sz w:val="20"/>
          <w:szCs w:val="20"/>
          <w:color w:val="auto"/>
        </w:rPr>
        <w:br w:type="column"/>
      </w:r>
    </w:p>
    <w:p>
      <w:pPr>
        <w:ind w:right="2259"/>
        <w:spacing w:after="0" w:line="244" w:lineRule="auto"/>
        <w:rPr>
          <w:sz w:val="20"/>
          <w:szCs w:val="20"/>
          <w:color w:val="auto"/>
        </w:rPr>
      </w:pPr>
      <w:r>
        <w:rPr>
          <w:rFonts w:ascii="Courier New" w:cs="Courier New" w:eastAsia="Courier New" w:hAnsi="Courier New"/>
          <w:sz w:val="17"/>
          <w:szCs w:val="17"/>
          <w:color w:val="auto"/>
        </w:rPr>
        <w:t>The Series A Preferred Shares are not redeemable prior to October 6, 2002. On and after October 6, 2002, the Series A Preferred Shares will be redeemable at the option of the Trust, in whole or in part, at a redemption price of $25.00 per share, plus accrued and unpaid dividends thereon. The redemption price (other than the portion thereof consisting of accrued and unpaid dividends) is payable solely out of proceeds from the sale of other capital shares of the Trust. See "Description of Series A Preferred Shares--Redemption."</w:t>
      </w:r>
    </w:p>
    <w:p>
      <w:pPr>
        <w:spacing w:after="0" w:line="200" w:lineRule="exact"/>
        <w:rPr>
          <w:sz w:val="20"/>
          <w:szCs w:val="20"/>
          <w:color w:val="auto"/>
        </w:rPr>
      </w:pPr>
    </w:p>
    <w:p>
      <w:pPr>
        <w:sectPr>
          <w:pgSz w:w="11900" w:h="16838" w:orient="portrait"/>
          <w:cols w:equalWidth="0" w:num="2">
            <w:col w:w="2960" w:space="200"/>
            <w:col w:w="7059"/>
          </w:cols>
          <w:pgMar w:left="240" w:top="703" w:right="1440" w:bottom="1440" w:gutter="0" w:footer="0" w:header="0"/>
          <w:type w:val="continuous"/>
        </w:sectPr>
      </w:pP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19"/>
          </w:cols>
          <w:pgMar w:left="240" w:top="703" w:right="1440" w:bottom="1440" w:gutter="0" w:footer="0" w:header="0"/>
          <w:type w:val="continuous"/>
        </w:sectPr>
      </w:pPr>
    </w:p>
    <w:bookmarkStart w:id="4" w:name="page5"/>
    <w:bookmarkEnd w:id="4"/>
    <w:p>
      <w:pPr>
        <w:spacing w:after="0"/>
        <w:tabs>
          <w:tab w:leader="none" w:pos="3140" w:val="left"/>
        </w:tabs>
        <w:rPr>
          <w:sz w:val="20"/>
          <w:szCs w:val="20"/>
          <w:color w:val="auto"/>
        </w:rPr>
      </w:pPr>
      <w:r>
        <w:rPr>
          <w:rFonts w:ascii="Courier New" w:cs="Courier New" w:eastAsia="Courier New" w:hAnsi="Courier New"/>
          <w:sz w:val="17"/>
          <w:szCs w:val="17"/>
          <w:color w:val="auto"/>
        </w:rPr>
        <w:t>Voting Rights................</w:t>
        <w:tab/>
        <w:t>If dividends on the Series A Preferred Shares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are in arrears for six or more consecutive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quarterly periods, holders of Series A</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Preferred Shares (voting separately as a class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with all other series of preferred shares upon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which like voting rights have been conferred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and are exercisable) will be entitled to vote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for the election of two additional trustees to</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serve on the Board of Trustees of the Trust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until all such dividend arrearages are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eliminated. See "Description of Series A</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Preferred Shares--Voting Rights."</w:t>
      </w:r>
    </w:p>
    <w:p>
      <w:pPr>
        <w:spacing w:after="0" w:line="200"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7"/>
          <w:szCs w:val="17"/>
          <w:color w:val="auto"/>
        </w:rPr>
        <w:t>Conversion...................</w:t>
        <w:tab/>
        <w:t>The Series A Preferred Shares are not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convertible into or exchangeable for any other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property or security of the Trust.</w:t>
      </w:r>
    </w:p>
    <w:p>
      <w:pPr>
        <w:spacing w:after="0" w:line="200"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7"/>
          <w:szCs w:val="17"/>
          <w:color w:val="auto"/>
        </w:rPr>
        <w:t>Trading......................</w:t>
        <w:tab/>
        <w:t>The Trust intends to file an application to</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list the Series A Preferred Shares on the New</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York Stock Exchange, although there can be no</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assurance that the Series A Preferred Shares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will be approved for listing.</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USE OF PROCEEDS</w:t>
      </w:r>
    </w:p>
    <w:p>
      <w:pPr>
        <w:spacing w:after="0" w:line="201"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The net proceeds to the Trust from the sale of the Series A Preferred Shares offered hereby are estimated to be $96,650,000. The Trust intends to use the proceeds to repay debt, principally the Trust's revolving credit facilities.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S-4</w:t>
      </w:r>
    </w:p>
    <w:p>
      <w:pPr>
        <w:sectPr>
          <w:pgSz w:w="11900" w:h="16838" w:orient="portrait"/>
          <w:cols w:equalWidth="0" w:num="1">
            <w:col w:w="10219"/>
          </w:cols>
          <w:pgMar w:left="240" w:top="703" w:right="1440" w:bottom="1440" w:gutter="0" w:footer="0" w:header="0"/>
        </w:sectPr>
      </w:pPr>
    </w:p>
    <w:bookmarkStart w:id="5" w:name="page6"/>
    <w:bookmarkEnd w:id="5"/>
    <w:p>
      <w:pPr>
        <w:jc w:val="center"/>
        <w:ind w:right="2259"/>
        <w:spacing w:after="0"/>
        <w:rPr>
          <w:sz w:val="20"/>
          <w:szCs w:val="20"/>
          <w:color w:val="auto"/>
        </w:rPr>
      </w:pPr>
      <w:r>
        <w:rPr>
          <w:rFonts w:ascii="Courier New" w:cs="Courier New" w:eastAsia="Courier New" w:hAnsi="Courier New"/>
          <w:sz w:val="17"/>
          <w:szCs w:val="17"/>
          <w:color w:val="auto"/>
        </w:rPr>
        <w:t>CAPITALIZATION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table sets forth the capitalization of the Trust as of June 30, 1997 on an historical and pro forma basis giving effect to the completion of the Offering and the application of the proceeds therefrom to the repayment of debt.</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JUNE 30, 1997</w:t>
            </w:r>
          </w:p>
        </w:tc>
      </w:tr>
      <w:tr>
        <w:trPr>
          <w:trHeight w:val="196"/>
        </w:trPr>
        <w:tc>
          <w:tcPr>
            <w:tcW w:w="5660" w:type="dxa"/>
            <w:vAlign w:val="bottom"/>
          </w:tcPr>
          <w:p>
            <w:pPr>
              <w:spacing w:after="0"/>
              <w:rPr>
                <w:sz w:val="17"/>
                <w:szCs w:val="17"/>
                <w:color w:val="auto"/>
              </w:rPr>
            </w:pPr>
          </w:p>
        </w:tc>
        <w:tc>
          <w:tcPr>
            <w:tcW w:w="240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HISTORICAL</w:t>
            </w:r>
          </w:p>
        </w:tc>
        <w:tc>
          <w:tcPr>
            <w:tcW w:w="11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PRO FORMA</w:t>
            </w:r>
          </w:p>
        </w:tc>
      </w:tr>
      <w:tr>
        <w:trPr>
          <w:trHeight w:val="196"/>
        </w:trPr>
        <w:tc>
          <w:tcPr>
            <w:tcW w:w="566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(IN THOUSANDS)</w:t>
            </w:r>
          </w:p>
        </w:tc>
      </w:tr>
      <w:tr>
        <w:trPr>
          <w:trHeight w:val="392"/>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Mortgages and capital lease obligations................</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224,229</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224,229</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Notes payable..........................................</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97,396</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546</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Senior notes and debentures............................</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290,289</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290,289</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Other liabilities......................................</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48,347</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48,347</w:t>
            </w:r>
          </w:p>
        </w:tc>
      </w:tr>
      <w:tr>
        <w:trPr>
          <w:trHeight w:val="196"/>
        </w:trPr>
        <w:tc>
          <w:tcPr>
            <w:tcW w:w="566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660,261</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563,411</w:t>
            </w:r>
          </w:p>
        </w:tc>
      </w:tr>
      <w:tr>
        <w:trPr>
          <w:trHeight w:val="196"/>
        </w:trPr>
        <w:tc>
          <w:tcPr>
            <w:tcW w:w="566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Investors' interest in consolidated assets.............</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14,134</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14,134</w:t>
            </w:r>
          </w:p>
        </w:tc>
      </w:tr>
      <w:tr>
        <w:trPr>
          <w:trHeight w:val="196"/>
        </w:trPr>
        <w:tc>
          <w:tcPr>
            <w:tcW w:w="5660" w:type="dxa"/>
            <w:vAlign w:val="bottom"/>
          </w:tcPr>
          <w:p>
            <w:pPr>
              <w:jc w:val="right"/>
              <w:ind w:right="3535"/>
              <w:spacing w:after="0"/>
              <w:rPr>
                <w:sz w:val="20"/>
                <w:szCs w:val="20"/>
                <w:color w:val="auto"/>
              </w:rPr>
            </w:pPr>
            <w:r>
              <w:rPr>
                <w:rFonts w:ascii="Courier New" w:cs="Courier New" w:eastAsia="Courier New" w:hAnsi="Courier New"/>
                <w:sz w:val="17"/>
                <w:szCs w:val="17"/>
                <w:color w:val="auto"/>
                <w:w w:val="98"/>
              </w:rPr>
              <w:t>Shareholders' equity</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Preferred shares.....................................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100,000</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Common shares........................................</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685,873</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685,873</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(207,161)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(207,161)</w:t>
            </w:r>
          </w:p>
        </w:tc>
      </w:tr>
      <w:tr>
        <w:trPr>
          <w:trHeight w:val="196"/>
        </w:trPr>
        <w:tc>
          <w:tcPr>
            <w:tcW w:w="566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478,712</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578,712</w:t>
            </w:r>
          </w:p>
        </w:tc>
      </w:tr>
      <w:tr>
        <w:trPr>
          <w:trHeight w:val="196"/>
        </w:trPr>
        <w:tc>
          <w:tcPr>
            <w:tcW w:w="5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Less shares in treasury, deferred compensation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subscriptions receivable............................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(8,460)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(8,460)</w:t>
            </w:r>
          </w:p>
        </w:tc>
      </w:tr>
      <w:tr>
        <w:trPr>
          <w:trHeight w:val="196"/>
        </w:trPr>
        <w:tc>
          <w:tcPr>
            <w:tcW w:w="566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Total shareholders' equity.........................</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470,252</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570,252</w:t>
            </w:r>
          </w:p>
        </w:tc>
      </w:tr>
      <w:tr>
        <w:trPr>
          <w:trHeight w:val="196"/>
        </w:trPr>
        <w:tc>
          <w:tcPr>
            <w:tcW w:w="566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Total capitalization...............................</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1,144,647</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$1,147,797</w:t>
            </w:r>
          </w:p>
        </w:tc>
      </w:tr>
      <w:tr>
        <w:trPr>
          <w:trHeight w:val="196"/>
        </w:trPr>
        <w:tc>
          <w:tcPr>
            <w:tcW w:w="566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589"/>
        </w:trPr>
        <w:tc>
          <w:tcPr>
            <w:tcW w:w="5660" w:type="dxa"/>
            <w:vAlign w:val="bottom"/>
          </w:tcPr>
          <w:p>
            <w:pPr>
              <w:jc w:val="right"/>
              <w:ind w:right="1395"/>
              <w:spacing w:after="0"/>
              <w:rPr>
                <w:sz w:val="20"/>
                <w:szCs w:val="20"/>
                <w:color w:val="auto"/>
              </w:rPr>
            </w:pPr>
            <w:r>
              <w:rPr>
                <w:rFonts w:ascii="Courier New" w:cs="Courier New" w:eastAsia="Courier New" w:hAnsi="Courier New"/>
                <w:sz w:val="17"/>
                <w:szCs w:val="17"/>
                <w:color w:val="auto"/>
              </w:rPr>
              <w:t>S-5</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6" w:name="page7"/>
    <w:bookmarkEnd w:id="6"/>
    <w:p>
      <w:pPr>
        <w:jc w:val="center"/>
        <w:ind w:right="2259"/>
        <w:spacing w:after="0"/>
        <w:rPr>
          <w:sz w:val="20"/>
          <w:szCs w:val="20"/>
          <w:color w:val="auto"/>
        </w:rPr>
      </w:pPr>
      <w:r>
        <w:rPr>
          <w:rFonts w:ascii="Courier New" w:cs="Courier New" w:eastAsia="Courier New" w:hAnsi="Courier New"/>
          <w:sz w:val="17"/>
          <w:szCs w:val="17"/>
          <w:color w:val="auto"/>
        </w:rPr>
        <w:t>SUMMARY SELECTED FINANCIAL INFORMATION</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following table sets forth selected financial and operating information for the Trust as of and for the years ended December 31, 1996, 1995 and 1994. This information is derived from and should be read in conjunction with the audited financial statements of the Trust, which statements have been audited by Grant Thornton LLP independent public accountants. In addition, the following table sets forth selected financial and operating information for the Trust as of June 30, 1997 and for the six months ended June 30, 1997 and 1996, which information is derived from the unaudited financial statements of the Trust.</w:t>
      </w:r>
    </w:p>
    <w:p>
      <w:pPr>
        <w:spacing w:after="0" w:line="200"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following table also sets forth pro forma financial information for the Trust as of and for the six months ended June 30, 1997 and for the year ended December 31, 1996, giving effect to the completion of the Offering and the application of the net proceeds therefrom to the repayment of certain outstanding indebtedness.</w:t>
      </w:r>
    </w:p>
    <w:p>
      <w:pPr>
        <w:spacing w:after="0" w:line="198" w:lineRule="exact"/>
        <w:rPr>
          <w:sz w:val="20"/>
          <w:szCs w:val="20"/>
          <w:color w:val="auto"/>
        </w:rPr>
      </w:pPr>
    </w:p>
    <w:p>
      <w:pPr>
        <w:jc w:val="both"/>
        <w:ind w:right="2259" w:firstLine="204"/>
        <w:spacing w:after="0" w:line="243" w:lineRule="auto"/>
        <w:rPr>
          <w:sz w:val="20"/>
          <w:szCs w:val="20"/>
          <w:color w:val="auto"/>
        </w:rPr>
      </w:pPr>
      <w:r>
        <w:rPr>
          <w:rFonts w:ascii="Courier New" w:cs="Courier New" w:eastAsia="Courier New" w:hAnsi="Courier New"/>
          <w:sz w:val="17"/>
          <w:szCs w:val="17"/>
          <w:color w:val="auto"/>
        </w:rPr>
        <w:t>The following selected financial and operating information should be read in conjunction with "Management's Discussion and Analysis of Financial Condition and Results of Operations" incorporated herein by reference:</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SIX MONTHS ENDED JUNE 30,</w:t>
            </w:r>
          </w:p>
        </w:tc>
        <w:tc>
          <w:tcPr>
            <w:tcW w:w="3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 ENDED DECEMBER 31,</w:t>
            </w:r>
          </w:p>
        </w:tc>
        <w:tc>
          <w:tcPr>
            <w:tcW w:w="860" w:type="dxa"/>
            <w:vAlign w:val="bottom"/>
          </w:tcPr>
          <w:p>
            <w:pPr>
              <w:spacing w:after="0"/>
              <w:rPr>
                <w:sz w:val="16"/>
                <w:szCs w:val="16"/>
                <w:color w:val="auto"/>
              </w:rPr>
            </w:pPr>
          </w:p>
        </w:tc>
      </w:tr>
      <w:tr>
        <w:trPr>
          <w:trHeight w:val="196"/>
        </w:trPr>
        <w:tc>
          <w:tcPr>
            <w:tcW w:w="256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7"/>
              </w:rPr>
              <w:t>--------------------------------</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560" w:type="dxa"/>
            <w:vAlign w:val="bottom"/>
          </w:tcPr>
          <w:p>
            <w:pPr>
              <w:spacing w:after="0"/>
              <w:rPr>
                <w:sz w:val="17"/>
                <w:szCs w:val="17"/>
                <w:color w:val="auto"/>
              </w:rPr>
            </w:pPr>
          </w:p>
        </w:tc>
        <w:tc>
          <w:tcPr>
            <w:tcW w:w="11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PRO FORMA</w:t>
            </w:r>
          </w:p>
        </w:tc>
        <w:tc>
          <w:tcPr>
            <w:tcW w:w="2260" w:type="dxa"/>
            <w:vAlign w:val="bottom"/>
            <w:gridSpan w:val="2"/>
          </w:tcPr>
          <w:p>
            <w:pPr>
              <w:jc w:val="right"/>
              <w:ind w:right="595"/>
              <w:spacing w:after="0"/>
              <w:rPr>
                <w:sz w:val="20"/>
                <w:szCs w:val="20"/>
                <w:color w:val="auto"/>
              </w:rPr>
            </w:pPr>
            <w:r>
              <w:rPr>
                <w:rFonts w:ascii="Courier New" w:cs="Courier New" w:eastAsia="Courier New" w:hAnsi="Courier New"/>
                <w:sz w:val="17"/>
                <w:szCs w:val="17"/>
                <w:color w:val="auto"/>
              </w:rPr>
              <w:t>HISTORICAL</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PRO FORMA</w:t>
            </w:r>
          </w:p>
        </w:tc>
        <w:tc>
          <w:tcPr>
            <w:tcW w:w="106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HISTORICAL</w:t>
            </w:r>
          </w:p>
        </w:tc>
        <w:tc>
          <w:tcPr>
            <w:tcW w:w="86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64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 ---------- ------------------------------</w:t>
            </w:r>
          </w:p>
        </w:tc>
      </w:tr>
      <w:tr>
        <w:trPr>
          <w:trHeight w:val="19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1997</w:t>
            </w:r>
          </w:p>
        </w:tc>
        <w:tc>
          <w:tcPr>
            <w:tcW w:w="11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1997</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1996</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1996</w:t>
            </w:r>
          </w:p>
        </w:tc>
        <w:tc>
          <w:tcPr>
            <w:tcW w:w="10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1996</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1995</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2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3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w:t>
            </w:r>
          </w:p>
        </w:tc>
      </w:tr>
      <w:tr>
        <w:trPr>
          <w:trHeight w:val="19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20" w:type="dxa"/>
            <w:vAlign w:val="bottom"/>
            <w:gridSpan w:val="5"/>
          </w:tcPr>
          <w:p>
            <w:pPr>
              <w:jc w:val="right"/>
              <w:ind w:right="995"/>
              <w:spacing w:after="0"/>
              <w:rPr>
                <w:sz w:val="20"/>
                <w:szCs w:val="20"/>
                <w:color w:val="auto"/>
              </w:rPr>
            </w:pPr>
            <w:r>
              <w:rPr>
                <w:rFonts w:ascii="Courier New" w:cs="Courier New" w:eastAsia="Courier New" w:hAnsi="Courier New"/>
                <w:sz w:val="17"/>
                <w:szCs w:val="17"/>
                <w:color w:val="auto"/>
              </w:rPr>
              <w:t>(IN THOUSANDS, EXCEPT PER SHARE DATA)</w:t>
            </w:r>
          </w:p>
        </w:tc>
        <w:tc>
          <w:tcPr>
            <w:tcW w:w="860" w:type="dxa"/>
            <w:vAlign w:val="bottom"/>
          </w:tcPr>
          <w:p>
            <w:pPr>
              <w:spacing w:after="0"/>
              <w:rPr>
                <w:sz w:val="17"/>
                <w:szCs w:val="17"/>
                <w:color w:val="auto"/>
              </w:rPr>
            </w:pPr>
          </w:p>
        </w:tc>
      </w:tr>
      <w:tr>
        <w:trPr>
          <w:trHeight w:val="392"/>
        </w:trPr>
        <w:tc>
          <w:tcPr>
            <w:tcW w:w="2560" w:type="dxa"/>
            <w:vAlign w:val="bottom"/>
          </w:tcPr>
          <w:p>
            <w:pPr>
              <w:spacing w:after="0"/>
              <w:rPr>
                <w:sz w:val="20"/>
                <w:szCs w:val="20"/>
                <w:color w:val="auto"/>
              </w:rPr>
            </w:pPr>
            <w:r>
              <w:rPr>
                <w:rFonts w:ascii="Courier New" w:cs="Courier New" w:eastAsia="Courier New" w:hAnsi="Courier New"/>
                <w:sz w:val="17"/>
                <w:szCs w:val="17"/>
                <w:color w:val="auto"/>
              </w:rPr>
              <w:t>OPERATING DATA</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Rental and other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income................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96,501</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96,501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   85,423</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  174,703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  174,703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  150,276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$133,831</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Interest...............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2,948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2,948</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1,919</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4,352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4,352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4,113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3,933</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Interest...............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19,420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23,988</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22,288</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38,579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45,555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39,268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31,462</w:t>
            </w: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Depreciation and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amortization..........</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20,528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20,528</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18,676</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38,154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38,154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34,901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29,801</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Property expenses......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30,471</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30,471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29,686</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57,098</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57,098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49,564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47,927</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Administrative.........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4,594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4,594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3,822</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9,100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7,305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7,716</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Net income..............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30,889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26,321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12,923</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35,718</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28,742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23,110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20,466</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Distributions made......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31,453</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26,403</w:t>
            </w:r>
          </w:p>
        </w:tc>
        <w:tc>
          <w:tcPr>
            <w:tcW w:w="1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54,726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50,687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46,637</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PER SHARE DATA</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Earnings per share......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1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$.72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Distributions paid per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share..................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$.82</w:t>
            </w:r>
          </w:p>
        </w:tc>
        <w:tc>
          <w:tcPr>
            <w:tcW w:w="1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$1.65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$1.61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$1.57</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Weighted average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outstanding common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shares (1).............</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38,633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38,633</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32,666</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33,573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33,573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31,860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30,679</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Real estate assets, at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cost...................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$1,266,649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$1,266,649</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$1,047,226</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$1,147,865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$1,147,865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$1,009,682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$852,722</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Total assets............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7"/>
              </w:rPr>
              <w:t>1,147,797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1,144,647</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913,815</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1,038,456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1,035,306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886,154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751,804</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Mortgages and capital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lease obligations......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224,229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224,229</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221,084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229,189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229,189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222,317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235,705</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Notes payable...........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546</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97,396</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52,503</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66,106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49,980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61,883</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Senior notes and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debentures.............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290,289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290,289</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240,289</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290,289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290,289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240,289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75,289</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Total liabilities.......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563,411</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660,261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557,410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604,416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635,160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557,266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406,308</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Investors' share of</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operations.............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14,134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14,134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1,240</w:t>
            </w:r>
          </w:p>
        </w:tc>
        <w:tc>
          <w:tcPr>
            <w:tcW w:w="1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11,261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1,420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2,274</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Total shareholders'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equity.................</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570,252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470,252</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355,165</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488,885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388,885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327,468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343,222</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Funds from operations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$43,421</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$38,853</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$30,805</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$72,230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$65,254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$57,034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$50,404</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Net cash provided by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operating activities...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37,818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33,250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28,827</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72,624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65,648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65,117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45,199</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EBITDA (3)..............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64,384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64,384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53,834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112,857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112,857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97,520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82,121</w:t>
            </w: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Ratio of EBITDA to fixed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charges and preferred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dividends (4)..........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2.57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2.51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2.31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2.33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2.37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2.35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2.50</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Ratios of earnings to</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fixed charges and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preferred share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dividends (4)..........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1.71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1.53</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1.55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1.55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1.61</w:t>
            </w:r>
          </w:p>
        </w:tc>
      </w:tr>
      <w:tr>
        <w:trPr>
          <w:trHeight w:val="196"/>
        </w:trPr>
        <w:tc>
          <w:tcPr>
            <w:tcW w:w="2560" w:type="dxa"/>
            <w:vAlign w:val="bottom"/>
          </w:tcPr>
          <w:p>
            <w:pPr>
              <w:spacing w:after="0"/>
              <w:rPr>
                <w:sz w:val="20"/>
                <w:szCs w:val="20"/>
                <w:color w:val="auto"/>
              </w:rPr>
            </w:pPr>
            <w:r>
              <w:rPr>
                <w:rFonts w:ascii="Courier New" w:cs="Courier New" w:eastAsia="Courier New" w:hAnsi="Courier New"/>
                <w:sz w:val="17"/>
                <w:szCs w:val="17"/>
                <w:color w:val="auto"/>
              </w:rPr>
              <w:t>Ratio of Funds from</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560" w:type="dxa"/>
            <w:vAlign w:val="bottom"/>
          </w:tcPr>
          <w:p>
            <w:pPr>
              <w:ind w:left="100"/>
              <w:spacing w:after="0"/>
              <w:rPr>
                <w:sz w:val="20"/>
                <w:szCs w:val="20"/>
                <w:color w:val="auto"/>
              </w:rPr>
            </w:pPr>
            <w:r>
              <w:rPr>
                <w:rFonts w:ascii="Courier New" w:cs="Courier New" w:eastAsia="Courier New" w:hAnsi="Courier New"/>
                <w:sz w:val="17"/>
                <w:szCs w:val="17"/>
                <w:color w:val="auto"/>
              </w:rPr>
              <w:t>operations to fixed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ectPr>
          <w:pgSz w:w="11900" w:h="16838" w:orient="portrait"/>
          <w:cols w:equalWidth="0" w:num="1">
            <w:col w:w="10219"/>
          </w:cols>
          <w:pgMar w:left="240" w:top="703"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60" w:type="dxa"/>
            <w:vAlign w:val="bottom"/>
          </w:tcPr>
          <w:p>
            <w:pPr>
              <w:spacing w:after="0"/>
              <w:rPr>
                <w:sz w:val="20"/>
                <w:szCs w:val="20"/>
                <w:color w:val="auto"/>
              </w:rPr>
            </w:pPr>
            <w:r>
              <w:rPr>
                <w:rFonts w:ascii="Courier New" w:cs="Courier New" w:eastAsia="Courier New" w:hAnsi="Courier New"/>
                <w:sz w:val="17"/>
                <w:szCs w:val="17"/>
                <w:color w:val="auto"/>
              </w:rPr>
              <w:t>charges and preferred</w:t>
            </w: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share dividends (4)....</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2.53</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2.47</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2.30</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2.31</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2.35</w:t>
            </w:r>
          </w:p>
        </w:tc>
        <w:tc>
          <w:tcPr>
            <w:tcW w:w="10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2.35</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2.52</w:t>
            </w:r>
          </w:p>
        </w:tc>
      </w:tr>
      <w:tr>
        <w:trPr>
          <w:trHeight w:val="589"/>
        </w:trPr>
        <w:tc>
          <w:tcPr>
            <w:tcW w:w="2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S-6</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119"/>
          </w:cols>
          <w:pgMar w:left="340" w:top="14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both"/>
        <w:ind w:left="420" w:right="2659" w:hanging="415"/>
        <w:spacing w:after="0" w:line="243"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Weighted average shares outstanding used in calculating net income per share includes Common Shares and, when dilutive, stock equivalents and stock options.</w:t>
      </w:r>
    </w:p>
    <w:p>
      <w:pPr>
        <w:spacing w:after="0" w:line="3" w:lineRule="exact"/>
        <w:rPr>
          <w:rFonts w:ascii="Courier New" w:cs="Courier New" w:eastAsia="Courier New" w:hAnsi="Courier New"/>
          <w:sz w:val="17"/>
          <w:szCs w:val="17"/>
          <w:color w:val="auto"/>
        </w:rPr>
      </w:pPr>
    </w:p>
    <w:p>
      <w:pPr>
        <w:ind w:left="420" w:right="2259" w:hanging="415"/>
        <w:spacing w:after="0" w:line="244"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has historically reported funds from operations in addition to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in a white paper issued during 1995, as follows: income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6" w:lineRule="exact"/>
        <w:rPr>
          <w:rFonts w:ascii="Courier New" w:cs="Courier New" w:eastAsia="Courier New" w:hAnsi="Courier New"/>
          <w:sz w:val="17"/>
          <w:szCs w:val="17"/>
          <w:color w:val="auto"/>
        </w:rPr>
      </w:pPr>
    </w:p>
    <w:p>
      <w:pPr>
        <w:ind w:left="420" w:right="2259" w:hanging="415"/>
        <w:spacing w:after="0" w:line="243"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is calculated as net operating income before investors' interest, plus interest expense, depreciation and amortization, and income taxes, if any.</w:t>
      </w:r>
    </w:p>
    <w:p>
      <w:pPr>
        <w:spacing w:after="0" w:line="3" w:lineRule="exact"/>
        <w:rPr>
          <w:rFonts w:ascii="Courier New" w:cs="Courier New" w:eastAsia="Courier New" w:hAnsi="Courier New"/>
          <w:sz w:val="17"/>
          <w:szCs w:val="17"/>
          <w:color w:val="auto"/>
        </w:rPr>
      </w:pPr>
    </w:p>
    <w:p>
      <w:pPr>
        <w:ind w:left="420" w:right="2259" w:hanging="415"/>
        <w:spacing w:after="0" w:line="244"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this Offering, the Trust did not have any preferred shares issued and outstanding. Therefore, the ratio of earnings to combined fixed charges and preferred share dividends for all periods was identical to the ratio of earnings to fixed charges.</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S-7</w:t>
      </w:r>
    </w:p>
    <w:p>
      <w:pPr>
        <w:sectPr>
          <w:pgSz w:w="11900" w:h="16838" w:orient="portrait"/>
          <w:cols w:equalWidth="0" w:num="1">
            <w:col w:w="10219"/>
          </w:cols>
          <w:pgMar w:left="240" w:top="703" w:right="1440" w:bottom="1440" w:gutter="0" w:footer="0" w:header="0"/>
        </w:sectPr>
      </w:pPr>
    </w:p>
    <w:bookmarkStart w:id="9" w:name="page10"/>
    <w:bookmarkEnd w:id="9"/>
    <w:p>
      <w:pPr>
        <w:jc w:val="center"/>
        <w:ind w:right="3160"/>
        <w:spacing w:after="0"/>
        <w:rPr>
          <w:sz w:val="20"/>
          <w:szCs w:val="20"/>
          <w:color w:val="auto"/>
        </w:rPr>
      </w:pPr>
      <w:r>
        <w:rPr>
          <w:rFonts w:ascii="Courier New" w:cs="Courier New" w:eastAsia="Courier New" w:hAnsi="Courier New"/>
          <w:sz w:val="17"/>
          <w:szCs w:val="17"/>
          <w:color w:val="auto"/>
        </w:rPr>
        <w:t>PROPERTIES</w:t>
      </w:r>
    </w:p>
    <w:p>
      <w:pPr>
        <w:spacing w:after="0" w:line="201" w:lineRule="exact"/>
        <w:rPr>
          <w:sz w:val="20"/>
          <w:szCs w:val="20"/>
          <w:color w:val="auto"/>
        </w:rPr>
      </w:pPr>
    </w:p>
    <w:p>
      <w:pPr>
        <w:ind w:right="3160" w:firstLine="204"/>
        <w:spacing w:after="0" w:line="244" w:lineRule="auto"/>
        <w:rPr>
          <w:sz w:val="20"/>
          <w:szCs w:val="20"/>
          <w:color w:val="auto"/>
        </w:rPr>
      </w:pPr>
      <w:r>
        <w:rPr>
          <w:rFonts w:ascii="Courier New" w:cs="Courier New" w:eastAsia="Courier New" w:hAnsi="Courier New"/>
          <w:sz w:val="17"/>
          <w:szCs w:val="17"/>
          <w:color w:val="auto"/>
        </w:rPr>
        <w:t>The Trust currently owns or has leasehold interests in 94 retail properties. The following table sets forth information concerning the Trust's properties as of June 30, 1997 except it also includes information on main street retail properties located in Forest Hills, NY, Hermosa Beach, CA and Portland, OR acquired on August 28, September 17 and September 26, 1997, respectively, and excludes Brainerd Village which was sold on September 25, 1997.</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MORTGAGE OR</w:t>
            </w:r>
          </w:p>
        </w:tc>
      </w:tr>
      <w:tr>
        <w:trPr>
          <w:trHeight w:val="196"/>
        </w:trPr>
        <w:tc>
          <w:tcPr>
            <w:tcW w:w="25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SQUARE</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YEAR</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CAPITAL LEASE</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1940" w:type="dxa"/>
            <w:vAlign w:val="bottom"/>
          </w:tcPr>
          <w:p>
            <w:pPr>
              <w:ind w:left="560"/>
              <w:spacing w:after="0"/>
              <w:rPr>
                <w:sz w:val="20"/>
                <w:szCs w:val="20"/>
                <w:color w:val="auto"/>
              </w:rPr>
            </w:pPr>
            <w:r>
              <w:rPr>
                <w:rFonts w:ascii="Courier New" w:cs="Courier New" w:eastAsia="Courier New" w:hAnsi="Courier New"/>
                <w:sz w:val="17"/>
                <w:szCs w:val="17"/>
                <w:color w:val="auto"/>
              </w:rPr>
              <w:t>LOCATION</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FEET</w:t>
            </w:r>
          </w:p>
        </w:tc>
        <w:tc>
          <w:tcPr>
            <w:tcW w:w="41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ACQUIRED RENOVATED OCCUPANCY TOTAL COST</w:t>
            </w:r>
          </w:p>
        </w:tc>
        <w:tc>
          <w:tcPr>
            <w:tcW w:w="1580" w:type="dxa"/>
            <w:vAlign w:val="bottom"/>
          </w:tcPr>
          <w:p>
            <w:pPr>
              <w:ind w:left="160"/>
              <w:spacing w:after="0"/>
              <w:rPr>
                <w:sz w:val="20"/>
                <w:szCs w:val="20"/>
                <w:color w:val="auto"/>
              </w:rPr>
            </w:pPr>
            <w:r>
              <w:rPr>
                <w:rFonts w:ascii="Courier New" w:cs="Courier New" w:eastAsia="Courier New" w:hAnsi="Courier New"/>
                <w:sz w:val="17"/>
                <w:szCs w:val="17"/>
                <w:color w:val="auto"/>
              </w:rPr>
              <w:t>OBLIGATION</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94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4640" w:type="dxa"/>
            <w:vAlign w:val="bottom"/>
            <w:gridSpan w:val="4"/>
          </w:tcPr>
          <w:p>
            <w:pPr>
              <w:ind w:left="60"/>
              <w:spacing w:after="0"/>
              <w:rPr>
                <w:sz w:val="20"/>
                <w:szCs w:val="20"/>
                <w:color w:val="auto"/>
              </w:rPr>
            </w:pPr>
            <w:r>
              <w:rPr>
                <w:rFonts w:ascii="Courier New" w:cs="Courier New" w:eastAsia="Courier New" w:hAnsi="Courier New"/>
                <w:sz w:val="17"/>
                <w:szCs w:val="17"/>
                <w:color w:val="auto"/>
                <w:w w:val="99"/>
              </w:rPr>
              <w:t>--------- --------- ----------- -------------</w:t>
            </w:r>
          </w:p>
        </w:tc>
      </w:tr>
      <w:tr>
        <w:trPr>
          <w:trHeight w:val="392"/>
        </w:trPr>
        <w:tc>
          <w:tcPr>
            <w:tcW w:w="2500" w:type="dxa"/>
            <w:vAlign w:val="bottom"/>
          </w:tcPr>
          <w:p>
            <w:pPr>
              <w:spacing w:after="0"/>
              <w:rPr>
                <w:sz w:val="20"/>
                <w:szCs w:val="20"/>
                <w:color w:val="auto"/>
              </w:rPr>
            </w:pPr>
            <w:r>
              <w:rPr>
                <w:rFonts w:ascii="Courier New" w:cs="Courier New" w:eastAsia="Courier New" w:hAnsi="Courier New"/>
                <w:sz w:val="17"/>
                <w:szCs w:val="17"/>
                <w:color w:val="auto"/>
              </w:rPr>
              <w:t>NEW ENGLAND</w:t>
            </w:r>
          </w:p>
        </w:tc>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Bristol.................</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Bristol, CT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296,000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$19,972,000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$10,909,000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Dedham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Dedham, MA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250,000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26,076,000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Queen Anne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Norwell, MA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149,000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13,893,000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Saugus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Saugus, MA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171,000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12,739,000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NEW YORK/NEW JERSEY</w:t>
            </w:r>
          </w:p>
        </w:tc>
        <w:tc>
          <w:tcPr>
            <w:tcW w:w="1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Allwood.................</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Clifton, NJ</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52,000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1988</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4,150,000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3,560,000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Blue Star...............</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Watchung, NJ</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392,000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1988</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97%</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31,793,000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27,170,000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Brick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Brick, NJ</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288,000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1989</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1997</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45,108,000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21,362,000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Brunswick...............</w:t>
            </w:r>
          </w:p>
        </w:tc>
        <w:tc>
          <w:tcPr>
            <w:tcW w:w="28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North Brunswick, NJ 261,000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1988</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14,224,000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11,310,000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Clifton.................</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Clifton, NJ</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1988</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4,014,000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3,311,000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Hamilton................</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Hamilton, NJ</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185,000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1988</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7,275,000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4,907,000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Huntington..............</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Huntington, NY</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274,000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1988</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20,292,000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14,535,000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Rutgers.................</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Franklin, NJ</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216,000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1988</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15,055,000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13,102,000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Troy....................</w:t>
            </w:r>
          </w:p>
        </w:tc>
        <w:tc>
          <w:tcPr>
            <w:tcW w:w="28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Parsippany-Troy, NJ 201,000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1980</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96%</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17,640,000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PHILADELPHIA</w:t>
            </w:r>
          </w:p>
        </w:tc>
        <w:tc>
          <w:tcPr>
            <w:tcW w:w="1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Andorra.................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Philadelphia,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257,000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1988</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97%</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17,313,000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Bala Cynwyd.............</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Bala Cynwyd,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279,000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20,044,000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Ellisburg Circle........</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Cherry Hill, NJ</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255,000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1992</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25,108,000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Feasterville............</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Feasterville,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104,000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1980</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1983</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5,885,000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Flourtown...............</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Flourtown,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188,000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1980</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1983</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7,294,000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Langhorne Square........</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Levittown,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208,000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1985</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1989</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11,983,000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Lawrence Park...........</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Broomall,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340,000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1980</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1985</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77%</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14,166,000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3,466,000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Northeast...............</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Philadelphia,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303,000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1983</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1990</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99%</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20,430,000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1,500,000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Willow Grove............</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Willow Grove,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227,000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1984</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1987</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26,566,000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Wynnewood...............</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Wynnewood, PA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260,000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24,446,000</w:t>
            </w:r>
          </w:p>
        </w:tc>
        <w:tc>
          <w:tcPr>
            <w:tcW w:w="1580" w:type="dxa"/>
            <w:vAlign w:val="bottom"/>
          </w:tcPr>
          <w:p>
            <w:pPr>
              <w:spacing w:after="0"/>
              <w:rPr>
                <w:sz w:val="17"/>
                <w:szCs w:val="17"/>
                <w:color w:val="auto"/>
              </w:rPr>
            </w:pPr>
          </w:p>
        </w:tc>
      </w:tr>
      <w:tr>
        <w:trPr>
          <w:trHeight w:val="196"/>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BALTIMORE/WASHINGTON, D.C.</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Congressional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Rockville,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341,000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1965</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99%</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45,204,000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Falls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Falls Church,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1967</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1986</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2,805,000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4,219,000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Federal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Rockville,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243,000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1989</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1990</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99%</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59,435,000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28,256,000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Gaithersburg Square.....</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Gaithersburg,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201,000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1995</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86%</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21,531,000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Governor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Glen Burnie,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252,000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1985</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1989</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16,970,000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Idylwood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Falls Church,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73,000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14,811,000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Laurel..................</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Laurel,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384,000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1986</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1990</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43,462,000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Loehmann's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Fairfax,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245,000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1983</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1985</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97%</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21,726,000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6,374,000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Mid-Pike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Rockville,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311,000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1982</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1983</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16,009,000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10,041,000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Old Keene Mill..........</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Springfield,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92,000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1976</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1983</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4,293,000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6,917,000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Pan Am..................</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Fairfax,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218,000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24,062,000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Perring Plaza...........</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Baltimore,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437,000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1985</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99%</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23,530,000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Pike 7..................</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Tysons Corner,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163,000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32,382,000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Quince Orchard..........</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Gaithersburg,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240,000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96%</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16,355,000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Tysons Station..........</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Falls Church,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1978</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1981</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3,333,000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4,236,000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West Falls..............</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Falls Church,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62,000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1972</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1986</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3,125,000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4,842,000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Wildwood................</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Bethesda, MD</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85,000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1969</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1985</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15,344,000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CENTRAL VIRGINIA</w:t>
            </w:r>
          </w:p>
        </w:tc>
        <w:tc>
          <w:tcPr>
            <w:tcW w:w="1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Barracks Road...........</w:t>
            </w:r>
          </w:p>
        </w:tc>
        <w:tc>
          <w:tcPr>
            <w:tcW w:w="28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Charlottesville, VA 479,000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1985</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1990</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32,859,000</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21,221,000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Williamsburg............</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Williamsburg,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249,000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1986</w:t>
            </w:r>
          </w:p>
        </w:tc>
        <w:tc>
          <w:tcPr>
            <w:tcW w:w="7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12,926,000</w:t>
            </w:r>
          </w:p>
        </w:tc>
        <w:tc>
          <w:tcPr>
            <w:tcW w:w="1580" w:type="dxa"/>
            <w:vAlign w:val="bottom"/>
          </w:tcPr>
          <w:p>
            <w:pPr>
              <w:spacing w:after="0"/>
              <w:rPr>
                <w:sz w:val="17"/>
                <w:szCs w:val="17"/>
                <w:color w:val="auto"/>
              </w:rPr>
            </w:pP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The Shops at Willow</w:t>
            </w:r>
          </w:p>
        </w:tc>
        <w:tc>
          <w:tcPr>
            <w:tcW w:w="1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2500" w:type="dxa"/>
            <w:vAlign w:val="bottom"/>
          </w:tcPr>
          <w:p>
            <w:pPr>
              <w:ind w:left="100"/>
              <w:spacing w:after="0"/>
              <w:rPr>
                <w:sz w:val="20"/>
                <w:szCs w:val="20"/>
                <w:color w:val="auto"/>
              </w:rPr>
            </w:pPr>
            <w:r>
              <w:rPr>
                <w:rFonts w:ascii="Courier New" w:cs="Courier New" w:eastAsia="Courier New" w:hAnsi="Courier New"/>
                <w:sz w:val="17"/>
                <w:szCs w:val="17"/>
                <w:color w:val="auto"/>
              </w:rPr>
              <w:t>Lawn...................</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Richmond, VA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445,000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1983</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1987</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55,119,000</w:t>
            </w:r>
          </w:p>
        </w:tc>
        <w:tc>
          <w:tcPr>
            <w:tcW w:w="1580" w:type="dxa"/>
            <w:vAlign w:val="bottom"/>
          </w:tcPr>
          <w:p>
            <w:pPr>
              <w:spacing w:after="0"/>
              <w:rPr>
                <w:sz w:val="17"/>
                <w:szCs w:val="17"/>
                <w:color w:val="auto"/>
              </w:rPr>
            </w:pPr>
          </w:p>
        </w:tc>
      </w:tr>
      <w:tr>
        <w:trPr>
          <w:trHeight w:val="785"/>
        </w:trPr>
        <w:tc>
          <w:tcPr>
            <w:tcW w:w="2500" w:type="dxa"/>
            <w:vAlign w:val="bottom"/>
          </w:tcPr>
          <w:p>
            <w:pPr>
              <w:spacing w:after="0"/>
              <w:rPr>
                <w:sz w:val="24"/>
                <w:szCs w:val="24"/>
                <w:color w:val="auto"/>
              </w:rPr>
            </w:pPr>
          </w:p>
        </w:tc>
        <w:tc>
          <w:tcPr>
            <w:tcW w:w="1940" w:type="dxa"/>
            <w:vAlign w:val="bottom"/>
          </w:tcPr>
          <w:p>
            <w:pPr>
              <w:ind w:left="1380"/>
              <w:spacing w:after="0"/>
              <w:rPr>
                <w:sz w:val="20"/>
                <w:szCs w:val="20"/>
                <w:color w:val="auto"/>
              </w:rPr>
            </w:pPr>
            <w:r>
              <w:rPr>
                <w:rFonts w:ascii="Courier New" w:cs="Courier New" w:eastAsia="Courier New" w:hAnsi="Courier New"/>
                <w:sz w:val="17"/>
                <w:szCs w:val="17"/>
                <w:color w:val="auto"/>
              </w:rPr>
              <w:t>S-8</w:t>
            </w: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120"/>
          </w:cols>
          <w:pgMar w:left="240" w:top="703" w:right="5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7"/>
                <w:szCs w:val="17"/>
                <w:color w:val="auto"/>
              </w:rPr>
              <w:t>MORTGAGE OR</w:t>
            </w:r>
          </w:p>
        </w:tc>
      </w:tr>
      <w:tr>
        <w:trPr>
          <w:trHeight w:val="196"/>
        </w:trPr>
        <w:tc>
          <w:tcPr>
            <w:tcW w:w="26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rPr>
              <w:t>SQUARE</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YEAR</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CAPITAL LEASE</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1980" w:type="dxa"/>
            <w:vAlign w:val="bottom"/>
          </w:tcPr>
          <w:p>
            <w:pPr>
              <w:jc w:val="center"/>
              <w:ind w:right="75"/>
              <w:spacing w:after="0"/>
              <w:rPr>
                <w:sz w:val="20"/>
                <w:szCs w:val="20"/>
                <w:color w:val="auto"/>
              </w:rPr>
            </w:pPr>
            <w:r>
              <w:rPr>
                <w:rFonts w:ascii="Courier New" w:cs="Courier New" w:eastAsia="Courier New" w:hAnsi="Courier New"/>
                <w:sz w:val="17"/>
                <w:szCs w:val="17"/>
                <w:color w:val="auto"/>
              </w:rPr>
              <w:t>LOCATION</w:t>
            </w:r>
          </w:p>
        </w:tc>
        <w:tc>
          <w:tcPr>
            <w:tcW w:w="102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FEET</w:t>
            </w:r>
          </w:p>
        </w:tc>
        <w:tc>
          <w:tcPr>
            <w:tcW w:w="3120" w:type="dxa"/>
            <w:vAlign w:val="bottom"/>
            <w:gridSpan w:val="3"/>
          </w:tcPr>
          <w:p>
            <w:pPr>
              <w:jc w:val="right"/>
              <w:ind w:right="115"/>
              <w:spacing w:after="0"/>
              <w:rPr>
                <w:sz w:val="20"/>
                <w:szCs w:val="20"/>
                <w:color w:val="auto"/>
              </w:rPr>
            </w:pPr>
            <w:r>
              <w:rPr>
                <w:rFonts w:ascii="Courier New" w:cs="Courier New" w:eastAsia="Courier New" w:hAnsi="Courier New"/>
                <w:sz w:val="17"/>
                <w:szCs w:val="17"/>
                <w:color w:val="auto"/>
              </w:rPr>
              <w:t>ACQUIRED RENOVATED OCCUPANCY</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TOTAL COST</w:t>
            </w:r>
          </w:p>
        </w:tc>
        <w:tc>
          <w:tcPr>
            <w:tcW w:w="1560" w:type="dxa"/>
            <w:vAlign w:val="bottom"/>
          </w:tcPr>
          <w:p>
            <w:pPr>
              <w:ind w:left="140"/>
              <w:spacing w:after="0"/>
              <w:rPr>
                <w:sz w:val="20"/>
                <w:szCs w:val="20"/>
                <w:color w:val="auto"/>
              </w:rPr>
            </w:pPr>
            <w:r>
              <w:rPr>
                <w:rFonts w:ascii="Courier New" w:cs="Courier New" w:eastAsia="Courier New" w:hAnsi="Courier New"/>
                <w:sz w:val="17"/>
                <w:szCs w:val="17"/>
                <w:color w:val="auto"/>
              </w:rPr>
              <w:t>OBLIGATION</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9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41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MIDWEST</w:t>
            </w: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Crossroads..............</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Highland Park, IL</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137,000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w w:val="97"/>
              </w:rPr>
              <w:t>$18,130,000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Finley..................</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Downers Grove, IL</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306,000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20,762,000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Garden Market...........</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Western Springs, IL</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134,000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8,102,000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Gratiot Plaza...........</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Roseville, MI</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148,000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1973</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4,719,000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North Lake Commons......</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Lake Zurich, IL</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123,000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11,525,000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CALIFORNIA</w:t>
            </w: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Escondido...............</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Escondido, CA</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222,000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23,833,000</w:t>
            </w:r>
          </w:p>
        </w:tc>
        <w:tc>
          <w:tcPr>
            <w:tcW w:w="15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$ 9,400,000</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Town &amp; Country..........</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San Jose, CA</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320,000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76%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43,631,000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Eastgate................</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Chapel Hill, NC</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1986</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11,802,000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Lancaster...............</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Lancaster, PA</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107,000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1980</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1981</w:t>
            </w: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4,716,000</w:t>
            </w:r>
          </w:p>
        </w:tc>
        <w:tc>
          <w:tcPr>
            <w:tcW w:w="15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1,018,000</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Northeast Plaza.........</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Atlanta, GA</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446,000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1986</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72%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38,300,000</w:t>
            </w:r>
          </w:p>
        </w:tc>
        <w:tc>
          <w:tcPr>
            <w:tcW w:w="1560" w:type="dxa"/>
            <w:vAlign w:val="bottom"/>
          </w:tcPr>
          <w:p>
            <w:pPr>
              <w:spacing w:after="0"/>
              <w:rPr>
                <w:sz w:val="17"/>
                <w:szCs w:val="17"/>
                <w:color w:val="auto"/>
              </w:rPr>
            </w:pPr>
          </w:p>
        </w:tc>
      </w:tr>
      <w:tr>
        <w:trPr>
          <w:trHeight w:val="392"/>
        </w:trPr>
        <w:tc>
          <w:tcPr>
            <w:tcW w:w="2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7"/>
                <w:szCs w:val="17"/>
                <w:color w:val="auto"/>
              </w:rPr>
              <w:t>MORTGAGE OR</w:t>
            </w:r>
          </w:p>
        </w:tc>
      </w:tr>
      <w:tr>
        <w:trPr>
          <w:trHeight w:val="196"/>
        </w:trPr>
        <w:tc>
          <w:tcPr>
            <w:tcW w:w="2660" w:type="dxa"/>
            <w:vAlign w:val="bottom"/>
          </w:tcPr>
          <w:p>
            <w:pPr>
              <w:spacing w:after="0"/>
              <w:rPr>
                <w:sz w:val="17"/>
                <w:szCs w:val="17"/>
                <w:color w:val="auto"/>
              </w:rPr>
            </w:pPr>
          </w:p>
        </w:tc>
        <w:tc>
          <w:tcPr>
            <w:tcW w:w="1980" w:type="dxa"/>
            <w:vAlign w:val="bottom"/>
          </w:tcPr>
          <w:p>
            <w:pPr>
              <w:jc w:val="center"/>
              <w:ind w:right="55"/>
              <w:spacing w:after="0"/>
              <w:rPr>
                <w:sz w:val="20"/>
                <w:szCs w:val="20"/>
                <w:color w:val="auto"/>
              </w:rPr>
            </w:pPr>
            <w:r>
              <w:rPr>
                <w:rFonts w:ascii="Courier New" w:cs="Courier New" w:eastAsia="Courier New" w:hAnsi="Courier New"/>
                <w:sz w:val="17"/>
                <w:szCs w:val="17"/>
                <w:color w:val="auto"/>
              </w:rPr>
              <w:t>NUMBER OF RETAIL</w:t>
            </w: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rPr>
              <w:t>SQUARE</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YEAR</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CAPITAL LEASE</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MAIN STREET RETAIL</w:t>
            </w:r>
          </w:p>
        </w:tc>
        <w:tc>
          <w:tcPr>
            <w:tcW w:w="1980" w:type="dxa"/>
            <w:vAlign w:val="bottom"/>
          </w:tcPr>
          <w:p>
            <w:pPr>
              <w:jc w:val="center"/>
              <w:ind w:right="75"/>
              <w:spacing w:after="0"/>
              <w:rPr>
                <w:sz w:val="20"/>
                <w:szCs w:val="20"/>
                <w:color w:val="auto"/>
              </w:rPr>
            </w:pPr>
            <w:r>
              <w:rPr>
                <w:rFonts w:ascii="Courier New" w:cs="Courier New" w:eastAsia="Courier New" w:hAnsi="Courier New"/>
                <w:sz w:val="17"/>
                <w:szCs w:val="17"/>
                <w:color w:val="auto"/>
                <w:w w:val="99"/>
              </w:rPr>
              <w:t>PROPERTIES</w:t>
            </w:r>
          </w:p>
        </w:tc>
        <w:tc>
          <w:tcPr>
            <w:tcW w:w="102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FEET</w:t>
            </w:r>
          </w:p>
        </w:tc>
        <w:tc>
          <w:tcPr>
            <w:tcW w:w="3120" w:type="dxa"/>
            <w:vAlign w:val="bottom"/>
            <w:gridSpan w:val="3"/>
          </w:tcPr>
          <w:p>
            <w:pPr>
              <w:jc w:val="right"/>
              <w:ind w:right="115"/>
              <w:spacing w:after="0"/>
              <w:rPr>
                <w:sz w:val="20"/>
                <w:szCs w:val="20"/>
                <w:color w:val="auto"/>
              </w:rPr>
            </w:pPr>
            <w:r>
              <w:rPr>
                <w:rFonts w:ascii="Courier New" w:cs="Courier New" w:eastAsia="Courier New" w:hAnsi="Courier New"/>
                <w:sz w:val="17"/>
                <w:szCs w:val="17"/>
                <w:color w:val="auto"/>
              </w:rPr>
              <w:t>ACQUIRED RENOVATED OCCUPANCY</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TOTAL COST</w:t>
            </w:r>
          </w:p>
        </w:tc>
        <w:tc>
          <w:tcPr>
            <w:tcW w:w="1560" w:type="dxa"/>
            <w:vAlign w:val="bottom"/>
          </w:tcPr>
          <w:p>
            <w:pPr>
              <w:ind w:left="140"/>
              <w:spacing w:after="0"/>
              <w:rPr>
                <w:sz w:val="20"/>
                <w:szCs w:val="20"/>
                <w:color w:val="auto"/>
              </w:rPr>
            </w:pPr>
            <w:r>
              <w:rPr>
                <w:rFonts w:ascii="Courier New" w:cs="Courier New" w:eastAsia="Courier New" w:hAnsi="Courier New"/>
                <w:sz w:val="17"/>
                <w:szCs w:val="17"/>
                <w:color w:val="auto"/>
              </w:rPr>
              <w:t>OBLIGATION</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9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120" w:type="dxa"/>
            <w:vAlign w:val="bottom"/>
            <w:gridSpan w:val="3"/>
          </w:tcPr>
          <w:p>
            <w:pPr>
              <w:ind w:left="260"/>
              <w:spacing w:after="0"/>
              <w:rPr>
                <w:sz w:val="20"/>
                <w:szCs w:val="20"/>
                <w:color w:val="auto"/>
              </w:rPr>
            </w:pPr>
            <w:r>
              <w:rPr>
                <w:rFonts w:ascii="Courier New" w:cs="Courier New" w:eastAsia="Courier New" w:hAnsi="Courier New"/>
                <w:sz w:val="17"/>
                <w:szCs w:val="17"/>
                <w:color w:val="auto"/>
                <w:w w:val="99"/>
              </w:rPr>
              <w:t>-------- --------- ---------</w:t>
            </w: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NEW ENGLAND</w:t>
            </w: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Brookline, MA...........</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w w:val="97"/>
              </w:rPr>
              <w:t>$ 3,902,000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Greenwich, CT...........</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4</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28,955,000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West Hartford, CT.......</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7</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126,000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15,625,000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Westport, CT............</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2</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26,000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9,890,000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NEW YORK/NEW JERSEY</w:t>
            </w: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Westfield, NJ...........</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11,000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3,259,000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Forest Hills, NY........</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12,563,000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w w:val="99"/>
              </w:rPr>
              <w:t>BALTIMORE/WASHINGTON, D.C.</w:t>
            </w: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Bethesda, MD............</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276,000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28,473,000</w:t>
            </w:r>
          </w:p>
        </w:tc>
        <w:tc>
          <w:tcPr>
            <w:tcW w:w="15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$12,576,000</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Shirlington, VA.........</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368,000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26,172,000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Washington, DC..........</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11,399,000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SOUTHEAST</w:t>
            </w: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Winter Park, FL.........</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2</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28,000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6,853,000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MIDWEST</w:t>
            </w: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Chicago, IL.............</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4,218,000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Evanston, IL............</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2</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19,000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72%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3,732,000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SOUTHERN CALIFORNIA</w:t>
            </w: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Hermosa Beach, CA.......</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25,000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78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1,493,000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Pasadena, CA............</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27,000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78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N/A(2)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3,128,000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San Diego, CA...........</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65,000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78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5,643,000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Santa Monica, CA........</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7</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123,000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78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39%(4)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33,057,000</w:t>
            </w: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NORTHWEST</w:t>
            </w: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Portland, OR............</w:t>
            </w:r>
          </w:p>
        </w:tc>
        <w:tc>
          <w:tcPr>
            <w:tcW w:w="1980" w:type="dxa"/>
            <w:vAlign w:val="bottom"/>
          </w:tcPr>
          <w:p>
            <w:pPr>
              <w:jc w:val="right"/>
              <w:ind w:right="875"/>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110,000</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78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15,653,000</w:t>
            </w:r>
          </w:p>
        </w:tc>
        <w:tc>
          <w:tcPr>
            <w:tcW w:w="1560" w:type="dxa"/>
            <w:vAlign w:val="bottom"/>
          </w:tcPr>
          <w:p>
            <w:pPr>
              <w:spacing w:after="0"/>
              <w:rPr>
                <w:sz w:val="17"/>
                <w:szCs w:val="17"/>
                <w:color w:val="auto"/>
              </w:rPr>
            </w:pPr>
          </w:p>
        </w:tc>
      </w:tr>
      <w:tr>
        <w:trPr>
          <w:trHeight w:val="392"/>
        </w:trPr>
        <w:tc>
          <w:tcPr>
            <w:tcW w:w="2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7"/>
                <w:szCs w:val="17"/>
                <w:color w:val="auto"/>
              </w:rPr>
              <w:t>MORTGAGE OR</w:t>
            </w:r>
          </w:p>
        </w:tc>
      </w:tr>
      <w:tr>
        <w:trPr>
          <w:trHeight w:val="196"/>
        </w:trPr>
        <w:tc>
          <w:tcPr>
            <w:tcW w:w="26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rPr>
              <w:t>SQUARE</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YEAR</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CAPITAL LEASE</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APARTMENTS</w:t>
            </w:r>
          </w:p>
        </w:tc>
        <w:tc>
          <w:tcPr>
            <w:tcW w:w="1980" w:type="dxa"/>
            <w:vAlign w:val="bottom"/>
          </w:tcPr>
          <w:p>
            <w:pPr>
              <w:jc w:val="center"/>
              <w:ind w:right="75"/>
              <w:spacing w:after="0"/>
              <w:rPr>
                <w:sz w:val="20"/>
                <w:szCs w:val="20"/>
                <w:color w:val="auto"/>
              </w:rPr>
            </w:pPr>
            <w:r>
              <w:rPr>
                <w:rFonts w:ascii="Courier New" w:cs="Courier New" w:eastAsia="Courier New" w:hAnsi="Courier New"/>
                <w:sz w:val="17"/>
                <w:szCs w:val="17"/>
                <w:color w:val="auto"/>
              </w:rPr>
              <w:t>LOCATION</w:t>
            </w:r>
          </w:p>
        </w:tc>
        <w:tc>
          <w:tcPr>
            <w:tcW w:w="102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FEET</w:t>
            </w:r>
          </w:p>
        </w:tc>
        <w:tc>
          <w:tcPr>
            <w:tcW w:w="3120" w:type="dxa"/>
            <w:vAlign w:val="bottom"/>
            <w:gridSpan w:val="3"/>
          </w:tcPr>
          <w:p>
            <w:pPr>
              <w:jc w:val="right"/>
              <w:ind w:right="115"/>
              <w:spacing w:after="0"/>
              <w:rPr>
                <w:sz w:val="20"/>
                <w:szCs w:val="20"/>
                <w:color w:val="auto"/>
              </w:rPr>
            </w:pPr>
            <w:r>
              <w:rPr>
                <w:rFonts w:ascii="Courier New" w:cs="Courier New" w:eastAsia="Courier New" w:hAnsi="Courier New"/>
                <w:sz w:val="17"/>
                <w:szCs w:val="17"/>
                <w:color w:val="auto"/>
              </w:rPr>
              <w:t>ACQUIRED RENOVATED OCCUPANCY</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TOTAL COST</w:t>
            </w:r>
          </w:p>
        </w:tc>
        <w:tc>
          <w:tcPr>
            <w:tcW w:w="1560" w:type="dxa"/>
            <w:vAlign w:val="bottom"/>
          </w:tcPr>
          <w:p>
            <w:pPr>
              <w:ind w:left="140"/>
              <w:spacing w:after="0"/>
              <w:rPr>
                <w:sz w:val="20"/>
                <w:szCs w:val="20"/>
                <w:color w:val="auto"/>
              </w:rPr>
            </w:pPr>
            <w:r>
              <w:rPr>
                <w:rFonts w:ascii="Courier New" w:cs="Courier New" w:eastAsia="Courier New" w:hAnsi="Courier New"/>
                <w:sz w:val="17"/>
                <w:szCs w:val="17"/>
                <w:color w:val="auto"/>
              </w:rPr>
              <w:t>OBLIGATION</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9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 ---------</w:t>
            </w: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w w:val="99"/>
              </w:rPr>
              <w:t>BALTIMORE/WASHINGTON, D.C.</w:t>
            </w: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Rollingwood Apartments..</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Silver Spring, MD</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282 units</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1971</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1992</w:t>
            </w:r>
          </w:p>
        </w:tc>
        <w:tc>
          <w:tcPr>
            <w:tcW w:w="12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w w:val="97"/>
              </w:rPr>
              <w:t>$ 6,471,000</w:t>
            </w:r>
          </w:p>
        </w:tc>
        <w:tc>
          <w:tcPr>
            <w:tcW w:w="1560" w:type="dxa"/>
            <w:vAlign w:val="bottom"/>
          </w:tcPr>
          <w:p>
            <w:pPr>
              <w:spacing w:after="0"/>
              <w:rPr>
                <w:sz w:val="17"/>
                <w:szCs w:val="17"/>
                <w:color w:val="auto"/>
              </w:rPr>
            </w:pP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20" w:hanging="415"/>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total 25,000 square feet, 15,000 square feet is under redevelopment.</w:t>
      </w:r>
    </w:p>
    <w:p>
      <w:pPr>
        <w:spacing w:after="0" w:line="3" w:lineRule="exact"/>
        <w:rPr>
          <w:rFonts w:ascii="Courier New" w:cs="Courier New" w:eastAsia="Courier New" w:hAnsi="Courier New"/>
          <w:sz w:val="17"/>
          <w:szCs w:val="17"/>
          <w:color w:val="auto"/>
        </w:rPr>
      </w:pPr>
    </w:p>
    <w:p>
      <w:pPr>
        <w:ind w:left="420" w:hanging="415"/>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building is currently under redevelopment.</w:t>
      </w:r>
    </w:p>
    <w:p>
      <w:pPr>
        <w:spacing w:after="0" w:line="4" w:lineRule="exact"/>
        <w:rPr>
          <w:rFonts w:ascii="Courier New" w:cs="Courier New" w:eastAsia="Courier New" w:hAnsi="Courier New"/>
          <w:sz w:val="17"/>
          <w:szCs w:val="17"/>
          <w:color w:val="auto"/>
        </w:rPr>
      </w:pPr>
    </w:p>
    <w:p>
      <w:pPr>
        <w:ind w:left="420" w:right="4480" w:hanging="415"/>
        <w:spacing w:after="0" w:line="243"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total 65,000 square, 62,000 square feet is currently under redevelopment.</w:t>
      </w:r>
    </w:p>
    <w:p>
      <w:pPr>
        <w:spacing w:after="0" w:line="2" w:lineRule="exact"/>
        <w:rPr>
          <w:rFonts w:ascii="Courier New" w:cs="Courier New" w:eastAsia="Courier New" w:hAnsi="Courier New"/>
          <w:sz w:val="17"/>
          <w:szCs w:val="17"/>
          <w:color w:val="auto"/>
        </w:rPr>
      </w:pPr>
    </w:p>
    <w:p>
      <w:pPr>
        <w:ind w:left="420" w:right="3860" w:hanging="415"/>
        <w:spacing w:after="0" w:line="243"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total 123,000 square feet, 72,000 square feet is currently under redevelopment.</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1520"/>
          </w:cols>
          <w:pgMar w:left="240" w:top="1096" w:right="139" w:bottom="1440" w:gutter="0" w:footer="0" w:header="0"/>
        </w:sectPr>
      </w:pPr>
    </w:p>
    <w:bookmarkStart w:id="11" w:name="page12"/>
    <w:bookmarkEnd w:id="11"/>
    <w:p>
      <w:pPr>
        <w:ind w:left="1940"/>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Net cash provided by operating activities increased from $28.8 million during the first half of 1996 to $33.3 million during the first half of 1997. The $4.4 million increase resulted primarily from the positive cash effects of a $6.4 million increase in income before gain on sale of real estate and a $1.9 million increase in depreciation and amortization offset by a $3.1 million increase in cash used for operating activities such as accounts receivable, prepaid expenses, accounts payable and accrued expenses. Dividends paid in cash were $30.1 million in 1997 and $25.1 million in 1996.</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During the first half of 1997, the Trust invested $103.3 million of cash to acquire real estate assets, $23.6 million to improve its properties and $13.7 million in mortgage notes receivable. On January 6, 1997 the Trust purchased the fee interest in Shillington, Troy and Feasterville Shopping Centers for $1.9 million, $5.7 million and $2.2 million, respectively. The Trust also contracted to purchase the fee interest in Lawrence Park Shopping Center in June 1998 for $8.5 million. In connection with the purchase agreement for Lawrence Park, in January 1997 the Trust lent the seller $8.8 million at 8% interest which is due in June 1998. The Trust had previously held these properties under capital leases. On February 24, 1997 the Trust purchased a 16 acre tract of land underlying part of the Shops at Willow Lawn for $4.6 million in cash. On June 3, 1997 the Trust exercised its purchase option on a parcel of land adjacent to its Bethesda Row property in Bethesda, Maryland for $5.8 million in cash. The land will be used for future development. In connection with the purchase, a $3.6 million mortgage which the Trust had made to the seller was repaid.</w:t>
      </w:r>
    </w:p>
    <w:p>
      <w:pPr>
        <w:spacing w:after="0" w:line="203"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purchased four retail buildings and two shopping centers during the first half of 1997. On January 22, 1997 the Trust purchased a 5,000 square foot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On April 17, 1997, Street Retail West II, a partnership which was organized in December 1996, exercised its purchase option on a retail building in Santa Monica, California. The total cost, including the buyout of the existing tenant, was $7.1 million. In accordance with the provisions of the partnership agreements, the Trust contributed 90% of the cost of these buildings to the partnerships with the other 10% being contributed by the minority interests. Also, on April 17, 1997 the Trust loaned the minority partners in Street Retail West II $3.9 million. The loan is secured by property in Santa Monica, earns interest at 10% and participates in certain revenues and appreciation of the property.</w:t>
      </w:r>
    </w:p>
    <w:p>
      <w:pPr>
        <w:spacing w:after="0" w:line="203"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On March 5, 1997 the Trust, through a Limited Liability Company ("the LLC") organized by the Trust, purchased the 320,000 square foot San Jose Town &amp; Country Village Shopping Center in San Jose, California for $42.8 million. The other member of the LLC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703" w:right="1440" w:bottom="1440" w:gutter="0" w:footer="0" w:header="0"/>
        </w:sectPr>
      </w:pPr>
    </w:p>
    <w:bookmarkStart w:id="12" w:name="page13"/>
    <w:bookmarkEnd w:id="12"/>
    <w:p>
      <w:pPr>
        <w:ind w:right="2459" w:firstLine="204"/>
        <w:spacing w:after="0" w:line="244" w:lineRule="auto"/>
        <w:rPr>
          <w:sz w:val="20"/>
          <w:szCs w:val="20"/>
          <w:color w:val="auto"/>
        </w:rPr>
      </w:pPr>
      <w:r>
        <w:rPr>
          <w:rFonts w:ascii="Courier New" w:cs="Courier New" w:eastAsia="Courier New" w:hAnsi="Courier New"/>
          <w:sz w:val="17"/>
          <w:szCs w:val="17"/>
          <w:color w:val="auto"/>
        </w:rPr>
        <w:t>On May 13, 1997 the Trust sold Town &amp; Country Shopping Center in Springfield, Illinois for $7.5 million, resulting in a gain of $5.3 million. On May 30, 1997 Shillington Shopping Center in Shillington, Pennsylvania was sold for $4.6 million, resulting in a gain of $1.7 million. The cash from these transactions was deposited with an escrow agent to be used for future acquisitions, in order to structure the sales as tax free exchanges for tax purposes.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Improvements to Trust properties during the first half of 1997 included $4.3 million for the second phase of the redevelopment of Brick Plaza, $2.7 million to begin the redevelopment of Wynnewood Shopping Center, $3.2 on the redevelopment of Troy Shopping Center, $6.5 million of tenant work.</w:t>
      </w:r>
    </w:p>
    <w:p>
      <w:pPr>
        <w:spacing w:after="0" w:line="198"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On April 24, 1997 the Trust purchased Terranomics Retail Services, a property management and brokerage company for approximately $2.0 million, to provide it with leasing and property management services on the west coast.</w:t>
      </w:r>
    </w:p>
    <w:p>
      <w:pPr>
        <w:spacing w:after="0" w:line="200"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On July 16, 1997 the Trust purchased a 3,750 square foot parcel of land in Bethesda, Maryland for approximately $800,000. The land was purchased in order to allow future expansion of the Trust's Bethesda Row property.</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has $135.0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 term debt. At June 30, 1997 the Trust had borrowed $93.1 million under these facilities, the maximum amount borrowed under these facilities in 1997. Amounts advanced under these facilities bear interest at LIBOR plus 75 basis points; the weighted average interest rate on borrowings during the first half of 1997 was 6.4%.</w:t>
      </w:r>
    </w:p>
    <w:p>
      <w:pPr>
        <w:spacing w:after="0" w:line="200"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On February 4, 1997 the Trust sold 3.0 million shares to an institutional investor for $28 per share, netting $83.9 million. Proceeds from this offering were used primarily to repay borrowings on the revolving credit facilities.</w:t>
      </w:r>
    </w:p>
    <w:p>
      <w:pPr>
        <w:spacing w:after="0" w:line="200"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On July 29, 1997 the Trust sold $40 million of 6.82% Medium Term Notes. The notes, which pay interest semi-annually on February 1 and August 1, mature on August 1, 2027, but may be redeemed, at par, at the option of holders on August 1, 2007. Proceeds will be used to repay borrowings on the revolving credit facilities.</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Trust is contractually obligated on contracts of approximately $7.6 million for redevelopment and tenant improvements and is committed unless leases for up to an additional $6.5 million in tenant work and general improvements to its properties. In addition to these committed amounts, the Trust has budgeted an additional $6 billion for the remainder of 1997 for improvements to its properties. These committed and budgeted improvements include the completion of the second phase of the redevelopment and expansion of Brick Plaza, the completion of the renovation and retenanting of Troy Shopping Center, and the continuation of the renovation and retenanting of Wynnewood Shopping Center. These expenditures will be funded with the revolving credit facilities pending their long term financing with either equity or debt.</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plans additional acquisitions of retail properties, both shopping center and main street buildings, during the remainder of 1997. In addition, the Trust has identified a limited number of sites in its core markets for the development of new shopping centers.</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Trust will need new additional capital in order to fund these acquisitions, expansions and refinancings. Sources of this funding may be additional debt, additional equity or proceeds from the sale of existing properties. The timing and choice between additional debt or equity financing will depend upon many factors, including the market price for the Trust's shares, interest rates and the ratio of debt to net worth. The Trust believes that it will be able to raise this capital as needed, based on its past success in so doing.</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10219"/>
          </w:cols>
          <w:pgMar w:left="240" w:top="70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CONTINGENCIES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Under the terms of certain partnerships, if certain leasing and revenue levels are obtain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OPERATIONS--YEAR ENDED DECEMBER 31, 1996</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The National Association of Real Estate Investment Trusts (NAREIT) defines funds from operations as follows: income before depreciation and amortization of real estate assets and before extraordinary items and significant non-recurring events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reconciliation of net income to funds from operations is as follows: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 ENDED DECEMBER 31,</w:t>
            </w:r>
          </w:p>
        </w:tc>
      </w:tr>
      <w:tr>
        <w:trPr>
          <w:trHeight w:val="196"/>
        </w:trPr>
        <w:tc>
          <w:tcPr>
            <w:tcW w:w="5620" w:type="dxa"/>
            <w:vAlign w:val="bottom"/>
          </w:tcPr>
          <w:p>
            <w:pPr>
              <w:spacing w:after="0"/>
              <w:rPr>
                <w:sz w:val="17"/>
                <w:szCs w:val="17"/>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1996</w:t>
            </w: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1995</w:t>
            </w:r>
          </w:p>
        </w:tc>
        <w:tc>
          <w:tcPr>
            <w:tcW w:w="7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5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6"/>
        </w:trPr>
        <w:tc>
          <w:tcPr>
            <w:tcW w:w="5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(IN</w:t>
            </w:r>
          </w:p>
        </w:tc>
        <w:tc>
          <w:tcPr>
            <w:tcW w:w="15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THOUSANDS)</w:t>
            </w:r>
          </w:p>
        </w:tc>
      </w:tr>
      <w:tr>
        <w:trPr>
          <w:trHeight w:val="392"/>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Net income............................................</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$28,742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$23,110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$20,466</w:t>
            </w: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Depreciation and amortization of real estate assets...</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34,128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30,986</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26,479</w:t>
            </w: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Amortization of initial direct cost of leases.........</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2,372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2,393</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2,404</w:t>
            </w: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Loss on sale of real estate, extraordinary and non-re-</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curring items........................................</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545</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1,055</w:t>
            </w:r>
          </w:p>
        </w:tc>
      </w:tr>
      <w:tr>
        <w:trPr>
          <w:trHeight w:val="196"/>
        </w:trPr>
        <w:tc>
          <w:tcPr>
            <w:tcW w:w="5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Funds from operations.................................</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$65,254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$57,034</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$50,404</w:t>
            </w:r>
          </w:p>
        </w:tc>
      </w:tr>
      <w:tr>
        <w:trPr>
          <w:trHeight w:val="196"/>
        </w:trPr>
        <w:tc>
          <w:tcPr>
            <w:tcW w:w="5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397"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Trust's retail leases generally provide for minimum rents, with periodic increases. Most retail tenants pay a majority of on-site operating expenses and real estate taxes. Many leases also contain a percentage rent clause which calls for additional rents based on tenant sales, so that at a given sales</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S-12</w:t>
      </w:r>
    </w:p>
    <w:p>
      <w:pPr>
        <w:sectPr>
          <w:pgSz w:w="11900" w:h="16838" w:orient="portrait"/>
          <w:cols w:equalWidth="0" w:num="1">
            <w:col w:w="10219"/>
          </w:cols>
          <w:pgMar w:left="240" w:top="703" w:right="1440" w:bottom="1440" w:gutter="0" w:footer="0" w:header="0"/>
        </w:sectPr>
      </w:pPr>
    </w:p>
    <w:bookmarkStart w:id="14" w:name="page15"/>
    <w:bookmarkEnd w:id="14"/>
    <w:p>
      <w:pPr>
        <w:ind w:right="2259"/>
        <w:spacing w:after="0" w:line="243" w:lineRule="auto"/>
        <w:rPr>
          <w:sz w:val="20"/>
          <w:szCs w:val="20"/>
          <w:color w:val="auto"/>
        </w:rPr>
      </w:pPr>
      <w:r>
        <w:rPr>
          <w:rFonts w:ascii="Courier New" w:cs="Courier New" w:eastAsia="Courier New" w:hAnsi="Courier New"/>
          <w:sz w:val="17"/>
          <w:szCs w:val="17"/>
          <w:color w:val="auto"/>
        </w:rPr>
        <w:t>volume, if prices increase, so does rental income. These features in the Trust leases reduce the Trust's exposure to higher costs caused by inflation, although inflation has not been significant in recent years.</w:t>
      </w:r>
    </w:p>
    <w:p>
      <w:pPr>
        <w:spacing w:after="0" w:line="200"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Rental income, which consists of minimum rent, percentage rent, and cost recoveries, increased 11.5% in 1995 to $142.8 million from $128.1 million in 1994 and 15.4% in 1996 to $164.9 million. If centers acquired and sold in 1994, 1995 and 1996 are excluded, rental income increased 4.3% from 1994 to 1995 and 6.6% from 1995 to 1996.</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Minimum rents increased 14% in 1995 to $113.9 million from $99.9 million in 1994 and 15.5% in 1996 to $131.5 million. If centers acquired and sold in 1994, 1995 and 1996 are excluded, minimum rents increased 6.7% from 1994 to 1995 and 6.2% from 1995 to 1996. Fifty percent of the increase in minimum rent in 1996 was from Congressional Plaza, Brick Plaza and Gaithersburg Square, which have been redeveloped and retenanted. Thirty-four percent of the increase in minimum rent in 1995 was from Congressional Plaza.</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Cost reimbursements consist of tenant reimbursements of real estate taxes (real estate tax recovery) and common area maintenance expenses (CAM recovery). After removing the effect of properties purchased and sold during the past three years, real estate tax recovery increased 6.2% from 1994 to 1995 and 9.7% from 1995 to 1996. Forty-nine percent of the increase from 1994 to 1995 was attributable to Congressional Plaza as its occupancy increased after being vacated for renovation. Sixty-four percent of the increase in 1996 was attributable to Congressional Plaza, Brick Plaza and Gaithersburg Square. CAM recovery on the portfolio, adjusted to remove the effect of properties purchased in 1994, 1995 and 1996, was $13.2 million in 1994, $11.5 million in 1995 and $13.2 million in 1996. These fluctuations correspond to fluctuations in CAM expenses, primarily snow removal and related repairs which were high in 1994 and 1996 due to heavy snowfalls in those years.</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Other property income includes items which tend to fluctuate from period to period, such as utility reimbursements, telephone income, merchant association dues, lease termination fees, late fees and temporary tenant income. The increases from 1994 to 1996 were due primarily to the fluctuating nature of the income. Major increases in 1995 over 1994 resulted from lease termination fees, an unexpected recovery from a bankrupt tenant, merchant association dues and a commission on telephone services. The increase from 1995 to 1996 was due to lease termination fees.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Rental expenses went from $35.8 million in 1994 to $35.1 million in 1995 to $40.7 million in 1996, which represents 26.8% of property income (rental income plus other property income) in 1994, 23.4% in 1995 and 23.3% in 1996. If rental expenses are adjusted to remove the effect of properties purchased and sold in 1994, 1995 and 1996, rental expenses ranged from $35.1 million in 1994 to $32.6 million in 1995 to $35.3 million in 1996. The primary reason for the decrease from 1994 to 1995 was a decrease in snow removal and other related expenses, such as roof and parking lot repairs. The increase from 1995 to 1996 was caused by an increase in snow related expenses and by an increase in the write-off of tenant work and lease commissions, often connected with tenants whose leases were terminated. Real estate taxes have ranged from 9.0% of property income in 1994 to 9.6% in 1995 to 9.4% in 1996. The lower percentage in 1994 was primarily due to Congressional Plaza, which received a refund of prior year taxes in 1994.</w:t>
      </w:r>
    </w:p>
    <w:p>
      <w:pPr>
        <w:spacing w:after="0" w:line="202"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Depreciation and amortization expenses have increased because of the recent acquisitions and also because of the depreciation on recent tenant work and property improvements.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Interest income has increased slightly over the past three years. The Trust's major sources of interest income are on its mortgage notes receivable, its notes to officers, and its available cash balances. Increases in interest income due to the issuance of $14.3 million in mortgage notes receivable in 1996 were offset by decreases in interest on investments in marketable securities which the Trust sold in 1995. Included in interest income in 1995 is the effect of the sale in December 1995</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S-13</w:t>
      </w:r>
    </w:p>
    <w:p>
      <w:pPr>
        <w:sectPr>
          <w:pgSz w:w="11900" w:h="16838" w:orient="portrait"/>
          <w:cols w:equalWidth="0" w:num="1">
            <w:col w:w="10219"/>
          </w:cols>
          <w:pgMar w:left="240" w:top="704" w:right="1440" w:bottom="1440" w:gutter="0" w:footer="0" w:header="0"/>
        </w:sectPr>
      </w:pPr>
    </w:p>
    <w:bookmarkStart w:id="15" w:name="page16"/>
    <w:bookmarkEnd w:id="15"/>
    <w:p>
      <w:pPr>
        <w:jc w:val="both"/>
        <w:ind w:right="2259"/>
        <w:spacing w:after="0" w:line="243" w:lineRule="auto"/>
        <w:rPr>
          <w:sz w:val="20"/>
          <w:szCs w:val="20"/>
          <w:color w:val="auto"/>
        </w:rPr>
      </w:pPr>
      <w:r>
        <w:rPr>
          <w:rFonts w:ascii="Courier New" w:cs="Courier New" w:eastAsia="Courier New" w:hAnsi="Courier New"/>
          <w:sz w:val="17"/>
          <w:szCs w:val="17"/>
          <w:color w:val="auto"/>
        </w:rPr>
        <w:t>of the Trust's investment in Olympia and York Senior First Mortgage Notes and other real estate investment trusts, both of which were written down to market value in prior years.</w:t>
      </w:r>
    </w:p>
    <w:p>
      <w:pPr>
        <w:spacing w:after="0" w:line="200"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Interest expense increased to $45.6 million in 1996 from $39.3 million in 1995, due to interest on the $50 million of senior debentures issued in 1996 and the $165 million of senior notes issued in 1995, due to interest from increased usage of the revolving credit facilities and due to interest on the mortgage assumed upon the purchase of Bristol Shopping Center. Interest expense increased from $31.5 million in 1994 to $39.3 million in 1995, primarily due to interest on the three issues of senior notes in 1995. The ratio of earnings to fixed charges was 1.59x, 1.55x and 1.61x in 1996, 1995 and 1994, respectively. The ratio of funds from operations to fixed charges was 2.35x, 2.35x, and 2.52x in 1996, 1995 and 1994, respectively.</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Administrative expenses have increased as the Trust has grown and as it has accelerated its acquisition and development efforts. Administrative expenses as a percentage of total income, however, were fairly constant, at 5.1%, 4.7% and 4.8% in 1996, 1995 and 1994, respectively. The $1.8 million increase from 1995 to 1996 was primarily due to the write-off of costs associated with unconsummated acquisition and development efforts and due to costs related to the move of the Trust's corporate office. The major components of the increase in 1995 over 1994 were in payroll and in costs related to a business combination that the Trust decided not to pursue.</w:t>
      </w:r>
    </w:p>
    <w:p>
      <w:pPr>
        <w:spacing w:after="0" w:line="200"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Investors' share of operations represents the minority interest in Congressional Plaza, Loehmann's Plaza and North City Plaza. In 1995 minority net losses at Loehmann's and North City exceeded the minority net income at Congressional Plaza which was under redevelopment in 1995.</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Income before loss on sale of real estate and extraordinary item increased from $20.5 million in 1994 to $23.7 million in 1995 to $28.7 million in 1996, reflecting not only the contribution to net income from the Trust's acquisitions but also the contribution from improved operating results of the core portfolio.</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Loss or gain on the sale of real estate is dependent on the extent and timing of sales. The Trust regularly reviews its portfolio and does from time to time sell properties. In 1996 the Trust sold Town &amp; Country Plaza in Hammond, Louisiana for $4.9 million, resulting in a loss of $12,000. In 1995 the Trust sold North City Plaza for $1.8 million resulting in a loss on sale of $545,000.</w:t>
      </w:r>
    </w:p>
    <w:p>
      <w:pPr>
        <w:spacing w:after="0" w:line="199"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As a result of the foregoing items, net income rose from $20.5 million in 1994 to $23.1 million in 1995 to $28.7 million in 1996.</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Trust intends to increase its pace of acquisitions in 1997. If successful in so doing, these acquisitions should contribute to growth in rental income and expenses and, thereby, net income. The growth of the core portfolio, however, is, in part, dependent on controlling expenses, some of which are beyond the complete control of the Trust, such as snow removal, and trends in the retailing environment. Recently there have been a number of retailer bankruptcies and consolidations. These bankruptcies and a further weakening of the retail environment could adversely impact the Trust, by increasing vacancies and by decreasing rents. In past weak retail and real estate environments, the Trust has been able to replace weak and bankrupt tenants with stronger tenants; management believes that due to the quality of the Trust's properties there will continue to be demand for its retail space.</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S-14</w:t>
      </w:r>
    </w:p>
    <w:p>
      <w:pPr>
        <w:sectPr>
          <w:pgSz w:w="11900" w:h="16838" w:orient="portrait"/>
          <w:cols w:equalWidth="0" w:num="1">
            <w:col w:w="10219"/>
          </w:cols>
          <w:pgMar w:left="240" w:top="70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RESULTS OF OPERATIONS--SIX MONTHS ENDED JUNE 30, 1997 AND 1996</w:t>
      </w:r>
    </w:p>
    <w:p>
      <w:pPr>
        <w:spacing w:after="0" w:line="201" w:lineRule="exact"/>
        <w:rPr>
          <w:sz w:val="20"/>
          <w:szCs w:val="20"/>
          <w:color w:val="auto"/>
        </w:rPr>
      </w:pPr>
    </w:p>
    <w:p>
      <w:pPr>
        <w:ind w:right="2859" w:firstLine="204"/>
        <w:spacing w:after="0" w:line="243" w:lineRule="auto"/>
        <w:rPr>
          <w:sz w:val="20"/>
          <w:szCs w:val="20"/>
          <w:color w:val="auto"/>
        </w:rPr>
      </w:pPr>
      <w:r>
        <w:rPr>
          <w:rFonts w:ascii="Courier New" w:cs="Courier New" w:eastAsia="Courier New" w:hAnsi="Courier New"/>
          <w:sz w:val="17"/>
          <w:szCs w:val="17"/>
          <w:color w:val="auto"/>
        </w:rPr>
        <w:t>Net income and funds from operations have been affected by the Trust's recent acquisition, redevelopment and financing activities.</w:t>
      </w:r>
    </w:p>
    <w:p>
      <w:pPr>
        <w:spacing w:after="0" w:line="199"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The reconciliation of net income to funds from operations for the six months ended June 30 is as follows: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1997</w:t>
            </w:r>
          </w:p>
        </w:tc>
        <w:tc>
          <w:tcPr>
            <w:tcW w:w="7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638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spacing w:after="0"/>
              <w:rPr>
                <w:sz w:val="17"/>
                <w:szCs w:val="17"/>
                <w:color w:val="auto"/>
              </w:rPr>
            </w:pPr>
          </w:p>
        </w:tc>
        <w:tc>
          <w:tcPr>
            <w:tcW w:w="16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(IN THOUSANDS)</w:t>
            </w:r>
          </w:p>
        </w:tc>
      </w:tr>
      <w:tr>
        <w:trPr>
          <w:trHeight w:val="392"/>
        </w:trPr>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9"/>
              </w:rPr>
              <w:t>Net income....................................................</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$26,321</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$12,923</w:t>
            </w:r>
          </w:p>
        </w:tc>
      </w:tr>
      <w:tr>
        <w:trPr>
          <w:trHeight w:val="196"/>
        </w:trPr>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9"/>
              </w:rPr>
              <w:t>Plus: depreciation and amortization of real estate assets.....</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18,418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16,697</w:t>
            </w:r>
          </w:p>
        </w:tc>
      </w:tr>
      <w:tr>
        <w:trPr>
          <w:trHeight w:val="196"/>
        </w:trPr>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rPr>
              <w:t>amortization of initial direct costs of leases...........</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1,148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1,185</w:t>
            </w:r>
          </w:p>
        </w:tc>
      </w:tr>
      <w:tr>
        <w:trPr>
          <w:trHeight w:val="196"/>
        </w:trPr>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9"/>
              </w:rPr>
              <w:t>Less: gain on sale of real estate.............................</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(7,034)</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spacing w:after="0"/>
              <w:rPr>
                <w:sz w:val="20"/>
                <w:szCs w:val="20"/>
                <w:color w:val="auto"/>
              </w:rPr>
            </w:pPr>
            <w:r>
              <w:rPr>
                <w:rFonts w:ascii="Courier New" w:cs="Courier New" w:eastAsia="Courier New" w:hAnsi="Courier New"/>
                <w:sz w:val="17"/>
                <w:szCs w:val="17"/>
                <w:color w:val="auto"/>
                <w:w w:val="99"/>
              </w:rPr>
              <w:t>Funds from operations.........................................</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$38,853</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$30,805</w:t>
            </w:r>
          </w:p>
        </w:tc>
      </w:tr>
      <w:tr>
        <w:trPr>
          <w:trHeight w:val="196"/>
        </w:trPr>
        <w:tc>
          <w:tcPr>
            <w:tcW w:w="638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Funds from operations increased 26% to $38.9 million in the first half of 1997 from $30.8 million in the first half of 1996.</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Rental income, which consists of minimum rent, percentage rent and cost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recoveries, increased 13% from $80.7 million in the first half of 1996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$91.0 million in the first half of 1997. If properties purchased and sold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1996 and 1997 are excluded, rental income increased 4%.</w:t>
      </w:r>
    </w:p>
    <w:p>
      <w:pPr>
        <w:spacing w:after="0" w:line="201" w:lineRule="exact"/>
        <w:rPr>
          <w:sz w:val="20"/>
          <w:szCs w:val="20"/>
          <w:color w:val="auto"/>
        </w:rPr>
      </w:pPr>
    </w:p>
    <w:p>
      <w:pPr>
        <w:jc w:val="both"/>
        <w:ind w:right="2459" w:firstLine="204"/>
        <w:spacing w:after="0" w:line="243" w:lineRule="auto"/>
        <w:rPr>
          <w:sz w:val="20"/>
          <w:szCs w:val="20"/>
          <w:color w:val="auto"/>
        </w:rPr>
      </w:pPr>
      <w:r>
        <w:rPr>
          <w:rFonts w:ascii="Courier New" w:cs="Courier New" w:eastAsia="Courier New" w:hAnsi="Courier New"/>
          <w:sz w:val="17"/>
          <w:szCs w:val="17"/>
          <w:color w:val="auto"/>
        </w:rPr>
        <w:t>Minimum rent increased 12% from $64.8 million in the first half of 1996 to $72.5 million in the first half of 1997. Excluding properties purchased and sold in 1996 and 1997, minimum rent increased 3%.</w:t>
      </w:r>
    </w:p>
    <w:p>
      <w:pPr>
        <w:spacing w:after="0" w:line="200"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Cost reimbursements consist of tenant reimbursements of real estate taxes (real estate tax recovery) and common area maintenance expenses (CAM recovery). Cost reimbursements increased 20% from $13.5 million during the first half of 1996 to $16.3 million during the first half of 1997. Excluding properties purchased and sold in 1996 and 1997, cost reimbursements increased from $13.2 million to $14.7 million. Real estate tax recovery on the core portfolio increased $448,000 as real estate taxes increased. CAM recovery increased $1.1 million on the core portfolio, reflecting the increased recovery of CAM in 1997 from properties under redevelopment in 1996 such as Congressional Plaza, Brick Plaza and Bethesda Row as well as the decrease in CAM billing adjustments from 1996 to 1997. In 1996 snow removal costs were so high that the Trust granted concessions to tenants at certain centers.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Other property income includes items which tend to fluctuate from period to period, such as utility reimbursements, telephone income, merchant association dues, lease termination fees, late fees and temporary tenant income. Other property income increased from $4.8 million during the first half of 1996 to $5.5 million during the first half of 1997, primarily due to an increase in lease termination fees.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Interest income increased from $1.9 million in the first half of 1996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 million in the first half of 1997 primarily because of interest on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 issued in 1996 and 1997.</w:t>
      </w:r>
    </w:p>
    <w:p>
      <w:pPr>
        <w:spacing w:after="0" w:line="201"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Rental expenses have decreased 3% in the first half of 1997 from the first half of 1996, to $21.0 million from $21.7 million. If centers acquired and sold during 1996 and 1997 are excluded, rental expenses decreased 10%, primarily due to decreased snow removal costs on the east coast in 1997 as compared to 1996.</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Real estate taxes have increased from $8.0 million during the first half of 1996 to $9.5 million during the first half of 1997, primarily due to taxes on the 1996 and 1997 acquisitions. Depreciation and amortization in the first half of 1997 was 10% greater than in the first half of 1996. Excluding the effect from the 1996 and 1997 acquisitions, depreciation and amortization increased 5% due to depreciation on recent tenant work and property improvements.</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S-15</w:t>
      </w:r>
    </w:p>
    <w:p>
      <w:pPr>
        <w:sectPr>
          <w:pgSz w:w="11900" w:h="16838" w:orient="portrait"/>
          <w:cols w:equalWidth="0" w:num="1">
            <w:col w:w="10219"/>
          </w:cols>
          <w:pgMar w:left="240" w:top="703" w:right="1440" w:bottom="1055" w:gutter="0" w:footer="0" w:header="0"/>
        </w:sectPr>
      </w:pPr>
    </w:p>
    <w:bookmarkStart w:id="17" w:name="page18"/>
    <w:bookmarkEnd w:id="17"/>
    <w:p>
      <w:pPr>
        <w:ind w:right="2359" w:firstLine="204"/>
        <w:spacing w:after="0" w:line="244" w:lineRule="auto"/>
        <w:rPr>
          <w:sz w:val="20"/>
          <w:szCs w:val="20"/>
          <w:color w:val="auto"/>
        </w:rPr>
      </w:pPr>
      <w:r>
        <w:rPr>
          <w:rFonts w:ascii="Courier New" w:cs="Courier New" w:eastAsia="Courier New" w:hAnsi="Courier New"/>
          <w:sz w:val="17"/>
          <w:szCs w:val="17"/>
          <w:color w:val="auto"/>
        </w:rPr>
        <w:t>Interest expense increased from $22.3 million during the first half of 1996 to $24.0 million during the first half of 1997, primarily due to interest expense on the $50 million of 7.48% Debentures issued in August 1996. The ratio of earnings to fixed charges was 1.71x for the first half of 1997 and</w:t>
      </w:r>
    </w:p>
    <w:p>
      <w:pPr>
        <w:spacing w:after="0" w:line="2"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1.53x for the comparable period in 1996. The ratio of funds from operations to fixed charges was 2.47x for the first half of 1997 and 2.30x for the first half of 1996.</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Administrative expenses have increased from $3.8 million during the first half of 1996 to $4.6 million during the first half of 1997, primarily due to increased personnel costs as the Trust is expanding and increased state income taxes.</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May 1997 the Trust sold Town &amp; Country Shopping Center in Springfield, Illinois for $7.5 million, resulting in a gain of $5.3 million and Shillington Shopping Center in Shillington, Pennsylvania for $4.6 million, resulting in a gain of $1.7 million.</w:t>
      </w:r>
    </w:p>
    <w:p>
      <w:pPr>
        <w:spacing w:after="0" w:line="198" w:lineRule="exact"/>
        <w:rPr>
          <w:sz w:val="20"/>
          <w:szCs w:val="20"/>
          <w:color w:val="auto"/>
        </w:rPr>
      </w:pPr>
    </w:p>
    <w:p>
      <w:pPr>
        <w:jc w:val="both"/>
        <w:ind w:right="2359" w:firstLine="204"/>
        <w:spacing w:after="0" w:line="243" w:lineRule="auto"/>
        <w:rPr>
          <w:sz w:val="20"/>
          <w:szCs w:val="20"/>
          <w:color w:val="auto"/>
        </w:rPr>
      </w:pPr>
      <w:r>
        <w:rPr>
          <w:rFonts w:ascii="Courier New" w:cs="Courier New" w:eastAsia="Courier New" w:hAnsi="Courier New"/>
          <w:sz w:val="17"/>
          <w:szCs w:val="17"/>
          <w:color w:val="auto"/>
        </w:rPr>
        <w:t>As a result of the foregoing items, net income increased from $12.9 million during the first half of 1996 to $26.3 million during the first half of 1997.</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S-16</w:t>
      </w:r>
    </w:p>
    <w:p>
      <w:pPr>
        <w:sectPr>
          <w:pgSz w:w="11900" w:h="16838" w:orient="portrait"/>
          <w:cols w:equalWidth="0" w:num="1">
            <w:col w:w="10219"/>
          </w:cols>
          <w:pgMar w:left="240" w:top="704" w:right="1440" w:bottom="1440" w:gutter="0" w:footer="0" w:header="0"/>
        </w:sectPr>
      </w:pPr>
    </w:p>
    <w:bookmarkStart w:id="18" w:name="page19"/>
    <w:bookmarkEnd w:id="18"/>
    <w:p>
      <w:pPr>
        <w:ind w:left="3480"/>
        <w:spacing w:after="0"/>
        <w:rPr>
          <w:sz w:val="20"/>
          <w:szCs w:val="20"/>
          <w:color w:val="auto"/>
        </w:rPr>
      </w:pPr>
      <w:r>
        <w:rPr>
          <w:rFonts w:ascii="Courier New" w:cs="Courier New" w:eastAsia="Courier New" w:hAnsi="Courier New"/>
          <w:sz w:val="17"/>
          <w:szCs w:val="17"/>
          <w:color w:val="auto"/>
        </w:rPr>
        <w:t>MANAGEMENT</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Trustees and Officers of the Trust are as follows:</w:t>
      </w:r>
    </w:p>
    <w:p>
      <w:pPr>
        <w:sectPr>
          <w:pgSz w:w="11900" w:h="16838" w:orient="portrait"/>
          <w:cols w:equalWidth="0" w:num="1">
            <w:col w:w="10219"/>
          </w:cols>
          <w:pgMar w:left="240" w:top="7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PRINCIPAL OCCUPATION AND</w:t>
      </w:r>
    </w:p>
    <w:p>
      <w:pPr>
        <w:spacing w:after="0" w:line="14"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OTHER DIRECTORSHIPS</w:t>
      </w:r>
    </w:p>
    <w:p>
      <w:pPr>
        <w:spacing w:after="0" w:line="5" w:lineRule="exact"/>
        <w:rPr>
          <w:sz w:val="20"/>
          <w:szCs w:val="20"/>
          <w:color w:val="auto"/>
        </w:rPr>
      </w:pPr>
    </w:p>
    <w:p>
      <w:pPr>
        <w:sectPr>
          <w:pgSz w:w="11900" w:h="16838" w:orient="portrait"/>
          <w:cols w:equalWidth="0" w:num="2">
            <w:col w:w="2040" w:space="720"/>
            <w:col w:w="7459"/>
          </w:cols>
          <w:pgMar w:left="240" w:top="703" w:right="1440" w:bottom="1440" w:gutter="0" w:footer="0" w:header="0"/>
          <w:type w:val="continuous"/>
        </w:sectPr>
      </w:pPr>
    </w:p>
    <w:p>
      <w:pPr>
        <w:ind w:left="2760" w:hanging="1633"/>
        <w:spacing w:after="0"/>
        <w:tabs>
          <w:tab w:leader="none" w:pos="2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6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General Partner, GDR Partnerships and</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Vingarden Associates, builders/developers,</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Berman Enterprises; Director, Beco Management</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w w:val="99"/>
              </w:rPr>
              <w:t>Trustee; Founding Partner, Winslow Partners LLC,</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a private equity investment firm; Former</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President and Chairman, Export-Import Bank of</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the United States; Former Partner, Goldman,</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Sachs &amp; Co.; Director, Alex Brown, Inc.;</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Director, Quest Diagonotics, Inc.; Director,</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Yurie Systems Inc.; Director, American Red</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Cross; Director, St. John's College</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A. Cornet de Ways Ruart...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Director, SIPEF S.A., an international</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holding company principally of agricultural</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interests; Director, Interbrew S.A.</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Kristin Gamble............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President, Flood, Gamble Associates,</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Inc., an investment counseling firm; Director,</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Ethan Allan Interiors, Inc.</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Samuel J. Gorlitz.........</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and Founder; President, Gorlitz</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Associates, real estate developers</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President and Chief Executive Officer</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Senior Vice President, Capital Markets; Chief</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Investment Officer</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72</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President, Loeb Associates, management</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consulting firm; Publisher, Loeb Retail Letter,</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w w:val="99"/>
              </w:rPr>
              <w:t>Director, InterTAN, Inc.; Director, The Gymboree</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Corp.; Director, Mothers Work Inc.; Director,</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Wet Seal Inc.; Director, The Warnco Group Inc.</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Retired Principal and Senior Retail Analyst,</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Morgan Stanley &amp; Co., Inc.</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Vice President, General Counsel; Secretary</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Donald H. Misner..........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62</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Director of New Development for the</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w w:val="99"/>
              </w:rPr>
              <w:t>Senior Vice President, Finance; Treasurer; Chief</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Financial Officer</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Mark S. Ordan.............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Chief Executive Officer, Chartwell</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Health Management Inc.; Former Chairman,</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President and Chief Executive Officer, Fresh</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Fields Markets, Inc.; Director, Friedman</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Billings Ramsey Family of Funds.</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Trustee; Senior Fellow, Brookings Institution;</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Director, State Farm Life Insurance Company;</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Director, State Farm Mutual Automobile Company</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and various mutual funds managed by the Dryfuss</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Corporation</w:t>
            </w:r>
          </w:p>
        </w:tc>
      </w:tr>
      <w:tr>
        <w:trPr>
          <w:trHeight w:val="196"/>
        </w:trPr>
        <w:tc>
          <w:tcPr>
            <w:tcW w:w="276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Executive Vice President and Chief Operating</w:t>
            </w:r>
          </w:p>
        </w:tc>
      </w:tr>
      <w:tr>
        <w:trPr>
          <w:trHeight w:val="196"/>
        </w:trPr>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7"/>
                <w:szCs w:val="17"/>
                <w:color w:val="auto"/>
              </w:rPr>
              <w:t>Officer</w:t>
            </w:r>
          </w:p>
        </w:tc>
      </w:tr>
    </w:tbl>
    <w:p>
      <w:pPr>
        <w:spacing w:after="0" w:line="397" w:lineRule="exact"/>
        <w:rPr>
          <w:sz w:val="20"/>
          <w:szCs w:val="20"/>
          <w:color w:val="auto"/>
        </w:rPr>
      </w:pPr>
    </w:p>
    <w:p>
      <w:pPr>
        <w:ind w:right="2559" w:firstLine="204"/>
        <w:spacing w:after="0" w:line="243" w:lineRule="auto"/>
        <w:rPr>
          <w:sz w:val="20"/>
          <w:szCs w:val="20"/>
          <w:color w:val="auto"/>
        </w:rPr>
      </w:pPr>
      <w:r>
        <w:rPr>
          <w:rFonts w:ascii="Courier New" w:cs="Courier New" w:eastAsia="Courier New" w:hAnsi="Courier New"/>
          <w:sz w:val="17"/>
          <w:szCs w:val="17"/>
          <w:color w:val="auto"/>
        </w:rPr>
        <w:t>The Trustees and Officers as a group beneficially own approximately 5% of the outstanding Shares of the Trust.</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S-17</w:t>
      </w:r>
    </w:p>
    <w:p>
      <w:pPr>
        <w:sectPr>
          <w:pgSz w:w="11900" w:h="16838" w:orient="portrait"/>
          <w:cols w:equalWidth="0" w:num="1">
            <w:col w:w="10219"/>
          </w:cols>
          <w:pgMar w:left="240" w:top="703" w:right="1440" w:bottom="1440" w:gutter="0" w:footer="0" w:header="0"/>
          <w:type w:val="continuous"/>
        </w:sectPr>
      </w:pPr>
    </w:p>
    <w:bookmarkStart w:id="19" w:name="page20"/>
    <w:bookmarkEnd w:id="19"/>
    <w:p>
      <w:pPr>
        <w:jc w:val="center"/>
        <w:ind w:right="2259"/>
        <w:spacing w:after="0"/>
        <w:rPr>
          <w:sz w:val="20"/>
          <w:szCs w:val="20"/>
          <w:color w:val="auto"/>
        </w:rPr>
      </w:pPr>
      <w:r>
        <w:rPr>
          <w:rFonts w:ascii="Courier New" w:cs="Courier New" w:eastAsia="Courier New" w:hAnsi="Courier New"/>
          <w:sz w:val="17"/>
          <w:szCs w:val="17"/>
          <w:color w:val="auto"/>
        </w:rPr>
        <w:t>DESCRIPTION OF SERIES A PREFERRED SHARES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summary sets forth the material terms and provisions of the Series A Preferred Shares, and is qualified in its entirety by reference to the provisions of the statement of designations relating to the Series A Preferred Shares set forth in a resolution adopted by the Trustees of the Trust (the "Statement of Designations") and the Declaration of Trust and Bylaws of the Trust, which are incorporated by reference herein. The following description of the particular terms of the Series A Preferred Shares supplements, and to the extent inconsistent therewith, replaces, the description of the general terms of the Preferred Shares set forth in the accompanying Prospectus, to which description reference is hereby made.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Subject to limitations prescribed by the laws of the District of Columbia, and the Declaration of Trust and Bylaws of the Trust, the Board of Trustees is authorized to issue, from the authorized but unissued capital shares of the Trust, Preferred Shares in such classes or series as the Board of Trustees may determine and to establish from time to time the number of shares to be included in any such series and to fix the designation and any preferences, conversion and other rights, voting powers, restrictions, limitations as to dividends, qualifications and terms and conditions of redemption of the shares of each such series. The Company currently has no Preferred Shares outstanding. The Board of Trustees has authorized the Trust to designate and issue the Series A Preferred Shares.</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When issued, the Series A Preferred Shares will be validly issued, fully paid and nonassessable, except to the extent described in the Prospectus. The holders of the Series A Preferred Shares will have no preemptive rights with respect to any capital shares of the Trust or any other securities of the Trust convertible into or carrying rights or options to purchase any such shares. The Series A Preferred Shares will not be subject to any sinking fund or other obligation of the Trust to redeem or retire the Series A Preferred Shares.</w:t>
      </w:r>
    </w:p>
    <w:p>
      <w:pPr>
        <w:spacing w:after="0" w:line="199"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The transfer agent, registrar and dividend disbursing agent for the Series A Preferred Shares will be American Stock Transfer &amp; Trust Company.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w:t>
      </w:r>
    </w:p>
    <w:p>
      <w:pPr>
        <w:spacing w:after="0" w:line="201" w:lineRule="exact"/>
        <w:rPr>
          <w:sz w:val="20"/>
          <w:szCs w:val="20"/>
          <w:color w:val="auto"/>
        </w:rPr>
      </w:pPr>
    </w:p>
    <w:p>
      <w:pPr>
        <w:ind w:right="2659" w:firstLine="204"/>
        <w:spacing w:after="0" w:line="244" w:lineRule="auto"/>
        <w:rPr>
          <w:sz w:val="20"/>
          <w:szCs w:val="20"/>
          <w:color w:val="auto"/>
        </w:rPr>
      </w:pPr>
      <w:r>
        <w:rPr>
          <w:rFonts w:ascii="Courier New" w:cs="Courier New" w:eastAsia="Courier New" w:hAnsi="Courier New"/>
          <w:sz w:val="17"/>
          <w:szCs w:val="17"/>
          <w:color w:val="auto"/>
        </w:rPr>
        <w:t>With respect to payment of dividends and amounts upon liquidation, dissolution or winding up, the Series A Preferred Shares will rank equally with any other Preferred Shares that become outstanding and senior to the Common Shares.</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While any Series A Preferred Shares are outstanding, the Trust may not authorize, create or increase the authorized amount of any class of security that ranks senior to the Series A Preferred Shares with respect to the payment of dividends or amounts payable upon liquidation, dissolution or winding up, or any class of security convertible into shares of such a class, without the consent of the holders of two-thirds of the outstanding Series A Preferred Shares and Parity Shares (as defined below), voting as a single class. However, the Trust may create additional classes of other shares, increase the authorized number of Preferred Shares or issue series of Preferred Shares ranking on a parity with the Series A Preferred Shares with respect, in each case, to the payment of dividends and amounts upon liquidation, dissolution and winding up (a "Parity Share") without the consent of any holder of Series A Preferred Shares. See "--Voting Rights"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201" w:lineRule="exact"/>
        <w:rPr>
          <w:sz w:val="20"/>
          <w:szCs w:val="20"/>
          <w:color w:val="auto"/>
        </w:rPr>
      </w:pPr>
    </w:p>
    <w:p>
      <w:pPr>
        <w:jc w:val="both"/>
        <w:ind w:right="2459" w:firstLine="204"/>
        <w:spacing w:after="0" w:line="243" w:lineRule="auto"/>
        <w:rPr>
          <w:sz w:val="20"/>
          <w:szCs w:val="20"/>
          <w:color w:val="auto"/>
        </w:rPr>
      </w:pPr>
      <w:r>
        <w:rPr>
          <w:rFonts w:ascii="Courier New" w:cs="Courier New" w:eastAsia="Courier New" w:hAnsi="Courier New"/>
          <w:sz w:val="17"/>
          <w:szCs w:val="17"/>
          <w:color w:val="auto"/>
        </w:rPr>
        <w:t>Holders of the Series A Preferred Shares will be entitled to receive, when and as declared by the Board of Trustees, out of funds legally available for the payment of dividends, cumulative preferential</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S-18</w:t>
      </w:r>
    </w:p>
    <w:p>
      <w:pPr>
        <w:sectPr>
          <w:pgSz w:w="11900" w:h="16838" w:orient="portrait"/>
          <w:cols w:equalWidth="0" w:num="1">
            <w:col w:w="10219"/>
          </w:cols>
          <w:pgMar w:left="240" w:top="703" w:right="1440" w:bottom="1440" w:gutter="0" w:footer="0" w:header="0"/>
        </w:sectPr>
      </w:pPr>
    </w:p>
    <w:bookmarkStart w:id="20" w:name="page21"/>
    <w:bookmarkEnd w:id="20"/>
    <w:p>
      <w:pPr>
        <w:ind w:right="2259"/>
        <w:spacing w:after="0" w:line="244" w:lineRule="auto"/>
        <w:rPr>
          <w:sz w:val="20"/>
          <w:szCs w:val="20"/>
          <w:color w:val="auto"/>
        </w:rPr>
      </w:pPr>
      <w:r>
        <w:rPr>
          <w:rFonts w:ascii="Courier New" w:cs="Courier New" w:eastAsia="Courier New" w:hAnsi="Courier New"/>
          <w:sz w:val="17"/>
          <w:szCs w:val="17"/>
          <w:color w:val="auto"/>
        </w:rPr>
        <w:t>cash dividends at the rate of 7.95% of the liquidation preference per annum (equivalent to $1.9875 per share per annum). Such dividends will be cumulative from the date of original issue and payable quarterly in arrears on the last calendar day (or, if such day is not a business day, the next business day) of each January, April, July and October (each, a "Dividend Payment Date"). The first dividend, which will be paid on or about October 31, 1997, will be for less than a full quarter. Such first dividend and any dividends payable on the Series A Preferred Shares for any partial dividend period will be computed on the basis of the actual number of days in such period. Dividends will be payable to holders of record as they appear in the records of the Trust at the close of business on the applicable record date, which will be the date designated as such by the Board of Trustees of the Trust that is not more than fifty nor less than ten days prior to such Dividend Payment Date (each, a "Dividend Record Date"). Accrued and unpaid dividends for any past dividend periods may be declared and paid at any time and for such interim periods to holders of record on the applicable Dividend Record Date. Any dividend payment made on the Series A Preferred Shares will first be credited against the earliest accrued but unpaid dividend due with respect to the Series A Preferred Shares that remains payable.</w:t>
      </w:r>
    </w:p>
    <w:p>
      <w:pPr>
        <w:spacing w:after="0" w:line="204"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Dividends on Series A Preferred Shares will accrue whether or not the Trust has earnings, whether or not there are funds legally available for the payment of such dividends and whether or not such dividends are declared. No interest, or sum of money in lieu of interest, will be payable in respect of any dividend payment or payments on the Series A Preferred Shares that may be in arrears. Holders of Series A Preferred Shares will not be entitled to any dividends, whether payable in cash, property or shares, in excess of the full cumulative dividends, as described herein, on the Series A Preferred Shares.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for any taxable year, the Trust elects to designate as "capital gain dividends" (as defined in Section 857 of the Internal Revenue Code of 1986, as amended, or any successor revenue code or section (the "Code")) any portion (the "Capital Gains Amount") of the dividends (within the meaning of the Code) paid or made available for the year to holders of all classes of capital shares (the "Total Dividends"), then the portion of the Capital Gains Amount that will be allocable to holders of Series A Preferred Shares will be in the same portion that the Total Dividends paid or made available to the holders of Series A Preferred Shares for the year bears to the Total Dividends.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Except as provided in the next sentence, no dividends will be declared or paid on any Parity Shares unless full cumulative dividends have been declared and paid or are contemporaneously declared and funds sufficient for the payment thereof set aside for such payment on the Series A Preferred Shares for all prior dividend periods. If accrued dividends on the Series A Preferred Shares for all prior dividend periods have not been paid in full, then any dividend declared on the Series A Preferred Shares and on any Parity Shares for any dividend period will be declared ratably in proportion to accrued and unpaid dividends on the Series A Preferred Shares and such Parity Shares.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Company will not (i) declare, pay or set apart funds for the payment of any dividend or other distribution with respect to any Junior Shares (as defined below) or (ii) redeem, purchase or otherwise acquire for consideration any Junior Shares through a sinking fund or otherwise (other than a redemption or purchase or other acquisition of Common Shares made for purposes of any employee incentive or benefit plan of the Trust or any subsidiary), unless (A) all cumulative dividends with respect to the Series A Preferred Shares and any Parity Shares at the time such dividends are payable have been paid or declared and funds have been set apart for payment of such dividends and (B) sufficient funds have been paid or declared and set apart for the payment of the dividends for the current dividend period with respect to the Series A Preferred Shares and any Parity Shares.</w:t>
      </w:r>
    </w:p>
    <w:p>
      <w:pPr>
        <w:spacing w:after="0" w:line="201" w:lineRule="exact"/>
        <w:rPr>
          <w:sz w:val="20"/>
          <w:szCs w:val="20"/>
          <w:color w:val="auto"/>
        </w:rPr>
      </w:pPr>
    </w:p>
    <w:p>
      <w:pPr>
        <w:jc w:val="both"/>
        <w:ind w:right="2359" w:firstLine="204"/>
        <w:spacing w:after="0" w:line="244" w:lineRule="auto"/>
        <w:rPr>
          <w:sz w:val="20"/>
          <w:szCs w:val="20"/>
          <w:color w:val="auto"/>
        </w:rPr>
      </w:pPr>
      <w:r>
        <w:rPr>
          <w:rFonts w:ascii="Courier New" w:cs="Courier New" w:eastAsia="Courier New" w:hAnsi="Courier New"/>
          <w:sz w:val="17"/>
          <w:szCs w:val="17"/>
          <w:color w:val="auto"/>
        </w:rPr>
        <w:t>As used herein, (i) the term "dividend" does not include dividends or other distributions payable solely in Fully Junior Shares, or in options, warrants or rights to subscribe for or purchase any Fully Junior Shares, (ii) the term "Junior Shares" means the Common Shares and any other class or series</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S-19</w:t>
      </w:r>
    </w:p>
    <w:p>
      <w:pPr>
        <w:sectPr>
          <w:pgSz w:w="11900" w:h="16838" w:orient="portrait"/>
          <w:cols w:equalWidth="0" w:num="1">
            <w:col w:w="10219"/>
          </w:cols>
          <w:pgMar w:left="240" w:top="704" w:right="1440" w:bottom="1440" w:gutter="0" w:footer="0" w:header="0"/>
        </w:sectPr>
      </w:pPr>
    </w:p>
    <w:bookmarkStart w:id="21" w:name="page22"/>
    <w:bookmarkEnd w:id="21"/>
    <w:p>
      <w:pPr>
        <w:ind w:right="2259"/>
        <w:spacing w:after="0" w:line="244" w:lineRule="auto"/>
        <w:rPr>
          <w:sz w:val="20"/>
          <w:szCs w:val="20"/>
          <w:color w:val="auto"/>
        </w:rPr>
      </w:pPr>
      <w:r>
        <w:rPr>
          <w:rFonts w:ascii="Courier New" w:cs="Courier New" w:eastAsia="Courier New" w:hAnsi="Courier New"/>
          <w:sz w:val="17"/>
          <w:szCs w:val="17"/>
          <w:color w:val="auto"/>
        </w:rPr>
        <w:t>of capital shares of the Trust now or hereafter issued and outstanding that ranks junior to the Series A Preferred Shares as to the payment of dividends or in the distribution of assets or amounts upon liquidation, dissolution and winding up and (iii) the term "Fully Junior Shares" means Junior Shares that rank junior to the Series A Preferred Shares both as to the payment of dividends and distribution of assets upon liquidation, dissolution and winding up.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RIGHTS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Upon any voluntary or involuntary liquidation, dissolution or winding up of the Trust, the holders of Series A Preferred Shares will be entitled to receive out of assets of the Trust legally available for distribution to shareholders a liquidation preference of $25.00 per Series A Preferred Share, plus an amount per Series A Preferred Share equal to all dividends (whether or not earned or declared) accrued and unpaid thereon to the date of final distribution to such holders, and no more.</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Until the holders of Series A Preferred Shares and Parity Shares have been paid their liquidation preference in full, no payment will be made to any holder of Junior Shares upon the liquidation, dissolution or winding up of the Trust. If upon any liquidation, dissolution or winding up of the Trust, the assets of the Trust, or proceeds thereof, distributable among the holders of the Series A Preferred Shares are insufficient to pay in full the amount payable upon liquidation with respect to the Series A Preferred Shares and any other Parity Shares, then such assets, or the proceeds thereof will be distributed among the holders of Series A Preferred Shares and any such Parity Shares ratably in accordance with the respective amounts which would be payable on such Series A Preferred Shares and any such Parity Shares if all amounts payable thereon were paid in full. Neither a consolidation or merger of the Trust with another entity, a statutory share exchange by the Trust nor a sale, lease or transfer of all or substantially all of the Trust's assets will be considered a liquidation, dissolution or winding up, voluntary or involuntary, of the Trust.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Series A Preferred Shares are not redeemable by the Trust prior to October 6, 2002. On and after October 6, 2002, the Trust, at its option, upon not less than 30 or more than 90 days' written notice, may redeem the Series A Preferred Shares, in whole or in part, at any time or from time to time, for cash at a redemption price of $25.00 per share, plus accumulated, accrued and unpaid dividends thereon to the date fixed for redemption, without interest. The redemption price of the Series A Preferred Shares (other than the portion thereof consisting of accrued and unpaid dividends) is payable solely out of proceeds from the sale of other capital shares of the Trust, which may include Common Shares, Preferred Shares, depositary shares, interests, participations or other ownership interests in the Trust however designated (other than debt securities converted into or exchangeable for capital shares), and any rights, warrants or options to purchase any thereof. If fewer than all of the outstanding Series A Preferred Shares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by lot or by any other method determined by the Trust in its sole discretion to be equitable.</w:t>
      </w:r>
    </w:p>
    <w:p>
      <w:pPr>
        <w:spacing w:after="0" w:line="204"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Unless full cumulative dividends on all Series A Preferred Shares and any Parity Shares have been or contemporaneously are declared and paid or declared and a sum sufficient for the payment thereof set apart for payment for all past dividend periods and the then current dividend period, no Series A Preferred Shares or Parity Shares may be redeemed or purchased by the Trust except pursuant to a purchase or exchange offer made on the same terms to holders of all outstanding Series A Preferred Shares or Parity Shares, as the case may be.</w:t>
      </w:r>
    </w:p>
    <w:p>
      <w:pPr>
        <w:spacing w:after="0" w:line="199"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Notice of redemption will be mailed at least 30 days but not more than 90 days before the redemption date to each holder of record of Series A Preferred Shares at the address shown on the</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S-20</w:t>
      </w:r>
    </w:p>
    <w:p>
      <w:pPr>
        <w:sectPr>
          <w:pgSz w:w="11900" w:h="16838" w:orient="portrait"/>
          <w:cols w:equalWidth="0" w:num="1">
            <w:col w:w="10219"/>
          </w:cols>
          <w:pgMar w:left="240" w:top="704" w:right="1440" w:bottom="1440" w:gutter="0" w:footer="0" w:header="0"/>
        </w:sectPr>
      </w:pPr>
    </w:p>
    <w:bookmarkStart w:id="22" w:name="page23"/>
    <w:bookmarkEnd w:id="22"/>
    <w:p>
      <w:pPr>
        <w:ind w:right="2259"/>
        <w:spacing w:after="0" w:line="244" w:lineRule="auto"/>
        <w:rPr>
          <w:sz w:val="20"/>
          <w:szCs w:val="20"/>
          <w:color w:val="auto"/>
        </w:rPr>
      </w:pPr>
      <w:r>
        <w:rPr>
          <w:rFonts w:ascii="Courier New" w:cs="Courier New" w:eastAsia="Courier New" w:hAnsi="Courier New"/>
          <w:sz w:val="17"/>
          <w:szCs w:val="17"/>
          <w:color w:val="auto"/>
        </w:rPr>
        <w:t>stock transfer books of the Trust. Each notice shall state: (i) the redemption date; (ii) the number of Series A Preferred Shares to be redeemed; (iii) the redemption price per share; (iv) the place or places where certificates for Series A Preferred Shares are to be surrendered for payment of the redemption price; and (v) that dividends on the Series A Preferred Shares will cease to accrue on such redemption date. If fewer than all Series A Preferred Shares are to be redeemed, the notice mailed to each such holder thereof shall also specify the number of Series A Preferred Shares to be redeemed from such holder. If notice of redemption of any Series A Preferred Shares has been given and if the funds necessary for such redemption have been set aside by the Trust in trust for the benefit of the holders of Series A Preferred Shares so called for redemption, then from and after the redemption date, dividends will cease to accrue on the Series A Preferred Shares, such Series A Preferred Shares shall no longer be deemed outstanding and all rights of the holders of such shares will terminate, except the right to receive the redemption price.</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holders of Series A Preferred Shares at the close of business on a Dividend Record Date will be entitled to receive the dividends payable with respect to such Series A Preferred Shares on the corresponding Dividend Payment Date notwithstanding the redemption thereof between such Dividend Record Date and the corresponding Dividend Payment Date or the Trust's default in the payment of the dividend due. Except as provided above, the Trust will make no payment or allowance for unpaid dividends, whether or not in arrears, on Series A Preferred Shares which have been called for redemption.</w:t>
      </w:r>
    </w:p>
    <w:p>
      <w:pPr>
        <w:spacing w:after="0" w:line="199" w:lineRule="exact"/>
        <w:rPr>
          <w:sz w:val="20"/>
          <w:szCs w:val="20"/>
          <w:color w:val="auto"/>
        </w:rPr>
      </w:pPr>
    </w:p>
    <w:p>
      <w:pPr>
        <w:ind w:right="2979" w:firstLine="204"/>
        <w:spacing w:after="0" w:line="243" w:lineRule="auto"/>
        <w:rPr>
          <w:sz w:val="20"/>
          <w:szCs w:val="20"/>
          <w:color w:val="auto"/>
        </w:rPr>
      </w:pPr>
      <w:r>
        <w:rPr>
          <w:rFonts w:ascii="Courier New" w:cs="Courier New" w:eastAsia="Courier New" w:hAnsi="Courier New"/>
          <w:sz w:val="17"/>
          <w:szCs w:val="17"/>
          <w:color w:val="auto"/>
        </w:rPr>
        <w:t>The Series A Preferred Shares have no stated maturity and will not be subject to any sinking fund or mandatory redemption.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01"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Except as indicated below, or except as otherwise from time to time required by applicable law, the holders of Series A Preferred Shares will have no voting rights.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six consecutive quarterly dividends payable on the Series A Preferred Shares or any Parity Shares are in arrears, whether or not earned or declared, the number of trustees then constituting the Board of Trustees of the Trust will be increased by two, and the holders of Series A Preferred Shares, voting together as a class with the holders of any other series of Parity Shares, will have the right to elect two additional trustees to serve on the Trust's Board of Trustees at any annual meeting of shareholders or a properly called special meeting of the holders of the voting Parity Shares until all such dividends and dividends for the current quarterly period on the Series A Preferred Shares and such other voting Parity Shares have been declared and paid or set aside for payment. Such voting rights will terminate when all such accrued and unpaid dividends have been declared and paid or set aside for payment. The terms of office of all Trustees so elected will terminate with the termination of such voting rights.</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approval of two-thirds of the outstanding Series A Preferred Shares and all other Parity Shares similarly affected, voting as a single class, is required in order to (i) amend the Declaration of Trust to affect materially and adversely the rights, preferences or voting power of the holders of the Series A Preferred Shares; (ii) enter into a share exchange that affects the Series A Preferred Shares, or consolidate the Trust with or merge the Trust with another entity, unless in each such case each Series A Preferred Share remains outstanding without a material adverse change to its terms and rights or is converted into or exchanged for preferred stock of the surviving entity having preferences, conversion and other rights, voting powers, restrictions, limitations as to dividends, qualifications and terms and conditions of redemption thereof identical to that of the Series A Preferred Shares (except for changes that do not materially and adversely affect the holders of Series A Preferred Shares), or (iii) authorize, reclassify, create or increase the authorized amount of any shares of any class, or any security convertible into shares of any class, having rights senior to the Series A Preferred Shares with</w:t>
      </w:r>
    </w:p>
    <w:p>
      <w:pPr>
        <w:spacing w:after="0" w:line="20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S-21</w:t>
      </w:r>
    </w:p>
    <w:p>
      <w:pPr>
        <w:sectPr>
          <w:pgSz w:w="11900" w:h="16838" w:orient="portrait"/>
          <w:cols w:equalWidth="0" w:num="1">
            <w:col w:w="10219"/>
          </w:cols>
          <w:pgMar w:left="240" w:top="704" w:right="1440" w:bottom="1440" w:gutter="0" w:footer="0" w:header="0"/>
        </w:sectPr>
      </w:pPr>
    </w:p>
    <w:bookmarkStart w:id="23" w:name="page24"/>
    <w:bookmarkEnd w:id="23"/>
    <w:p>
      <w:pPr>
        <w:ind w:right="2359"/>
        <w:spacing w:after="0" w:line="244" w:lineRule="auto"/>
        <w:rPr>
          <w:sz w:val="20"/>
          <w:szCs w:val="20"/>
          <w:color w:val="auto"/>
        </w:rPr>
      </w:pPr>
      <w:r>
        <w:rPr>
          <w:rFonts w:ascii="Courier New" w:cs="Courier New" w:eastAsia="Courier New" w:hAnsi="Courier New"/>
          <w:sz w:val="17"/>
          <w:szCs w:val="17"/>
          <w:color w:val="auto"/>
        </w:rPr>
        <w:t>respect to the payment of dividends or amounts upon liquidation, dissolution or winding up of the Trust. However, the Trust may create additional classes of Parity Shares and Junior Shares, increase the authorized number of Parity Shares and Junior Shares and issue additional series of Parity Shares and Junior Shares without the consent of any holder of Series A Preferred Shares.</w:t>
      </w:r>
    </w:p>
    <w:p>
      <w:pPr>
        <w:spacing w:after="0" w:line="198"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Except as provided above and as required by applicable law, the holders of Series A Preferred Shares are not entitled to vote on any merger or consolidation involving the Trust, on any share exchange or on a sale of all or substantially all of the assets of the Trust.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w:t>
      </w:r>
    </w:p>
    <w:p>
      <w:pPr>
        <w:spacing w:after="0" w:line="201"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The Series A Preferred Shares are not convertible into or exchangeable for any other property or securities of the Trust at the option of the holder.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TRANSFER; OWNERSHIP LIMITS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For the Trust to qualify as a REIT under the Code, no more than 50% in value of its outstanding shares may be owned, directly or indirectly, by five or fewer "individuals" during the last half of a full taxable year or during a proportionate part of a shorter taxable year. Under the constructive ownership provisions of the Code, stock owned by an entity, including a corporation, life insurance company, mutual fund or pension trust, is treated as owned by the ultimate individual beneficial owners of the entity. Because the Trust intends to maintain its qualification as a REIT, the Declaration of Trust contains certain restrictions on the ownership and transfer of shares, including the Series A Preferred Shares, intended to assist the Trust in complying with these requirements. For a complete description of these restrictions, see "Description of Common Shares--REIT Qualification" in the accompanying Prospectus.</w:t>
      </w:r>
    </w:p>
    <w:p>
      <w:pPr>
        <w:spacing w:after="0" w:line="202" w:lineRule="exact"/>
        <w:rPr>
          <w:sz w:val="20"/>
          <w:szCs w:val="20"/>
          <w:color w:val="auto"/>
        </w:rPr>
      </w:pPr>
    </w:p>
    <w:p>
      <w:pPr>
        <w:ind w:right="2759" w:firstLine="204"/>
        <w:spacing w:after="0" w:line="243" w:lineRule="auto"/>
        <w:rPr>
          <w:sz w:val="20"/>
          <w:szCs w:val="20"/>
          <w:color w:val="auto"/>
        </w:rPr>
      </w:pPr>
      <w:r>
        <w:rPr>
          <w:rFonts w:ascii="Courier New" w:cs="Courier New" w:eastAsia="Courier New" w:hAnsi="Courier New"/>
          <w:sz w:val="17"/>
          <w:szCs w:val="17"/>
          <w:color w:val="auto"/>
        </w:rPr>
        <w:t>Subject to certain exceptions specified in the Declaration of Trust, no person may own, directly or indirectly, more than 9.8% of the Trust's outstanding equity securities, including Preferred Shares.</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S-22</w:t>
      </w:r>
    </w:p>
    <w:p>
      <w:pPr>
        <w:sectPr>
          <w:pgSz w:w="11900" w:h="16838" w:orient="portrait"/>
          <w:cols w:equalWidth="0" w:num="1">
            <w:col w:w="10219"/>
          </w:cols>
          <w:pgMar w:left="240" w:top="704" w:right="1440" w:bottom="1440" w:gutter="0" w:footer="0" w:header="0"/>
        </w:sectPr>
      </w:pPr>
    </w:p>
    <w:bookmarkStart w:id="24" w:name="page25"/>
    <w:bookmarkEnd w:id="24"/>
    <w:p>
      <w:pPr>
        <w:jc w:val="center"/>
        <w:ind w:right="2159"/>
        <w:spacing w:after="0"/>
        <w:rPr>
          <w:sz w:val="20"/>
          <w:szCs w:val="20"/>
          <w:color w:val="auto"/>
        </w:rPr>
      </w:pPr>
      <w:r>
        <w:rPr>
          <w:rFonts w:ascii="Courier New" w:cs="Courier New" w:eastAsia="Courier New" w:hAnsi="Courier New"/>
          <w:sz w:val="17"/>
          <w:szCs w:val="17"/>
          <w:color w:val="auto"/>
        </w:rPr>
        <w:t>CERTAIN FEDERAL INCOME TAX CONSIDERATIONS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summary of certain federal income tax considerations is based on current law, is for general information only, and is not tax advice. This discussion does not purport to address all aspects of taxation that may be relevant to particular shareholders in light of their personal investment or tax circumstances, or to certain types of shareholders (including insurance companies, tax-exempt organizations, financial institutions or broker-dealers, foreign corporations and persons who are not citizens or residents of the United States) subject to special treatment under the federal income tax laws.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intends to operate in a manner that will enable it to qualify as a REIT under the Internal Revenue Code of 1986, as amended (the "Code"). Although management of the Trust believes that the Trust is organized and operates in such a manner, no assurance can be given that the Trust qualifies or will remain qualified as a REIT. Qualification as a REIT involves the application of highly technical and complex Code provisions for which there are only limited judicial and administrative interpretations. The determination of various factual matters and circumstances not entirely within the Trust's control may affect the Trust's ability to qualify as a REIT. If the Trust fails to qualify as a REIT, it will be subject to federal income tax (including any applicable alternative minimum tax) on its taxable income at regular corporate rates. In addition, unless entitled to relief under certain statutory provisions, the Trust will be disqualified from treatment as a REIT for the four taxable years following the year during which qualification is lost. The additional tax would significantly reduce the cash flow available for distribution to shareholders. This Prospectus Supplement does not address the taxation of the Trust or the impact on the Trust of its election to be taxed as REIT. The discussion set forth below assumes that the Trust qualifies as a REIT under the Code.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TAXATION OF TAXABLE U.S. SHAREHOLDERS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Dividends and Other Distributions. As long as the Trust qualifies as a REIT, distributions made to the Trust's taxable U.S. shareholders (including holders of Series A Preferred Shares) out of current or accumulated earnings and profits (and not designated as capital gain dividends) will be taken into account by them as ordinary income and will not be eligible for the dividends received deduction generally available to corporations. As used herein, the term "U.S. shareholder" means a shareholder of the Trust that for U.S. federal income tax purposes is (i) a citizen or resident of the United States, (ii) a corporation, partnership, or other entity created or organized in or under the laws of the United States or any political subdivision thereof, (iii) an estate, the income of which is subject to United States federal income taxation regardless of its source, or (iv) a trust, if a court within the United States is able to exercise primary supervision over the administration of the trust and one or more United States persons have the authority to control all substantial decisions of the trust, and that (v) is not an entity that has special status under the Code (such as a tax-exempt organization or a dealer in securities). For purposes of determining whether distributions on the Series A Preferred Shares are out of the current or accumulated earnings and profits, the earnings and profits of the Trust will be allocated first to the Trust's outstanding Series A Preferred Shares and then to the Trust's Common Shares. Subject to the discussion below regarding changes to the capital gain tax rates, distributions that are designated as capital gain dividends will be taxed as long-term capital gains (to the extent they do not exceed the Trust's actual net capital gain for the taxable year) without regard to the period for which the shareholder has held his Series A Preferred Shares. However, corporate holders may be required to treat up to 20% of certain capital gain dividends as ordinary income. Distributions in excess of current and accumulated earnings and profits will not be taxable to a shareholder to the extent that they do not exceed the adjusted tax basis of the shareholder's shares, but rather will reduce the adjusted basis of such shares. To the extent that such distributions in excess of current and accumulated earnings and profits exceed the adjusted basis of a shareholder's shares, such distributions will be included in income as long-term capital gain (characterized, in the case of</w:t>
      </w:r>
    </w:p>
    <w:p>
      <w:pPr>
        <w:spacing w:after="0" w:line="20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S-23</w:t>
      </w:r>
    </w:p>
    <w:p>
      <w:pPr>
        <w:sectPr>
          <w:pgSz w:w="11900" w:h="16838" w:orient="portrait"/>
          <w:cols w:equalWidth="0" w:num="1">
            <w:col w:w="10219"/>
          </w:cols>
          <w:pgMar w:left="240" w:top="703" w:right="1440" w:bottom="1440" w:gutter="0" w:footer="0" w:header="0"/>
        </w:sectPr>
      </w:pPr>
    </w:p>
    <w:bookmarkStart w:id="25" w:name="page26"/>
    <w:bookmarkEnd w:id="25"/>
    <w:p>
      <w:pPr>
        <w:ind w:right="2259"/>
        <w:spacing w:after="0" w:line="244" w:lineRule="auto"/>
        <w:rPr>
          <w:sz w:val="20"/>
          <w:szCs w:val="20"/>
          <w:color w:val="auto"/>
        </w:rPr>
      </w:pPr>
      <w:r>
        <w:rPr>
          <w:rFonts w:ascii="Courier New" w:cs="Courier New" w:eastAsia="Courier New" w:hAnsi="Courier New"/>
          <w:sz w:val="17"/>
          <w:szCs w:val="17"/>
          <w:color w:val="auto"/>
        </w:rPr>
        <w:t>individuals, trusts, and estates, as mid-term capital gain if the shares have been held for more than one year but not more than 18 months), or short-term capital gain if the shares have been held for one year or less, assuming the shares are a capital asset in the hands of the shareholder. In addition, any dividend declared by the Trust in October, November or December of any year payable to a shareholder of record on a specified date in any such month shall be treated as both paid by the Trust and received by the shareholder on December 31 of such year, provided that the dividend is actually paid by the Trust during January of the following calendar year.</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Shareholders may not include in their individual income tax returns any net operating losses or capital losses of the Trust. Instead, such losses would be carried over by the Trust for potential offset against its future income (subject to certain limitations). Taxable distributions from the Trust and gain from the disposition of Series A Preferred Shares will not be treated as passive activity income and, therefore, holders generally will not be able to apply any "passive activity losses" (such as losses from certain types of limited partnerships in which the holder is a limited partner) against such income. In addition, taxable distributions from the Trust generally will be treated as investment income for purposes of the investment interest deduction limitations. Capital gain distributions and capital gains from the disposition of Series A Preferred Shares (and distributions treated as such) will be treated as investment income for purposes of the investment interest deduction limitations only if and to the extent the holder so elects, in which case such capital gain distributions and capital gains will be taxed at ordinary income rates to the extent of such election. The Trust will notify holders after the close of the Trust's taxable year as to the portions of the distributions attributable to that year that constitute ordinary income, return of capital, and capital gain.</w:t>
      </w:r>
    </w:p>
    <w:p>
      <w:pPr>
        <w:spacing w:after="0" w:line="204"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may elect to retain and pay income tax on its net long-term capital gains received during the taxable year. For taxable years beginning after December 31, 1997, if the Trust so elects for a taxable year, the holders would include in income as long-term capital gains their proportionate share of such portion of the Trust's undistributed long-term capital gains for the taxable year as the Trust may designate. A holder would be deemed to have paid his share of the tax paid by the Trust on such undistributed capital gains, which would be credited or refunded to the holder. The holder's basis in his Series A Preferred Shares would be increased by the amount of undistributed long-term capital gains (less the capital gains tax paid by the Trust) included in the holder's long-term capital gains.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Taxpayer Relief Act of 1997 (the "Act") alters the taxation of capital gain income. Under the Act, individuals, trusts, and estates that hold certain investments for more than 18 months may be taxed at a maximum long-term capital gain rate of 20% on the sale or exchange of those investments. Individuals who hold certain assets for more than one year but not more than 18 months may be taxed at a maximum mid-term capital gain rate of 28% on the sale or exchange of those investments. The Act also provides a maximum rate of 25% for "unrecaptured section 1250 gain" for individuals, trusts, and estates, special rules for "qualified 5-year gain," as well as other changes to prior law. The Act allows the Internal Revenue Service (the "IRS") to prescribe regulations on how the Act's new capital gain rates will apply to sales of capital assets by "pass-thru entities," which include REITs such as the Trust. To date regulations have not yet been prescribed, and it remains unclear how the Act's new rates will apply to capital gain dividends and undistributed capital gains, including, for example, the extent, if any, to which capital gain dividends and undistributed capital gains from the Trust will be taxed to individuals at the new rates for mid-term capital gains and unrecaptured section 1250 gain, rather than the long-term capital gain rates. Investors are urged to consult their own tax advisors with respect to the new rules contained in the Act.</w:t>
      </w:r>
    </w:p>
    <w:p>
      <w:pPr>
        <w:spacing w:after="0" w:line="204"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Sale or Redemption of Series A Preferred Shares. On the sale of Series A Preferred Shares, gain or loss will be recognized by the holder in an amount equal to the difference between (i) the amount of cash and fair market value of any property received on such sale, and (ii) the holder's adjusted basis in the Series A Preferred Shares. In general, any gain or loss realized upon a taxable</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S-24</w:t>
      </w:r>
    </w:p>
    <w:p>
      <w:pPr>
        <w:sectPr>
          <w:pgSz w:w="11900" w:h="16838" w:orient="portrait"/>
          <w:cols w:equalWidth="0" w:num="1">
            <w:col w:w="10219"/>
          </w:cols>
          <w:pgMar w:left="240" w:top="704" w:right="1440" w:bottom="1440" w:gutter="0" w:footer="0" w:header="0"/>
        </w:sectPr>
      </w:pPr>
    </w:p>
    <w:bookmarkStart w:id="26" w:name="page27"/>
    <w:bookmarkEnd w:id="26"/>
    <w:p>
      <w:pPr>
        <w:ind w:right="2259"/>
        <w:spacing w:after="0" w:line="244" w:lineRule="auto"/>
        <w:rPr>
          <w:sz w:val="20"/>
          <w:szCs w:val="20"/>
          <w:color w:val="auto"/>
        </w:rPr>
      </w:pPr>
      <w:r>
        <w:rPr>
          <w:rFonts w:ascii="Courier New" w:cs="Courier New" w:eastAsia="Courier New" w:hAnsi="Courier New"/>
          <w:sz w:val="17"/>
          <w:szCs w:val="17"/>
          <w:color w:val="auto"/>
        </w:rPr>
        <w:t>disposition of the Series A Preferred Shares by a holder who is not a dealer in securities will be treated as long-term capital gain or loss if the Series A Preferred Shares have been held for more than one year (characterized, in the case of individuals, trusts, and estates, as a mid-term capital gain or loss if the shares have been held for more than one year but not more than 18 months and a long-term capital gain or loss if the shares have been held for more than 18 months), and otherwise as short-term capital gain or loss. However, any loss upon a sale or exchange of shares by a holder who has held such shares for six months or less (after applying certain holding period rules) will be treated as a long-term capital loss to the extent of distributions from the Trust of undistributed capital gains required to be treated by such holder as long-term capital gain. All or a portion of any loss realized by a shareholder upon a taxable disposition of Series A Preferred Shares may be disallowed if other Series A Preferred Shares are purchased within 30 days before or after the disposition.</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 redemption of Series A Preferred Shares will be treated under Section 302 of the Code as a distribution that is taxable at ordinary income tax rates as a dividend (to the extent of the Trust's current or accumulated earnings and profits), unless the redemption satisfies certain tests set forth in Section 302(b) of the Code enabling the redemption to be treated as a sale of the Series A Preferred Shares. The redemption will satisfy such tests if it (i) is "substantially disproportionate" with respect to the holder (which will not be the case if only Series A Preferred Shares are redeemed, since they generally do not have voting rights), (ii) results in a "complete termination" of the holder's share interest in the Trust, or (iii) is "not essentially equivalent to a dividend" with respect to the holder, all within the meaning of Section 302(b) of the Code. In determining whether any of these tests have been met, shares considered to be owned by the holder by reason of certain constructive ownership rules set forth in the Code, as well as shares actually owned, must generally be taken into account. Because the determination as to whether any of the alternative tests of Section 302(b) of the Code will be satisfied with respect to any particular holder of Series A Preferred Shares depends upon the facts and circumstances at the time that the determination must be made, prospective investors are advised to consult their own tax advisors to determine such tax treatment.</w:t>
      </w:r>
    </w:p>
    <w:p>
      <w:pPr>
        <w:spacing w:after="0" w:line="204"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a redemption of the Series A Preferred Shares is treated as a distribution that is taxable as a dividend, the amount of the distribution will be measured by the amount of cash and the fair market value of any property received by the shareholders. The shareholder's adjusted tax basis in such redeemed Series A Preferred Shares will be transferred to the holder's remaining shareholdings in the Trust. If, however, the shareholder has no remaining shareholdings in the Trust, such basis could be transferred to a related person or it may be lost.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BACKUP WITHHOLDING</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will report to its U.S. shareholders and the IRS the amount of dividends paid during each calendar year, and the amount of tax withheld, if any. Under the backup withholding rules, a shareholder may be subject to backup withholding at the rate of 31% with respect to dividends paid and redemptions unless such holder (a) is a corporation or comes within certain other exempt categories and, when required, demonstrates this fact, or (b) provides a taxpayer identification number, certifies that the holder is not subject to backup withholding, and otherwise complies with applicable requirements of the backup withholding rules. A shareholder that does not provide the Trust with his correct taxpayer identification number may also be subject to penalties imposed by the IRS. Any amount paid as backup withholding will be creditable against the shareholder's income tax liability. In addition, the Trust may be required to withhold a portion of capital gain distributions to any shareholders who fail to certify their non-foreign status to the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TAXATION OF CERTAIN TAX-EXEMPT SHAREHOLDERS</w:t>
      </w:r>
    </w:p>
    <w:p>
      <w:pPr>
        <w:spacing w:after="0" w:line="201" w:lineRule="exact"/>
        <w:rPr>
          <w:sz w:val="20"/>
          <w:szCs w:val="20"/>
          <w:color w:val="auto"/>
        </w:rPr>
      </w:pPr>
    </w:p>
    <w:p>
      <w:pPr>
        <w:jc w:val="both"/>
        <w:ind w:right="2459" w:firstLine="204"/>
        <w:spacing w:after="0" w:line="243" w:lineRule="auto"/>
        <w:rPr>
          <w:sz w:val="20"/>
          <w:szCs w:val="20"/>
          <w:color w:val="auto"/>
        </w:rPr>
      </w:pPr>
      <w:r>
        <w:rPr>
          <w:rFonts w:ascii="Courier New" w:cs="Courier New" w:eastAsia="Courier New" w:hAnsi="Courier New"/>
          <w:sz w:val="17"/>
          <w:szCs w:val="17"/>
          <w:color w:val="auto"/>
        </w:rPr>
        <w:t>Generally, a tax-exempt investor that is exempt from tax on its investment income, such as an individual retirement account ("IRA") or a Section 401(k) plan, that holds the Series A Preferred</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S-25</w:t>
      </w:r>
    </w:p>
    <w:p>
      <w:pPr>
        <w:sectPr>
          <w:pgSz w:w="11900" w:h="16838" w:orient="portrait"/>
          <w:cols w:equalWidth="0" w:num="1">
            <w:col w:w="10219"/>
          </w:cols>
          <w:pgMar w:left="240" w:top="704" w:right="1440" w:bottom="1440" w:gutter="0" w:footer="0" w:header="0"/>
        </w:sectPr>
      </w:pPr>
    </w:p>
    <w:bookmarkStart w:id="27" w:name="page28"/>
    <w:bookmarkEnd w:id="27"/>
    <w:p>
      <w:pPr>
        <w:ind w:right="2259"/>
        <w:spacing w:after="0" w:line="244" w:lineRule="auto"/>
        <w:rPr>
          <w:sz w:val="20"/>
          <w:szCs w:val="20"/>
          <w:color w:val="auto"/>
        </w:rPr>
      </w:pPr>
      <w:r>
        <w:rPr>
          <w:rFonts w:ascii="Courier New" w:cs="Courier New" w:eastAsia="Courier New" w:hAnsi="Courier New"/>
          <w:sz w:val="17"/>
          <w:szCs w:val="17"/>
          <w:color w:val="auto"/>
        </w:rPr>
        <w:t>Shares as an investment will not be subject to tax on dividends paid by the Trust. However, if such tax-exempt investor is treated as having purchased its Series A Preferred Shares with borrowed funds, some or all of its dividends from the Series A Preferred Shares will be subject to tax. In addition, under some circumstances certain pension plans (including Section 401(k) plans but not, for example, IRAs) that own more than 10% (by value) of the Trust's outstanding capital shares, including Series A Preferred Shares, could be subject to tax on a portion of their Series A Preferred Share dividends even if their Series A Preferred Shares are held for investment and are not treated as acquired with borrowed funds.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TAX CONSEQUENCES</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Trust and its shareholders may be subject to state or local taxation in various state or local jurisdictions, including those in which it or they own property, transact business or reside. The state and local tax treatment of the Trust and its shareholders may not conform to the federal income tax consequences discussed above. Consequently, prospective shareholders should consult their own tax advisors regarding the effect of state and local tax laws on an investment in the Trust.</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S-26</w:t>
      </w:r>
    </w:p>
    <w:p>
      <w:pPr>
        <w:sectPr>
          <w:pgSz w:w="11900" w:h="16838" w:orient="portrait"/>
          <w:cols w:equalWidth="0" w:num="1">
            <w:col w:w="10219"/>
          </w:cols>
          <w:pgMar w:left="240" w:top="704" w:right="1440" w:bottom="1440" w:gutter="0" w:footer="0" w:header="0"/>
        </w:sectPr>
      </w:pPr>
    </w:p>
    <w:bookmarkStart w:id="28" w:name="page29"/>
    <w:bookmarkEnd w:id="28"/>
    <w:p>
      <w:pPr>
        <w:jc w:val="center"/>
        <w:ind w:right="2259"/>
        <w:spacing w:after="0"/>
        <w:rPr>
          <w:sz w:val="20"/>
          <w:szCs w:val="20"/>
          <w:color w:val="auto"/>
        </w:rPr>
      </w:pPr>
      <w:r>
        <w:rPr>
          <w:rFonts w:ascii="Courier New" w:cs="Courier New" w:eastAsia="Courier New" w:hAnsi="Courier New"/>
          <w:sz w:val="17"/>
          <w:szCs w:val="17"/>
          <w:color w:val="auto"/>
        </w:rPr>
        <w:t>UNDERWRITING</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Subject to the terms and conditions of the Underwriting Agreement, the Trust has agreed to sell to each of the underwriters named below (the "Underwriters"), and each of such Underwriters has severally agreed to purchase, the respective number of Series A Preferred Shares set forth opposite its name below:</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9"/>
              </w:rPr>
              <w:t>NUMBER OF SERIES A</w:t>
            </w:r>
          </w:p>
        </w:tc>
      </w:tr>
      <w:tr>
        <w:trPr>
          <w:trHeight w:val="196"/>
        </w:trPr>
        <w:tc>
          <w:tcPr>
            <w:tcW w:w="6280" w:type="dxa"/>
            <w:vAlign w:val="bottom"/>
          </w:tcPr>
          <w:p>
            <w:pPr>
              <w:jc w:val="center"/>
              <w:spacing w:after="0"/>
              <w:rPr>
                <w:sz w:val="20"/>
                <w:szCs w:val="20"/>
                <w:color w:val="auto"/>
              </w:rPr>
            </w:pPr>
            <w:r>
              <w:rPr>
                <w:rFonts w:ascii="Courier New" w:cs="Courier New" w:eastAsia="Courier New" w:hAnsi="Courier New"/>
                <w:sz w:val="17"/>
                <w:szCs w:val="17"/>
                <w:color w:val="auto"/>
                <w:w w:val="99"/>
              </w:rPr>
              <w:t>UNDERWRITER</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9"/>
              </w:rPr>
              <w:t>PREFERRED SHARES</w:t>
            </w:r>
          </w:p>
        </w:tc>
      </w:tr>
      <w:tr>
        <w:trPr>
          <w:trHeight w:val="196"/>
        </w:trPr>
        <w:tc>
          <w:tcPr>
            <w:tcW w:w="628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88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6280" w:type="dxa"/>
            <w:vAlign w:val="bottom"/>
          </w:tcPr>
          <w:p>
            <w:pPr>
              <w:jc w:val="center"/>
              <w:spacing w:after="0"/>
              <w:rPr>
                <w:sz w:val="20"/>
                <w:szCs w:val="20"/>
                <w:color w:val="auto"/>
              </w:rPr>
            </w:pPr>
            <w:r>
              <w:rPr>
                <w:rFonts w:ascii="Courier New" w:cs="Courier New" w:eastAsia="Courier New" w:hAnsi="Courier New"/>
                <w:sz w:val="17"/>
                <w:szCs w:val="17"/>
                <w:color w:val="auto"/>
                <w:w w:val="99"/>
              </w:rPr>
              <w:t>Goldman, Sachs &amp; Co. ........................................</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2,000,000</w:t>
            </w:r>
          </w:p>
        </w:tc>
      </w:tr>
      <w:tr>
        <w:trPr>
          <w:trHeight w:val="196"/>
        </w:trPr>
        <w:tc>
          <w:tcPr>
            <w:tcW w:w="6280" w:type="dxa"/>
            <w:vAlign w:val="bottom"/>
          </w:tcPr>
          <w:p>
            <w:pPr>
              <w:jc w:val="center"/>
              <w:spacing w:after="0"/>
              <w:rPr>
                <w:sz w:val="20"/>
                <w:szCs w:val="20"/>
                <w:color w:val="auto"/>
              </w:rPr>
            </w:pPr>
            <w:r>
              <w:rPr>
                <w:rFonts w:ascii="Courier New" w:cs="Courier New" w:eastAsia="Courier New" w:hAnsi="Courier New"/>
                <w:sz w:val="17"/>
                <w:szCs w:val="17"/>
                <w:color w:val="auto"/>
                <w:w w:val="99"/>
              </w:rPr>
              <w:t>Prudential Securities Incorporated...........................</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1,000,000</w:t>
            </w:r>
          </w:p>
        </w:tc>
      </w:tr>
      <w:tr>
        <w:trPr>
          <w:trHeight w:val="196"/>
        </w:trPr>
        <w:tc>
          <w:tcPr>
            <w:tcW w:w="6280" w:type="dxa"/>
            <w:vAlign w:val="bottom"/>
          </w:tcPr>
          <w:p>
            <w:pPr>
              <w:jc w:val="center"/>
              <w:spacing w:after="0"/>
              <w:rPr>
                <w:sz w:val="20"/>
                <w:szCs w:val="20"/>
                <w:color w:val="auto"/>
              </w:rPr>
            </w:pPr>
            <w:r>
              <w:rPr>
                <w:rFonts w:ascii="Courier New" w:cs="Courier New" w:eastAsia="Courier New" w:hAnsi="Courier New"/>
                <w:sz w:val="17"/>
                <w:szCs w:val="17"/>
                <w:color w:val="auto"/>
                <w:w w:val="99"/>
              </w:rPr>
              <w:t>Smith Barney Inc. ...........................................</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1,000,000</w:t>
            </w:r>
          </w:p>
        </w:tc>
      </w:tr>
      <w:tr>
        <w:trPr>
          <w:trHeight w:val="196"/>
        </w:trPr>
        <w:tc>
          <w:tcPr>
            <w:tcW w:w="6280" w:type="dxa"/>
            <w:vAlign w:val="bottom"/>
          </w:tcPr>
          <w:p>
            <w:pPr>
              <w:spacing w:after="0"/>
              <w:rPr>
                <w:sz w:val="17"/>
                <w:szCs w:val="17"/>
                <w:color w:val="auto"/>
              </w:rPr>
            </w:pP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80" w:type="dxa"/>
            <w:vAlign w:val="bottom"/>
          </w:tcPr>
          <w:p>
            <w:pPr>
              <w:ind w:left="200"/>
              <w:spacing w:after="0"/>
              <w:rPr>
                <w:sz w:val="20"/>
                <w:szCs w:val="20"/>
                <w:color w:val="auto"/>
              </w:rPr>
            </w:pPr>
            <w:r>
              <w:rPr>
                <w:rFonts w:ascii="Courier New" w:cs="Courier New" w:eastAsia="Courier New" w:hAnsi="Courier New"/>
                <w:sz w:val="17"/>
                <w:szCs w:val="17"/>
                <w:color w:val="auto"/>
              </w:rPr>
              <w:t>Total......................................................</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4,000,000</w:t>
            </w:r>
          </w:p>
        </w:tc>
      </w:tr>
      <w:tr>
        <w:trPr>
          <w:trHeight w:val="196"/>
        </w:trPr>
        <w:tc>
          <w:tcPr>
            <w:tcW w:w="6280" w:type="dxa"/>
            <w:vAlign w:val="bottom"/>
          </w:tcPr>
          <w:p>
            <w:pPr>
              <w:spacing w:after="0"/>
              <w:rPr>
                <w:sz w:val="17"/>
                <w:szCs w:val="17"/>
                <w:color w:val="auto"/>
              </w:rPr>
            </w:pP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Under the terms and conditions of the Underwriting Agreement, the Underwriters are committed to take and pay for all of the Series A Preferred Shares offered hereby, if any are taken.</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Underwriters propose to offer the Series A Preferred Shares in part directly to the public at the initial public offering price set forth on the cover page of this Prospectus Supplement and in part to certain securities dealers at such price less a concession of $0.50 per Series A Preferred Share. The Underwriters may allow, and such dealers may reallow, a concession not to exceed $0.40 per Series A Preferred Share to certain brokers and dealers. After the Series A Preferred Shares are released for sale to the public, the offering price and other selling terms may from time to time be varied by the Underwriters.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connection with the Offering, the Underwriters may purchase and sell the Series A Preferred Shares in the open market. These transactions may include over-allotment and stabilizing transactions and purchases to cover short positions created by the Underwriters in connection with the Offering. Stabilizing transactions consist of certain bids or purchases for the purpose of preventing or retarding a decline in the market price of the Series A Preferred Shares, and short positions created by the Underwriters involve the sale by the Underwriters of a greater number of Series A Preferred Shares than they are required to purchase from the Trust in the offering. The Underwriters also may impose a penalty bid, whereby selling concessions allowed to broker-dealers in respect of the Series A Preferred Shares sold in the Offering may be reclaimed by the Underwriters if such Series A Preferred Shares are repurchased by the Underwriters in stabilizing or covering transactions. These activities may stabilize, maintain or otherwise affect the market price of the Series A Preferred Shares, which may be higher than the price that might otherwise prevail in the open market; and these activities, if commenced, may be discontinued at any time. These transactions may be effected on the New York Stock Exchange, in the over-the-counter market or otherwise.</w:t>
      </w:r>
    </w:p>
    <w:p>
      <w:pPr>
        <w:spacing w:after="0" w:line="204"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Series A Preferred Shares are a new issue of securities with no established trading market. The Trust has been advised by the Underwriters that they intend to make a market in the Series A Preferred Shares but are not obligated to do so and may discontinue market making at any time without notice. No assurance can be given as to the liquidity of the trading market for the Series A Preferred Shares.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has agreed to indemnify the Underwriters against certain civil liabilities, including liabilities under the Securities Act of 1933, as amended, or to contribute to payments the Underwriters may be required to make in respect thereof.</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S-27</w:t>
      </w:r>
    </w:p>
    <w:p>
      <w:pPr>
        <w:sectPr>
          <w:pgSz w:w="11900" w:h="16838" w:orient="portrait"/>
          <w:cols w:equalWidth="0" w:num="1">
            <w:col w:w="10219"/>
          </w:cols>
          <w:pgMar w:left="240" w:top="703" w:right="1440" w:bottom="1440" w:gutter="0" w:footer="0" w:header="0"/>
        </w:sectPr>
      </w:pPr>
    </w:p>
    <w:bookmarkStart w:id="29" w:name="page30"/>
    <w:bookmarkEnd w:id="29"/>
    <w:p>
      <w:pPr>
        <w:jc w:val="center"/>
        <w:ind w:right="2259"/>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$480,000,000</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DEBT SECURITIES, PREFERRED SHARES AND COMMON SHARES</w:t>
      </w:r>
    </w:p>
    <w:p>
      <w:pPr>
        <w:spacing w:after="0" w:line="201"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Federal Realty Investment Trust (the "Trust") may from time to time offer in one or more series (i) its unsecured debt securities (the "Debt Securities"),</w:t>
      </w:r>
    </w:p>
    <w:p>
      <w:pPr>
        <w:spacing w:after="0" w:line="1" w:lineRule="exact"/>
        <w:rPr>
          <w:sz w:val="20"/>
          <w:szCs w:val="20"/>
          <w:color w:val="auto"/>
        </w:rPr>
      </w:pPr>
    </w:p>
    <w:p>
      <w:pPr>
        <w:ind w:left="520" w:hanging="515"/>
        <w:spacing w:after="0"/>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preferred shares (the "Preferred Shares"), and (iii) its common</w:t>
      </w:r>
    </w:p>
    <w:p>
      <w:pPr>
        <w:spacing w:after="0" w:line="4" w:lineRule="exact"/>
        <w:rPr>
          <w:rFonts w:ascii="Courier New" w:cs="Courier New" w:eastAsia="Courier New" w:hAnsi="Courier New"/>
          <w:sz w:val="17"/>
          <w:szCs w:val="17"/>
          <w:color w:val="auto"/>
        </w:rPr>
      </w:pPr>
    </w:p>
    <w:p>
      <w:pPr>
        <w:ind w:right="23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3" w:lineRule="exact"/>
        <w:rPr>
          <w:sz w:val="20"/>
          <w:szCs w:val="20"/>
          <w:color w:val="auto"/>
        </w:rPr>
      </w:pPr>
    </w:p>
    <w:p>
      <w:pPr>
        <w:ind w:right="2559" w:firstLine="204"/>
        <w:spacing w:after="0" w:line="244" w:lineRule="auto"/>
        <w:rPr>
          <w:sz w:val="20"/>
          <w:szCs w:val="20"/>
          <w:color w:val="auto"/>
        </w:rPr>
      </w:pPr>
      <w:r>
        <w:rPr>
          <w:rFonts w:ascii="Courier New" w:cs="Courier New" w:eastAsia="Courier New" w:hAnsi="Courier New"/>
          <w:sz w:val="17"/>
          <w:szCs w:val="17"/>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199"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100" w:right="2259" w:hanging="101"/>
        <w:spacing w:after="0" w:line="243"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UPON THE</w:t>
      </w:r>
    </w:p>
    <w:p>
      <w:pPr>
        <w:spacing w:after="0" w:line="4" w:lineRule="exact"/>
        <w:rPr>
          <w:sz w:val="20"/>
          <w:szCs w:val="20"/>
          <w:color w:val="auto"/>
        </w:rPr>
      </w:pPr>
    </w:p>
    <w:p>
      <w:pPr>
        <w:ind w:left="420" w:right="2259" w:hanging="101"/>
        <w:spacing w:after="0" w:line="243" w:lineRule="auto"/>
        <w:rPr>
          <w:sz w:val="20"/>
          <w:szCs w:val="20"/>
          <w:color w:val="auto"/>
        </w:rPr>
      </w:pPr>
      <w:r>
        <w:rPr>
          <w:rFonts w:ascii="Courier New" w:cs="Courier New" w:eastAsia="Courier New" w:hAnsi="Courier New"/>
          <w:sz w:val="17"/>
          <w:szCs w:val="17"/>
          <w:color w:val="auto"/>
        </w:rPr>
        <w:t>ACCURACY OR ADEQUACY OF THIS PROSPECTUS. ANY REPRESENTATION TO THE CONTRARY IS A CRIMINAL OFFENSE.</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right="2159" w:hanging="305"/>
        <w:spacing w:after="0" w:line="259"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ind w:left="31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The date of this Prospectus is November 7, 1995.</w:t>
      </w:r>
    </w:p>
    <w:p>
      <w:pPr>
        <w:sectPr>
          <w:pgSz w:w="11900" w:h="16838" w:orient="portrait"/>
          <w:cols w:equalWidth="0" w:num="1">
            <w:col w:w="10219"/>
          </w:cols>
          <w:pgMar w:left="240" w:top="703" w:right="1440" w:bottom="1440" w:gutter="0" w:footer="0" w:header="0"/>
        </w:sectPr>
      </w:pPr>
    </w:p>
    <w:bookmarkStart w:id="30" w:name="page31"/>
    <w:bookmarkEnd w:id="30"/>
    <w:p>
      <w:pPr>
        <w:ind w:left="2960"/>
        <w:spacing w:after="0"/>
        <w:rPr>
          <w:sz w:val="20"/>
          <w:szCs w:val="20"/>
          <w:color w:val="auto"/>
        </w:rPr>
      </w:pPr>
      <w:r>
        <w:rPr>
          <w:rFonts w:ascii="Courier New" w:cs="Courier New" w:eastAsia="Courier New" w:hAnsi="Courier New"/>
          <w:sz w:val="17"/>
          <w:szCs w:val="17"/>
          <w:color w:val="auto"/>
        </w:rPr>
        <w:t>AVAILABLE INFORMATION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199"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01" w:lineRule="exact"/>
        <w:rPr>
          <w:sz w:val="20"/>
          <w:szCs w:val="20"/>
          <w:color w:val="auto"/>
        </w:rPr>
      </w:pPr>
    </w:p>
    <w:p>
      <w:pPr>
        <w:ind w:right="2859" w:firstLine="204"/>
        <w:spacing w:after="0" w:line="243" w:lineRule="auto"/>
        <w:rPr>
          <w:sz w:val="20"/>
          <w:szCs w:val="20"/>
          <w:color w:val="auto"/>
        </w:rPr>
      </w:pPr>
      <w:r>
        <w:rPr>
          <w:rFonts w:ascii="Courier New" w:cs="Courier New" w:eastAsia="Courier New" w:hAnsi="Courier New"/>
          <w:sz w:val="17"/>
          <w:szCs w:val="17"/>
          <w:color w:val="auto"/>
        </w:rPr>
        <w:t>The following documents filed by the Trust with the Commission are incorporated in this Prospectus by reference and are made a part hereof:</w:t>
      </w:r>
    </w:p>
    <w:p>
      <w:pPr>
        <w:spacing w:after="0" w:line="199" w:lineRule="exact"/>
        <w:rPr>
          <w:sz w:val="20"/>
          <w:szCs w:val="20"/>
          <w:color w:val="auto"/>
        </w:rPr>
      </w:pPr>
    </w:p>
    <w:p>
      <w:pPr>
        <w:ind w:left="200" w:right="2759" w:firstLine="213"/>
        <w:spacing w:after="0" w:line="243" w:lineRule="auto"/>
        <w:tabs>
          <w:tab w:leader="none" w:pos="71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Annual Report on Form 10-K, as amended, for the fiscal year ended December 31, 1994.</w:t>
      </w:r>
    </w:p>
    <w:p>
      <w:pPr>
        <w:spacing w:after="0" w:line="198" w:lineRule="exact"/>
        <w:rPr>
          <w:rFonts w:ascii="Courier New" w:cs="Courier New" w:eastAsia="Courier New" w:hAnsi="Courier New"/>
          <w:sz w:val="17"/>
          <w:szCs w:val="17"/>
          <w:color w:val="auto"/>
        </w:rPr>
      </w:pPr>
    </w:p>
    <w:p>
      <w:pPr>
        <w:ind w:left="200" w:right="2859" w:firstLine="213"/>
        <w:spacing w:after="0" w:line="243" w:lineRule="auto"/>
        <w:tabs>
          <w:tab w:leader="none" w:pos="71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Quarterly Reports on Form 10-Q for the quarters ended March 31, 1995 and June 30, 1995.</w:t>
      </w:r>
    </w:p>
    <w:p>
      <w:pPr>
        <w:spacing w:after="0" w:line="198" w:lineRule="exact"/>
        <w:rPr>
          <w:rFonts w:ascii="Courier New" w:cs="Courier New" w:eastAsia="Courier New" w:hAnsi="Courier New"/>
          <w:sz w:val="17"/>
          <w:szCs w:val="17"/>
          <w:color w:val="auto"/>
        </w:rPr>
      </w:pPr>
    </w:p>
    <w:p>
      <w:pPr>
        <w:ind w:left="200" w:right="2559" w:firstLine="213"/>
        <w:spacing w:after="0" w:line="243" w:lineRule="auto"/>
        <w:tabs>
          <w:tab w:leader="none" w:pos="71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Current Reports on Form 8-K filed with the Commission on March 31, 1995, May 26, 1995, August 16, 1995 and September 22, 1995.</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198"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3" w:right="1440" w:bottom="1440" w:gutter="0" w:footer="0" w:header="0"/>
        </w:sectPr>
      </w:pPr>
    </w:p>
    <w:bookmarkStart w:id="31" w:name="page32"/>
    <w:bookmarkEnd w:id="31"/>
    <w:p>
      <w:pPr>
        <w:ind w:left="3580"/>
        <w:spacing w:after="0"/>
        <w:rPr>
          <w:sz w:val="20"/>
          <w:szCs w:val="20"/>
          <w:color w:val="auto"/>
        </w:rPr>
      </w:pPr>
      <w:r>
        <w:rPr>
          <w:rFonts w:ascii="Courier New" w:cs="Courier New" w:eastAsia="Courier New" w:hAnsi="Courier New"/>
          <w:sz w:val="17"/>
          <w:szCs w:val="17"/>
          <w:color w:val="auto"/>
        </w:rPr>
        <w:t>THE TRUST</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198" w:lineRule="exact"/>
        <w:rPr>
          <w:sz w:val="20"/>
          <w:szCs w:val="20"/>
          <w:color w:val="auto"/>
        </w:rPr>
      </w:pPr>
    </w:p>
    <w:p>
      <w:pPr>
        <w:ind w:right="2759" w:firstLine="204"/>
        <w:spacing w:after="0" w:line="243" w:lineRule="auto"/>
        <w:rPr>
          <w:sz w:val="20"/>
          <w:szCs w:val="20"/>
          <w:color w:val="auto"/>
        </w:rPr>
      </w:pPr>
      <w:r>
        <w:rPr>
          <w:rFonts w:ascii="Courier New" w:cs="Courier New" w:eastAsia="Courier New" w:hAnsi="Courier New"/>
          <w:sz w:val="17"/>
          <w:szCs w:val="17"/>
          <w:color w:val="auto"/>
        </w:rPr>
        <w:t>The Trust, a District of Columbia business trust of unlimited duration, maintains its offices at 4800 Hampden Lane, Bethesda, Maryland 20814 (telephone 301/652-3360).</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3" w:right="1440" w:bottom="1440" w:gutter="0" w:footer="0" w:header="0"/>
        </w:sectPr>
      </w:pPr>
    </w:p>
    <w:bookmarkStart w:id="32" w:name="page33"/>
    <w:bookmarkEnd w:id="32"/>
    <w:p>
      <w:pPr>
        <w:jc w:val="center"/>
        <w:ind w:right="2159"/>
        <w:spacing w:after="0"/>
        <w:rPr>
          <w:sz w:val="20"/>
          <w:szCs w:val="20"/>
          <w:color w:val="auto"/>
        </w:rPr>
      </w:pPr>
      <w:r>
        <w:rPr>
          <w:rFonts w:ascii="Courier New" w:cs="Courier New" w:eastAsia="Courier New" w:hAnsi="Courier New"/>
          <w:sz w:val="17"/>
          <w:szCs w:val="17"/>
          <w:color w:val="auto"/>
        </w:rPr>
        <w:t>USE OF PROCEEDS</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198"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201"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90"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40" w:type="dxa"/>
            <w:vAlign w:val="bottom"/>
          </w:tcPr>
          <w:p>
            <w:pPr>
              <w:jc w:val="right"/>
              <w:ind w:right="535"/>
              <w:spacing w:after="0"/>
              <w:rPr>
                <w:sz w:val="20"/>
                <w:szCs w:val="20"/>
                <w:color w:val="auto"/>
              </w:rPr>
            </w:pPr>
            <w:r>
              <w:rPr>
                <w:rFonts w:ascii="Courier New" w:cs="Courier New" w:eastAsia="Courier New" w:hAnsi="Courier New"/>
                <w:sz w:val="17"/>
                <w:szCs w:val="17"/>
                <w:color w:val="auto"/>
                <w:w w:val="97"/>
              </w:rPr>
              <w:t>SIX MONTHS</w:t>
            </w:r>
          </w:p>
        </w:tc>
      </w:tr>
      <w:tr>
        <w:trPr>
          <w:trHeight w:val="196"/>
        </w:trPr>
        <w:tc>
          <w:tcPr>
            <w:tcW w:w="1120" w:type="dxa"/>
            <w:vAlign w:val="bottom"/>
          </w:tcPr>
          <w:p>
            <w:pPr>
              <w:spacing w:after="0"/>
              <w:rPr>
                <w:sz w:val="17"/>
                <w:szCs w:val="17"/>
                <w:color w:val="auto"/>
              </w:rPr>
            </w:pPr>
          </w:p>
        </w:tc>
        <w:tc>
          <w:tcPr>
            <w:tcW w:w="286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9"/>
              </w:rPr>
              <w:t>YEARS ENDED DECEMBER 31,</w:t>
            </w: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ENDED JUNE 30,</w:t>
            </w:r>
          </w:p>
        </w:tc>
      </w:tr>
      <w:tr>
        <w:trPr>
          <w:trHeight w:val="196"/>
        </w:trPr>
        <w:tc>
          <w:tcPr>
            <w:tcW w:w="2080" w:type="dxa"/>
            <w:vAlign w:val="bottom"/>
            <w:gridSpan w:val="2"/>
          </w:tcPr>
          <w:p>
            <w:pPr>
              <w:spacing w:after="0"/>
              <w:rPr>
                <w:sz w:val="20"/>
                <w:szCs w:val="20"/>
                <w:color w:val="auto"/>
              </w:rPr>
            </w:pPr>
            <w:r>
              <w:rPr>
                <w:rFonts w:ascii="Courier New" w:cs="Courier New" w:eastAsia="Courier New" w:hAnsi="Courier New"/>
                <w:sz w:val="7"/>
                <w:szCs w:val="7"/>
                <w:color w:val="auto"/>
                <w:w w:val="83"/>
              </w:rPr>
              <w:t>-----------------------------------------------------------</w:t>
            </w:r>
          </w:p>
        </w:tc>
        <w:tc>
          <w:tcPr>
            <w:tcW w:w="1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1990</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1991</w:t>
            </w:r>
          </w:p>
        </w:tc>
        <w:tc>
          <w:tcPr>
            <w:tcW w:w="1900" w:type="dxa"/>
            <w:vAlign w:val="bottom"/>
          </w:tcPr>
          <w:p>
            <w:pPr>
              <w:ind w:left="460"/>
              <w:spacing w:after="0"/>
              <w:rPr>
                <w:sz w:val="20"/>
                <w:szCs w:val="20"/>
                <w:color w:val="auto"/>
              </w:rPr>
            </w:pPr>
            <w:r>
              <w:rPr>
                <w:rFonts w:ascii="Courier New" w:cs="Courier New" w:eastAsia="Courier New" w:hAnsi="Courier New"/>
                <w:sz w:val="17"/>
                <w:szCs w:val="17"/>
                <w:color w:val="auto"/>
              </w:rPr>
              <w:t>1992</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440" w:type="dxa"/>
            <w:vAlign w:val="bottom"/>
          </w:tcPr>
          <w:p>
            <w:pPr>
              <w:ind w:left="460"/>
              <w:spacing w:after="0"/>
              <w:rPr>
                <w:sz w:val="20"/>
                <w:szCs w:val="20"/>
                <w:color w:val="auto"/>
              </w:rPr>
            </w:pPr>
            <w:r>
              <w:rPr>
                <w:rFonts w:ascii="Courier New" w:cs="Courier New" w:eastAsia="Courier New" w:hAnsi="Courier New"/>
                <w:sz w:val="17"/>
                <w:szCs w:val="17"/>
                <w:color w:val="auto"/>
              </w:rPr>
              <w:t>1994</w:t>
            </w:r>
          </w:p>
        </w:tc>
        <w:tc>
          <w:tcPr>
            <w:tcW w:w="11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c>
          <w:tcPr>
            <w:tcW w:w="16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1.06X</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1.09X</w:t>
            </w:r>
          </w:p>
        </w:tc>
        <w:tc>
          <w:tcPr>
            <w:tcW w:w="1900" w:type="dxa"/>
            <w:vAlign w:val="bottom"/>
          </w:tcPr>
          <w:p>
            <w:pPr>
              <w:ind w:left="460"/>
              <w:spacing w:after="0"/>
              <w:rPr>
                <w:sz w:val="20"/>
                <w:szCs w:val="20"/>
                <w:color w:val="auto"/>
              </w:rPr>
            </w:pPr>
            <w:r>
              <w:rPr>
                <w:rFonts w:ascii="Courier New" w:cs="Courier New" w:eastAsia="Courier New" w:hAnsi="Courier New"/>
                <w:sz w:val="17"/>
                <w:szCs w:val="17"/>
                <w:color w:val="auto"/>
              </w:rPr>
              <w:t>1.19X</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1.50X</w:t>
            </w:r>
          </w:p>
        </w:tc>
        <w:tc>
          <w:tcPr>
            <w:tcW w:w="1440" w:type="dxa"/>
            <w:vAlign w:val="bottom"/>
          </w:tcPr>
          <w:p>
            <w:pPr>
              <w:ind w:left="460"/>
              <w:spacing w:after="0"/>
              <w:rPr>
                <w:sz w:val="20"/>
                <w:szCs w:val="20"/>
                <w:color w:val="auto"/>
              </w:rPr>
            </w:pPr>
            <w:r>
              <w:rPr>
                <w:rFonts w:ascii="Courier New" w:cs="Courier New" w:eastAsia="Courier New" w:hAnsi="Courier New"/>
                <w:sz w:val="17"/>
                <w:szCs w:val="17"/>
                <w:color w:val="auto"/>
              </w:rPr>
              <w:t>1.61X</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1.56X</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1.61X</w:t>
            </w:r>
          </w:p>
        </w:tc>
      </w:tr>
    </w:tbl>
    <w:p>
      <w:pPr>
        <w:spacing w:after="0" w:line="397"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19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DESCRIPTION OF DEBT SECURITIES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3" w:right="1440" w:bottom="1440" w:gutter="0" w:footer="0" w:header="0"/>
        </w:sectPr>
      </w:pPr>
    </w:p>
    <w:bookmarkStart w:id="33" w:name="page34"/>
    <w:bookmarkEnd w:id="33"/>
    <w:p>
      <w:pPr>
        <w:ind w:right="2259" w:firstLine="204"/>
        <w:spacing w:after="0" w:line="244" w:lineRule="auto"/>
        <w:rPr>
          <w:sz w:val="20"/>
          <w:szCs w:val="20"/>
          <w:color w:val="auto"/>
        </w:rPr>
      </w:pPr>
      <w:r>
        <w:rPr>
          <w:rFonts w:ascii="Courier New" w:cs="Courier New" w:eastAsia="Courier New" w:hAnsi="Courier New"/>
          <w:sz w:val="17"/>
          <w:szCs w:val="17"/>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Reference is made to the Prospectus Supplement relating to the series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Securities being offered for the specific terms thereof, including:</w:t>
      </w:r>
    </w:p>
    <w:p>
      <w:pPr>
        <w:spacing w:after="0" w:line="201" w:lineRule="exact"/>
        <w:rPr>
          <w:sz w:val="20"/>
          <w:szCs w:val="20"/>
          <w:color w:val="auto"/>
        </w:rPr>
      </w:pPr>
    </w:p>
    <w:p>
      <w:pPr>
        <w:ind w:left="200" w:right="2559" w:firstLine="315"/>
        <w:spacing w:after="0" w:line="243"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of such Debt Securities and whether such Debt Securities are Senior Securities or Subordinated Securities;</w:t>
      </w:r>
    </w:p>
    <w:p>
      <w:pPr>
        <w:spacing w:after="0" w:line="198" w:lineRule="exact"/>
        <w:rPr>
          <w:rFonts w:ascii="Courier New" w:cs="Courier New" w:eastAsia="Courier New" w:hAnsi="Courier New"/>
          <w:sz w:val="17"/>
          <w:szCs w:val="17"/>
          <w:color w:val="auto"/>
        </w:rPr>
      </w:pPr>
    </w:p>
    <w:p>
      <w:pPr>
        <w:ind w:left="200" w:right="2359" w:firstLine="315"/>
        <w:spacing w:after="0" w:line="243"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principal amount of such Debt Securities and any limit on such aggregate principal amount;</w:t>
      </w:r>
    </w:p>
    <w:p>
      <w:pPr>
        <w:spacing w:after="0" w:line="198" w:lineRule="exact"/>
        <w:rPr>
          <w:rFonts w:ascii="Courier New" w:cs="Courier New" w:eastAsia="Courier New" w:hAnsi="Courier New"/>
          <w:sz w:val="17"/>
          <w:szCs w:val="17"/>
          <w:color w:val="auto"/>
        </w:rPr>
      </w:pPr>
    </w:p>
    <w:p>
      <w:pPr>
        <w:ind w:left="200" w:right="2359" w:firstLine="315"/>
        <w:spacing w:after="0" w:line="244"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199" w:lineRule="exact"/>
        <w:rPr>
          <w:rFonts w:ascii="Courier New" w:cs="Courier New" w:eastAsia="Courier New" w:hAnsi="Courier New"/>
          <w:sz w:val="17"/>
          <w:szCs w:val="17"/>
          <w:color w:val="auto"/>
        </w:rPr>
      </w:pPr>
    </w:p>
    <w:p>
      <w:pPr>
        <w:ind w:left="200" w:right="2559" w:firstLine="315"/>
        <w:spacing w:after="0" w:line="244"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197" w:lineRule="exact"/>
        <w:rPr>
          <w:rFonts w:ascii="Courier New" w:cs="Courier New" w:eastAsia="Courier New" w:hAnsi="Courier New"/>
          <w:sz w:val="17"/>
          <w:szCs w:val="17"/>
          <w:color w:val="auto"/>
        </w:rPr>
      </w:pPr>
    </w:p>
    <w:p>
      <w:pPr>
        <w:ind w:left="200" w:right="2359" w:firstLine="315"/>
        <w:spacing w:after="0" w:line="243"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on which the principal of such Debt Securities will be payable;</w:t>
      </w:r>
    </w:p>
    <w:p>
      <w:pPr>
        <w:spacing w:after="0" w:line="198" w:lineRule="exact"/>
        <w:rPr>
          <w:rFonts w:ascii="Courier New" w:cs="Courier New" w:eastAsia="Courier New" w:hAnsi="Courier New"/>
          <w:sz w:val="17"/>
          <w:szCs w:val="17"/>
          <w:color w:val="auto"/>
        </w:rPr>
      </w:pPr>
    </w:p>
    <w:p>
      <w:pPr>
        <w:jc w:val="both"/>
        <w:ind w:left="200" w:right="2359" w:firstLine="315"/>
        <w:spacing w:after="0" w:line="243"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rate or rates (which may be fixed or variable), or the method by which such rate or rates shall be determined, at which such Debt Securities will bear interest, if any;</w:t>
      </w:r>
    </w:p>
    <w:p>
      <w:pPr>
        <w:spacing w:after="0" w:line="199" w:lineRule="exact"/>
        <w:rPr>
          <w:rFonts w:ascii="Courier New" w:cs="Courier New" w:eastAsia="Courier New" w:hAnsi="Courier New"/>
          <w:sz w:val="17"/>
          <w:szCs w:val="17"/>
          <w:color w:val="auto"/>
        </w:rPr>
      </w:pPr>
    </w:p>
    <w:p>
      <w:pPr>
        <w:ind w:left="200" w:right="2359" w:firstLine="315"/>
        <w:spacing w:after="0" w:line="244"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99" w:lineRule="exact"/>
        <w:rPr>
          <w:rFonts w:ascii="Courier New" w:cs="Courier New" w:eastAsia="Courier New" w:hAnsi="Courier New"/>
          <w:sz w:val="17"/>
          <w:szCs w:val="17"/>
          <w:color w:val="auto"/>
        </w:rPr>
      </w:pPr>
    </w:p>
    <w:p>
      <w:pPr>
        <w:ind w:left="200" w:right="2359" w:firstLine="315"/>
        <w:spacing w:after="0" w:line="244"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98" w:lineRule="exact"/>
        <w:rPr>
          <w:rFonts w:ascii="Courier New" w:cs="Courier New" w:eastAsia="Courier New" w:hAnsi="Courier New"/>
          <w:sz w:val="17"/>
          <w:szCs w:val="17"/>
          <w:color w:val="auto"/>
        </w:rPr>
      </w:pPr>
    </w:p>
    <w:p>
      <w:pPr>
        <w:ind w:left="200" w:right="2359" w:firstLine="315"/>
        <w:spacing w:after="0" w:line="244" w:lineRule="auto"/>
        <w:tabs>
          <w:tab w:leader="none" w:pos="9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4" w:right="1440" w:bottom="1440" w:gutter="0" w:footer="0" w:header="0"/>
        </w:sectPr>
      </w:pPr>
    </w:p>
    <w:bookmarkStart w:id="34" w:name="page35"/>
    <w:bookmarkEnd w:id="34"/>
    <w:p>
      <w:pPr>
        <w:ind w:left="200" w:right="2359" w:firstLine="213"/>
        <w:spacing w:after="0" w:line="244"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198" w:lineRule="exact"/>
        <w:rPr>
          <w:rFonts w:ascii="Courier New" w:cs="Courier New" w:eastAsia="Courier New" w:hAnsi="Courier New"/>
          <w:sz w:val="17"/>
          <w:szCs w:val="17"/>
          <w:color w:val="auto"/>
        </w:rPr>
      </w:pPr>
    </w:p>
    <w:p>
      <w:pPr>
        <w:ind w:left="200" w:right="2359" w:firstLine="213"/>
        <w:spacing w:after="0" w:line="244"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197" w:lineRule="exact"/>
        <w:rPr>
          <w:rFonts w:ascii="Courier New" w:cs="Courier New" w:eastAsia="Courier New" w:hAnsi="Courier New"/>
          <w:sz w:val="17"/>
          <w:szCs w:val="17"/>
          <w:color w:val="auto"/>
        </w:rPr>
      </w:pPr>
    </w:p>
    <w:p>
      <w:pPr>
        <w:ind w:left="200" w:right="2359" w:firstLine="213"/>
        <w:spacing w:after="0" w:line="244"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198" w:lineRule="exact"/>
        <w:rPr>
          <w:rFonts w:ascii="Courier New" w:cs="Courier New" w:eastAsia="Courier New" w:hAnsi="Courier New"/>
          <w:sz w:val="17"/>
          <w:szCs w:val="17"/>
          <w:color w:val="auto"/>
        </w:rPr>
      </w:pPr>
    </w:p>
    <w:p>
      <w:pPr>
        <w:ind w:left="200" w:right="2359" w:firstLine="213"/>
        <w:spacing w:after="0" w:line="243"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additions to, modifications of or deletions from the terms of such Debt Securities with respect to the Events of Default or covenants set forth in the applicable Indenture;</w:t>
      </w:r>
    </w:p>
    <w:p>
      <w:pPr>
        <w:spacing w:after="0" w:line="199" w:lineRule="exact"/>
        <w:rPr>
          <w:rFonts w:ascii="Courier New" w:cs="Courier New" w:eastAsia="Courier New" w:hAnsi="Courier New"/>
          <w:sz w:val="17"/>
          <w:szCs w:val="17"/>
          <w:color w:val="auto"/>
        </w:rPr>
      </w:pPr>
    </w:p>
    <w:p>
      <w:pPr>
        <w:ind w:left="200" w:right="2359" w:firstLine="213"/>
        <w:spacing w:after="0" w:line="243"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issued in certificated or book-entry form;</w:t>
      </w:r>
    </w:p>
    <w:p>
      <w:pPr>
        <w:spacing w:after="0" w:line="198" w:lineRule="exact"/>
        <w:rPr>
          <w:rFonts w:ascii="Courier New" w:cs="Courier New" w:eastAsia="Courier New" w:hAnsi="Courier New"/>
          <w:sz w:val="17"/>
          <w:szCs w:val="17"/>
          <w:color w:val="auto"/>
        </w:rPr>
      </w:pPr>
    </w:p>
    <w:p>
      <w:pPr>
        <w:ind w:left="200" w:right="2359" w:firstLine="213"/>
        <w:spacing w:after="0" w:line="244"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197" w:lineRule="exact"/>
        <w:rPr>
          <w:rFonts w:ascii="Courier New" w:cs="Courier New" w:eastAsia="Courier New" w:hAnsi="Courier New"/>
          <w:sz w:val="17"/>
          <w:szCs w:val="17"/>
          <w:color w:val="auto"/>
        </w:rPr>
      </w:pPr>
    </w:p>
    <w:p>
      <w:pPr>
        <w:ind w:left="200" w:right="2359" w:firstLine="213"/>
        <w:spacing w:after="0" w:line="243"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applicability, if any, of the defeasance and covenant defeasance provisions of Article XIV of the applicable Indenture;</w:t>
      </w:r>
    </w:p>
    <w:p>
      <w:pPr>
        <w:spacing w:after="0" w:line="197" w:lineRule="exact"/>
        <w:rPr>
          <w:rFonts w:ascii="Courier New" w:cs="Courier New" w:eastAsia="Courier New" w:hAnsi="Courier New"/>
          <w:sz w:val="17"/>
          <w:szCs w:val="17"/>
          <w:color w:val="auto"/>
        </w:rPr>
      </w:pPr>
    </w:p>
    <w:p>
      <w:pPr>
        <w:ind w:left="920" w:hanging="507"/>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if any, upon which such Debt Securities may be</w:t>
      </w:r>
    </w:p>
    <w:p>
      <w:pPr>
        <w:spacing w:after="0" w:line="4" w:lineRule="exact"/>
        <w:rPr>
          <w:rFonts w:ascii="Courier New" w:cs="Courier New" w:eastAsia="Courier New" w:hAnsi="Courier New"/>
          <w:sz w:val="17"/>
          <w:szCs w:val="17"/>
          <w:color w:val="auto"/>
        </w:rPr>
      </w:pPr>
    </w:p>
    <w:p>
      <w:pPr>
        <w:ind w:left="200" w:right="23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197" w:lineRule="exact"/>
        <w:rPr>
          <w:rFonts w:ascii="Courier New" w:cs="Courier New" w:eastAsia="Courier New" w:hAnsi="Courier New"/>
          <w:sz w:val="17"/>
          <w:szCs w:val="17"/>
          <w:color w:val="auto"/>
        </w:rPr>
      </w:pPr>
    </w:p>
    <w:p>
      <w:pPr>
        <w:ind w:left="200" w:right="2359" w:firstLine="213"/>
        <w:spacing w:after="0" w:line="244"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198" w:lineRule="exact"/>
        <w:rPr>
          <w:rFonts w:ascii="Courier New" w:cs="Courier New" w:eastAsia="Courier New" w:hAnsi="Courier New"/>
          <w:sz w:val="17"/>
          <w:szCs w:val="17"/>
          <w:color w:val="auto"/>
        </w:rPr>
      </w:pPr>
    </w:p>
    <w:p>
      <w:pPr>
        <w:ind w:left="200" w:right="2659" w:firstLine="213"/>
        <w:spacing w:after="0" w:line="243" w:lineRule="auto"/>
        <w:tabs>
          <w:tab w:leader="none" w:pos="9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such Debt Securities not inconsistent with the provisions of the applicable Indenture (Section 301 of each Indenture).</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DENOMINATIONS, INTEREST, REGISTRATION AND TRANSFER</w:t>
      </w:r>
    </w:p>
    <w:p>
      <w:pPr>
        <w:spacing w:after="0" w:line="201"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Unless otherwise described in the applicable Prospectus Supplement, the Debt Securities of any series will be issuable in denominations of $1,000 and integral multiples thereof (Section 302 of each Indenture).</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06"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CONSOLIDATION OR SALE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3" w:right="1440" w:bottom="663" w:gutter="0" w:footer="0" w:header="0"/>
        </w:sectPr>
      </w:pPr>
    </w:p>
    <w:bookmarkStart w:id="36" w:name="page37"/>
    <w:bookmarkEnd w:id="36"/>
    <w:p>
      <w:pPr>
        <w:ind w:right="2259"/>
        <w:spacing w:after="0" w:line="244" w:lineRule="auto"/>
        <w:rPr>
          <w:sz w:val="20"/>
          <w:szCs w:val="20"/>
          <w:color w:val="auto"/>
        </w:rPr>
      </w:pPr>
      <w:r>
        <w:rPr>
          <w:rFonts w:ascii="Courier New" w:cs="Courier New" w:eastAsia="Courier New" w:hAnsi="Courier New"/>
          <w:sz w:val="17"/>
          <w:szCs w:val="17"/>
          <w:color w:val="auto"/>
        </w:rPr>
        <w:t>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3" w:lineRule="exact"/>
        <w:rPr>
          <w:sz w:val="20"/>
          <w:szCs w:val="20"/>
          <w:color w:val="auto"/>
        </w:rPr>
      </w:pPr>
    </w:p>
    <w:p>
      <w:pPr>
        <w:jc w:val="both"/>
        <w:ind w:right="2359" w:firstLine="204"/>
        <w:spacing w:after="0" w:line="243" w:lineRule="auto"/>
        <w:rPr>
          <w:sz w:val="20"/>
          <w:szCs w:val="20"/>
          <w:color w:val="auto"/>
        </w:rPr>
      </w:pPr>
      <w:r>
        <w:rPr>
          <w:rFonts w:ascii="Courier New" w:cs="Courier New" w:eastAsia="Courier New" w:hAnsi="Courier New"/>
          <w:sz w:val="17"/>
          <w:szCs w:val="17"/>
          <w:color w:val="auto"/>
        </w:rPr>
        <w:t>Additional Covenants. Any additional covenants of the Trust with respect to any series of Debt Securities will be set forth in the Prospectus Supplement relating thereto.</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rPr>
        <w:t>EVENTS OF DEFAULT, NOTICE AND WAIVER</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1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3" w:right="1440" w:bottom="74" w:gutter="0" w:footer="0" w:header="0"/>
        </w:sectPr>
      </w:pPr>
    </w:p>
    <w:bookmarkStart w:id="38" w:name="page39"/>
    <w:bookmarkEnd w:id="38"/>
    <w:p>
      <w:pPr>
        <w:ind w:right="2659"/>
        <w:spacing w:after="0" w:line="244" w:lineRule="auto"/>
        <w:rPr>
          <w:sz w:val="20"/>
          <w:szCs w:val="20"/>
          <w:color w:val="auto"/>
        </w:rPr>
      </w:pPr>
      <w:r>
        <w:rPr>
          <w:rFonts w:ascii="Courier New" w:cs="Courier New" w:eastAsia="Courier New" w:hAnsi="Courier New"/>
          <w:sz w:val="17"/>
          <w:szCs w:val="17"/>
          <w:color w:val="auto"/>
        </w:rPr>
        <w:t>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202"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INDENTURES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4" w:right="1440" w:bottom="1440" w:gutter="0" w:footer="0" w:header="0"/>
        </w:sectPr>
      </w:pPr>
    </w:p>
    <w:bookmarkStart w:id="39" w:name="page40"/>
    <w:bookmarkEnd w:id="39"/>
    <w:p>
      <w:pPr>
        <w:ind w:right="2259" w:firstLine="204"/>
        <w:spacing w:after="0" w:line="244" w:lineRule="auto"/>
        <w:rPr>
          <w:sz w:val="20"/>
          <w:szCs w:val="20"/>
          <w:color w:val="auto"/>
        </w:rPr>
      </w:pPr>
      <w:r>
        <w:rPr>
          <w:rFonts w:ascii="Courier New" w:cs="Courier New" w:eastAsia="Courier New" w:hAnsi="Courier New"/>
          <w:sz w:val="17"/>
          <w:szCs w:val="17"/>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198" w:lineRule="exact"/>
        <w:rPr>
          <w:sz w:val="20"/>
          <w:szCs w:val="20"/>
          <w:color w:val="auto"/>
        </w:rPr>
      </w:pPr>
    </w:p>
    <w:p>
      <w:pPr>
        <w:ind w:right="2559" w:firstLine="204"/>
        <w:spacing w:after="0" w:line="244" w:lineRule="auto"/>
        <w:rPr>
          <w:sz w:val="20"/>
          <w:szCs w:val="20"/>
          <w:color w:val="auto"/>
        </w:rPr>
      </w:pPr>
      <w:r>
        <w:rPr>
          <w:rFonts w:ascii="Courier New" w:cs="Courier New" w:eastAsia="Courier New" w:hAnsi="Courier New"/>
          <w:sz w:val="17"/>
          <w:szCs w:val="17"/>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2" w:lineRule="exact"/>
        <w:rPr>
          <w:sz w:val="20"/>
          <w:szCs w:val="20"/>
          <w:color w:val="auto"/>
        </w:rPr>
      </w:pPr>
    </w:p>
    <w:p>
      <w:pPr>
        <w:ind w:right="2259" w:firstLine="5"/>
        <w:spacing w:after="0" w:line="244" w:lineRule="auto"/>
        <w:tabs>
          <w:tab w:leader="none" w:pos="51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8" w:lineRule="exact"/>
        <w:rPr>
          <w:rFonts w:ascii="Courier New" w:cs="Courier New" w:eastAsia="Courier New" w:hAnsi="Courier New"/>
          <w:sz w:val="17"/>
          <w:szCs w:val="17"/>
          <w:color w:val="auto"/>
        </w:rPr>
      </w:pPr>
    </w:p>
    <w:p>
      <w:pPr>
        <w:ind w:right="2259" w:firstLine="5"/>
        <w:spacing w:after="0" w:line="244" w:lineRule="auto"/>
        <w:tabs>
          <w:tab w:leader="none" w:pos="40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w:t>
      </w:r>
    </w:p>
    <w:p>
      <w:pPr>
        <w:spacing w:after="0" w:line="5" w:lineRule="exact"/>
        <w:rPr>
          <w:sz w:val="20"/>
          <w:szCs w:val="20"/>
          <w:color w:val="auto"/>
        </w:rPr>
      </w:pPr>
    </w:p>
    <w:p>
      <w:pPr>
        <w:ind w:right="2359" w:firstLine="5"/>
        <w:spacing w:after="0" w:line="244" w:lineRule="auto"/>
        <w:tabs>
          <w:tab w:leader="none" w:pos="61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w:t>
      </w:r>
    </w:p>
    <w:p>
      <w:pPr>
        <w:spacing w:after="0" w:line="20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4" w:right="1440" w:bottom="467" w:gutter="0" w:footer="0" w:header="0"/>
        </w:sectPr>
      </w:pPr>
    </w:p>
    <w:bookmarkStart w:id="40" w:name="page41"/>
    <w:bookmarkEnd w:id="40"/>
    <w:p>
      <w:pPr>
        <w:ind w:right="2259"/>
        <w:spacing w:after="0" w:line="244" w:lineRule="auto"/>
        <w:rPr>
          <w:sz w:val="20"/>
          <w:szCs w:val="20"/>
          <w:color w:val="auto"/>
        </w:rPr>
      </w:pPr>
      <w:r>
        <w:rPr>
          <w:rFonts w:ascii="Courier New" w:cs="Courier New" w:eastAsia="Courier New" w:hAnsi="Courier New"/>
          <w:sz w:val="17"/>
          <w:szCs w:val="17"/>
          <w:color w:val="auto"/>
        </w:rPr>
        <w:t>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04"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2" w:lineRule="exact"/>
        <w:rPr>
          <w:sz w:val="20"/>
          <w:szCs w:val="20"/>
          <w:color w:val="auto"/>
        </w:rPr>
      </w:pPr>
    </w:p>
    <w:p>
      <w:pPr>
        <w:ind w:right="2259" w:firstLine="5"/>
        <w:spacing w:after="0" w:line="244" w:lineRule="auto"/>
        <w:tabs>
          <w:tab w:leader="none" w:pos="40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2" w:lineRule="exact"/>
        <w:rPr>
          <w:rFonts w:ascii="Courier New" w:cs="Courier New" w:eastAsia="Courier New" w:hAnsi="Courier New"/>
          <w:sz w:val="17"/>
          <w:szCs w:val="17"/>
          <w:color w:val="auto"/>
        </w:rPr>
      </w:pPr>
    </w:p>
    <w:p>
      <w:pPr>
        <w:ind w:right="2259" w:firstLine="5"/>
        <w:spacing w:after="0" w:line="244" w:lineRule="auto"/>
        <w:tabs>
          <w:tab w:leader="none" w:pos="40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spacing w:after="0" w:line="2" w:lineRule="exact"/>
        <w:rPr>
          <w:rFonts w:ascii="Courier New" w:cs="Courier New" w:eastAsia="Courier New" w:hAnsi="Courier New"/>
          <w:sz w:val="17"/>
          <w:szCs w:val="17"/>
          <w:color w:val="auto"/>
        </w:rPr>
      </w:pPr>
    </w:p>
    <w:p>
      <w:pPr>
        <w:ind w:right="2359" w:firstLine="5"/>
        <w:spacing w:after="0" w:line="244" w:lineRule="auto"/>
        <w:tabs>
          <w:tab w:leader="none" w:pos="40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4" w:right="1440" w:bottom="1440" w:gutter="0" w:footer="0" w:header="0"/>
        </w:sectPr>
      </w:pPr>
    </w:p>
    <w:bookmarkStart w:id="41" w:name="page42"/>
    <w:bookmarkEnd w:id="41"/>
    <w:p>
      <w:pPr>
        <w:ind w:right="2359"/>
        <w:spacing w:after="0" w:line="243" w:lineRule="auto"/>
        <w:rPr>
          <w:sz w:val="20"/>
          <w:szCs w:val="20"/>
          <w:color w:val="auto"/>
        </w:rPr>
      </w:pPr>
      <w:r>
        <w:rPr>
          <w:rFonts w:ascii="Courier New" w:cs="Courier New" w:eastAsia="Courier New" w:hAnsi="Courier New"/>
          <w:sz w:val="17"/>
          <w:szCs w:val="17"/>
          <w:color w:val="auto"/>
        </w:rPr>
        <w:t>obligation or liability is not superior in right of payment to the Subordinated Securities or ranks pari passu with the Subordinated Securities,</w:t>
      </w:r>
    </w:p>
    <w:p>
      <w:pPr>
        <w:spacing w:after="0" w:line="2" w:lineRule="exact"/>
        <w:rPr>
          <w:sz w:val="20"/>
          <w:szCs w:val="20"/>
          <w:color w:val="auto"/>
        </w:rPr>
      </w:pPr>
    </w:p>
    <w:p>
      <w:pPr>
        <w:ind w:right="2359" w:firstLine="5"/>
        <w:spacing w:after="0" w:line="244" w:lineRule="auto"/>
        <w:tabs>
          <w:tab w:leader="none" w:pos="408"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DISCHARGE, DEFEASANCE AND COVENANT DEFEASANCE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7"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4" w:right="1440" w:bottom="859" w:gutter="0" w:footer="0" w:header="0"/>
        </w:sectPr>
      </w:pPr>
    </w:p>
    <w:bookmarkStart w:id="42" w:name="page43"/>
    <w:bookmarkEnd w:id="42"/>
    <w:p>
      <w:pPr>
        <w:ind w:right="2259"/>
        <w:spacing w:after="0" w:line="244" w:lineRule="auto"/>
        <w:rPr>
          <w:sz w:val="20"/>
          <w:szCs w:val="20"/>
          <w:color w:val="auto"/>
        </w:rPr>
      </w:pPr>
      <w:r>
        <w:rPr>
          <w:rFonts w:ascii="Courier New" w:cs="Courier New" w:eastAsia="Courier New" w:hAnsi="Courier New"/>
          <w:sz w:val="17"/>
          <w:szCs w:val="17"/>
          <w:color w:val="auto"/>
        </w:rPr>
        <w:t>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w:t>
      </w:r>
    </w:p>
    <w:p>
      <w:pPr>
        <w:spacing w:after="0" w:line="9" w:lineRule="exact"/>
        <w:rPr>
          <w:sz w:val="20"/>
          <w:szCs w:val="20"/>
          <w:color w:val="auto"/>
        </w:rPr>
      </w:pPr>
    </w:p>
    <w:p>
      <w:pPr>
        <w:ind w:right="2259" w:firstLine="5"/>
        <w:spacing w:after="0" w:line="244" w:lineRule="auto"/>
        <w:tabs>
          <w:tab w:leader="none" w:pos="61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2" w:lineRule="exact"/>
        <w:rPr>
          <w:sz w:val="20"/>
          <w:szCs w:val="20"/>
          <w:color w:val="auto"/>
        </w:rPr>
      </w:pPr>
    </w:p>
    <w:p>
      <w:pPr>
        <w:ind w:right="2259" w:firstLine="5"/>
        <w:spacing w:after="0" w:line="244" w:lineRule="auto"/>
        <w:tabs>
          <w:tab w:leader="none" w:pos="40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01"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4" w:right="1440" w:bottom="1055" w:gutter="0" w:footer="0" w:header="0"/>
        </w:sectPr>
      </w:pPr>
    </w:p>
    <w:bookmarkStart w:id="43" w:name="page44"/>
    <w:bookmarkEnd w:id="43"/>
    <w:p>
      <w:pPr>
        <w:ind w:right="2259"/>
        <w:spacing w:after="0" w:line="244" w:lineRule="auto"/>
        <w:rPr>
          <w:sz w:val="20"/>
          <w:szCs w:val="20"/>
          <w:color w:val="auto"/>
        </w:rPr>
      </w:pPr>
      <w:r>
        <w:rPr>
          <w:rFonts w:ascii="Courier New" w:cs="Courier New" w:eastAsia="Courier New" w:hAnsi="Courier New"/>
          <w:sz w:val="17"/>
          <w:szCs w:val="17"/>
          <w:color w:val="auto"/>
        </w:rPr>
        <w:t>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GLOBAL SECURITIES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19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DESCRIPTION OF PREFERRED SHARES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1" w:lineRule="exact"/>
        <w:rPr>
          <w:sz w:val="20"/>
          <w:szCs w:val="20"/>
          <w:color w:val="auto"/>
        </w:rPr>
      </w:pPr>
    </w:p>
    <w:p>
      <w:pPr>
        <w:ind w:right="2659" w:firstLine="204"/>
        <w:spacing w:after="0" w:line="243" w:lineRule="auto"/>
        <w:rPr>
          <w:sz w:val="20"/>
          <w:szCs w:val="20"/>
          <w:color w:val="auto"/>
        </w:rPr>
      </w:pPr>
      <w:r>
        <w:rPr>
          <w:rFonts w:ascii="Courier New" w:cs="Courier New" w:eastAsia="Courier New" w:hAnsi="Courier New"/>
          <w:sz w:val="17"/>
          <w:szCs w:val="17"/>
          <w:color w:val="auto"/>
        </w:rPr>
        <w:t>The Trust is authorized to issue an unlimited number of preferred shares (the "Preferred Shares") of which no Preferred Shares are outstanding.</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01" w:lineRule="exact"/>
        <w:rPr>
          <w:sz w:val="20"/>
          <w:szCs w:val="20"/>
          <w:color w:val="auto"/>
        </w:rPr>
      </w:pPr>
    </w:p>
    <w:p>
      <w:pPr>
        <w:ind w:right="2659" w:firstLine="204"/>
        <w:spacing w:after="0" w:line="243" w:lineRule="auto"/>
        <w:rPr>
          <w:sz w:val="20"/>
          <w:szCs w:val="20"/>
          <w:color w:val="auto"/>
        </w:rPr>
      </w:pPr>
      <w:r>
        <w:rPr>
          <w:rFonts w:ascii="Courier New" w:cs="Courier New" w:eastAsia="Courier New" w:hAnsi="Courier New"/>
          <w:sz w:val="17"/>
          <w:szCs w:val="17"/>
          <w:color w:val="auto"/>
        </w:rPr>
        <w:t>Reference is made to the Prospectus Supplement relating to the Preferred Shares offered thereby for specific terms, including:</w:t>
      </w:r>
    </w:p>
    <w:p>
      <w:pPr>
        <w:spacing w:after="0" w:line="198" w:lineRule="exact"/>
        <w:rPr>
          <w:sz w:val="20"/>
          <w:szCs w:val="20"/>
          <w:color w:val="auto"/>
        </w:rPr>
      </w:pPr>
    </w:p>
    <w:p>
      <w:pPr>
        <w:ind w:left="820" w:hanging="407"/>
        <w:spacing w:after="0"/>
        <w:tabs>
          <w:tab w:leader="none" w:pos="8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and stated value of such Preferred Shares;</w:t>
      </w:r>
    </w:p>
    <w:p>
      <w:pPr>
        <w:spacing w:after="0" w:line="200" w:lineRule="exact"/>
        <w:rPr>
          <w:rFonts w:ascii="Courier New" w:cs="Courier New" w:eastAsia="Courier New" w:hAnsi="Courier New"/>
          <w:sz w:val="17"/>
          <w:szCs w:val="17"/>
          <w:color w:val="auto"/>
        </w:rPr>
      </w:pPr>
    </w:p>
    <w:p>
      <w:pPr>
        <w:ind w:left="200" w:right="2979" w:firstLine="213"/>
        <w:spacing w:after="0" w:line="243" w:lineRule="auto"/>
        <w:tabs>
          <w:tab w:leader="none" w:pos="8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such Preferred Shares offered, the liquidation preference per share and the offering price of such Preferred Shares;</w:t>
      </w:r>
    </w:p>
    <w:p>
      <w:pPr>
        <w:spacing w:after="0" w:line="198" w:lineRule="exact"/>
        <w:rPr>
          <w:rFonts w:ascii="Courier New" w:cs="Courier New" w:eastAsia="Courier New" w:hAnsi="Courier New"/>
          <w:sz w:val="17"/>
          <w:szCs w:val="17"/>
          <w:color w:val="auto"/>
        </w:rPr>
      </w:pPr>
    </w:p>
    <w:p>
      <w:pPr>
        <w:ind w:left="200" w:right="2559" w:firstLine="213"/>
        <w:spacing w:after="0" w:line="243" w:lineRule="auto"/>
        <w:tabs>
          <w:tab w:leader="none" w:pos="8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dividend rate(s), period(s) and/or payment date(s) or method(s) of calculation thereof applicable to such Preferred Shares;</w:t>
      </w:r>
    </w:p>
    <w:p>
      <w:pPr>
        <w:spacing w:after="0" w:line="198" w:lineRule="exact"/>
        <w:rPr>
          <w:rFonts w:ascii="Courier New" w:cs="Courier New" w:eastAsia="Courier New" w:hAnsi="Courier New"/>
          <w:sz w:val="17"/>
          <w:szCs w:val="17"/>
          <w:color w:val="auto"/>
        </w:rPr>
      </w:pPr>
    </w:p>
    <w:p>
      <w:pPr>
        <w:ind w:left="200" w:right="3279" w:firstLine="213"/>
        <w:spacing w:after="0" w:line="243" w:lineRule="auto"/>
        <w:tabs>
          <w:tab w:leader="none" w:pos="8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from which dividends on such Preferred Shares shall accumulate, if applicable;</w:t>
      </w:r>
    </w:p>
    <w:p>
      <w:pPr>
        <w:spacing w:after="0" w:line="198" w:lineRule="exact"/>
        <w:rPr>
          <w:rFonts w:ascii="Courier New" w:cs="Courier New" w:eastAsia="Courier New" w:hAnsi="Courier New"/>
          <w:sz w:val="17"/>
          <w:szCs w:val="17"/>
          <w:color w:val="auto"/>
        </w:rPr>
      </w:pPr>
    </w:p>
    <w:p>
      <w:pPr>
        <w:ind w:left="200" w:right="2859" w:firstLine="213"/>
        <w:spacing w:after="0" w:line="243" w:lineRule="auto"/>
        <w:tabs>
          <w:tab w:leader="none" w:pos="8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procedures for any auction and remarketing, if any, for such Preferred Shares;</w:t>
      </w:r>
    </w:p>
    <w:p>
      <w:pPr>
        <w:spacing w:after="0" w:line="197" w:lineRule="exact"/>
        <w:rPr>
          <w:rFonts w:ascii="Courier New" w:cs="Courier New" w:eastAsia="Courier New" w:hAnsi="Courier New"/>
          <w:sz w:val="17"/>
          <w:szCs w:val="17"/>
          <w:color w:val="auto"/>
        </w:rPr>
      </w:pPr>
    </w:p>
    <w:p>
      <w:pPr>
        <w:ind w:left="820" w:hanging="407"/>
        <w:spacing w:after="0"/>
        <w:tabs>
          <w:tab w:leader="none" w:pos="8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a sinking fund, if any, for such Preferred Shares;</w:t>
      </w:r>
    </w:p>
    <w:p>
      <w:pPr>
        <w:spacing w:after="0" w:line="200" w:lineRule="exact"/>
        <w:rPr>
          <w:rFonts w:ascii="Courier New" w:cs="Courier New" w:eastAsia="Courier New" w:hAnsi="Courier New"/>
          <w:sz w:val="17"/>
          <w:szCs w:val="17"/>
          <w:color w:val="auto"/>
        </w:rPr>
      </w:pPr>
    </w:p>
    <w:p>
      <w:pPr>
        <w:ind w:left="200" w:right="3079" w:firstLine="213"/>
        <w:spacing w:after="0" w:line="243" w:lineRule="auto"/>
        <w:tabs>
          <w:tab w:leader="none" w:pos="8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redemption, if applicable, of such Preferred Shares;</w:t>
      </w:r>
    </w:p>
    <w:p>
      <w:pPr>
        <w:spacing w:after="0" w:line="197" w:lineRule="exact"/>
        <w:rPr>
          <w:rFonts w:ascii="Courier New" w:cs="Courier New" w:eastAsia="Courier New" w:hAnsi="Courier New"/>
          <w:sz w:val="17"/>
          <w:szCs w:val="17"/>
          <w:color w:val="auto"/>
        </w:rPr>
      </w:pPr>
    </w:p>
    <w:p>
      <w:pPr>
        <w:ind w:left="820" w:hanging="407"/>
        <w:spacing w:after="0"/>
        <w:tabs>
          <w:tab w:leader="none" w:pos="8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listing of such Preferred Shares on any securities exchange;</w:t>
      </w:r>
    </w:p>
    <w:p>
      <w:pPr>
        <w:spacing w:after="0" w:line="200" w:lineRule="exact"/>
        <w:rPr>
          <w:rFonts w:ascii="Courier New" w:cs="Courier New" w:eastAsia="Courier New" w:hAnsi="Courier New"/>
          <w:sz w:val="17"/>
          <w:szCs w:val="17"/>
          <w:color w:val="auto"/>
        </w:rPr>
      </w:pPr>
    </w:p>
    <w:p>
      <w:pPr>
        <w:ind w:left="200" w:right="2559" w:firstLine="213"/>
        <w:spacing w:after="0" w:line="243" w:lineRule="auto"/>
        <w:tabs>
          <w:tab w:leader="none" w:pos="8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if applicable, upon which such Preferred Shares will be convertible into Common Shares of the Trust, including the conversion price (or manner of calculation thereof);</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4" w:right="1440" w:bottom="1055" w:gutter="0" w:footer="0" w:header="0"/>
        </w:sectPr>
      </w:pPr>
    </w:p>
    <w:bookmarkStart w:id="44" w:name="page45"/>
    <w:bookmarkEnd w:id="44"/>
    <w:p>
      <w:pPr>
        <w:ind w:left="200" w:right="3079" w:firstLine="213"/>
        <w:spacing w:after="0" w:line="243" w:lineRule="auto"/>
        <w:tabs>
          <w:tab w:leader="none" w:pos="91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specific terms, preferences, rights, limitations or restrictions of such Preferred Shares;</w:t>
      </w:r>
    </w:p>
    <w:p>
      <w:pPr>
        <w:spacing w:after="0" w:line="198" w:lineRule="exact"/>
        <w:rPr>
          <w:rFonts w:ascii="Courier New" w:cs="Courier New" w:eastAsia="Courier New" w:hAnsi="Courier New"/>
          <w:sz w:val="17"/>
          <w:szCs w:val="17"/>
          <w:color w:val="auto"/>
        </w:rPr>
      </w:pPr>
    </w:p>
    <w:p>
      <w:pPr>
        <w:ind w:left="200" w:right="2359" w:firstLine="213"/>
        <w:spacing w:after="0" w:line="243" w:lineRule="auto"/>
        <w:tabs>
          <w:tab w:leader="none" w:pos="91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discussion of federal income tax considerations applicable to such Preferred Shares;</w:t>
      </w:r>
    </w:p>
    <w:p>
      <w:pPr>
        <w:spacing w:after="0" w:line="198" w:lineRule="exact"/>
        <w:rPr>
          <w:rFonts w:ascii="Courier New" w:cs="Courier New" w:eastAsia="Courier New" w:hAnsi="Courier New"/>
          <w:sz w:val="17"/>
          <w:szCs w:val="17"/>
          <w:color w:val="auto"/>
        </w:rPr>
      </w:pPr>
    </w:p>
    <w:p>
      <w:pPr>
        <w:ind w:left="200" w:right="2459" w:firstLine="213"/>
        <w:spacing w:after="0" w:line="243" w:lineRule="auto"/>
        <w:tabs>
          <w:tab w:leader="none" w:pos="91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ranking and preferences of such Preferred Shares as to dividend rights and rights upon liquidation, dissolution or winding up of the affairs of the Trust;</w:t>
      </w:r>
    </w:p>
    <w:p>
      <w:pPr>
        <w:spacing w:after="0" w:line="198" w:lineRule="exact"/>
        <w:rPr>
          <w:rFonts w:ascii="Courier New" w:cs="Courier New" w:eastAsia="Courier New" w:hAnsi="Courier New"/>
          <w:sz w:val="17"/>
          <w:szCs w:val="17"/>
          <w:color w:val="auto"/>
        </w:rPr>
      </w:pPr>
    </w:p>
    <w:p>
      <w:pPr>
        <w:ind w:left="920" w:hanging="507"/>
        <w:spacing w:after="0"/>
        <w:tabs>
          <w:tab w:leader="none" w:pos="9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issuance of any series of Preferred Shares</w:t>
      </w:r>
    </w:p>
    <w:p>
      <w:pPr>
        <w:spacing w:after="0" w:line="4" w:lineRule="exact"/>
        <w:rPr>
          <w:rFonts w:ascii="Courier New" w:cs="Courier New" w:eastAsia="Courier New" w:hAnsi="Courier New"/>
          <w:sz w:val="17"/>
          <w:szCs w:val="17"/>
          <w:color w:val="auto"/>
        </w:rPr>
      </w:pPr>
    </w:p>
    <w:p>
      <w:pPr>
        <w:ind w:left="200" w:right="23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ranking senior to or on a parity with such series of Preferred Shares as to dividend rights and rights upon liquidation, dissolution or winding up of the affairs of the Trust; and</w:t>
      </w:r>
    </w:p>
    <w:p>
      <w:pPr>
        <w:spacing w:after="0" w:line="199" w:lineRule="exact"/>
        <w:rPr>
          <w:rFonts w:ascii="Courier New" w:cs="Courier New" w:eastAsia="Courier New" w:hAnsi="Courier New"/>
          <w:sz w:val="17"/>
          <w:szCs w:val="17"/>
          <w:color w:val="auto"/>
        </w:rPr>
      </w:pPr>
    </w:p>
    <w:p>
      <w:pPr>
        <w:jc w:val="both"/>
        <w:ind w:left="200" w:right="2559" w:firstLine="213"/>
        <w:spacing w:after="0" w:line="243" w:lineRule="auto"/>
        <w:tabs>
          <w:tab w:leader="none" w:pos="91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direct or beneficial ownership and restrictions on transfer, in each case as may be appropriate to preserve the status of the Trust as a REIT.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201" w:lineRule="exact"/>
        <w:rPr>
          <w:sz w:val="20"/>
          <w:szCs w:val="20"/>
          <w:color w:val="auto"/>
        </w:rPr>
      </w:pPr>
    </w:p>
    <w:p>
      <w:pPr>
        <w:jc w:val="both"/>
        <w:ind w:right="2359" w:firstLine="204"/>
        <w:spacing w:after="0" w:line="244" w:lineRule="auto"/>
        <w:rPr>
          <w:sz w:val="20"/>
          <w:szCs w:val="20"/>
          <w:color w:val="auto"/>
        </w:rPr>
      </w:pPr>
      <w:r>
        <w:rPr>
          <w:rFonts w:ascii="Courier New" w:cs="Courier New" w:eastAsia="Courier New" w:hAnsi="Courier New"/>
          <w:sz w:val="17"/>
          <w:szCs w:val="17"/>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2"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Each such dividend shall be payable to holders of record as they appear on the share transfer books of the Trust on such record dates as shall be fixed by the Board of Trustees of the Trust.</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w:t>
      </w:r>
    </w:p>
    <w:p>
      <w:pPr>
        <w:spacing w:after="0" w:line="20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4" w:right="1440" w:bottom="663" w:gutter="0" w:footer="0" w:header="0"/>
        </w:sectPr>
      </w:pPr>
    </w:p>
    <w:bookmarkStart w:id="45" w:name="page46"/>
    <w:bookmarkEnd w:id="45"/>
    <w:p>
      <w:pPr>
        <w:ind w:right="2259"/>
        <w:spacing w:after="0" w:line="244" w:lineRule="auto"/>
        <w:rPr>
          <w:sz w:val="20"/>
          <w:szCs w:val="20"/>
          <w:color w:val="auto"/>
        </w:rPr>
      </w:pPr>
      <w:r>
        <w:rPr>
          <w:rFonts w:ascii="Courier New" w:cs="Courier New" w:eastAsia="Courier New" w:hAnsi="Courier New"/>
          <w:sz w:val="17"/>
          <w:szCs w:val="17"/>
          <w:color w:val="auto"/>
        </w:rPr>
        <w:t>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06" w:lineRule="exact"/>
        <w:rPr>
          <w:sz w:val="20"/>
          <w:szCs w:val="20"/>
          <w:color w:val="auto"/>
        </w:rPr>
      </w:pPr>
    </w:p>
    <w:p>
      <w:pPr>
        <w:jc w:val="both"/>
        <w:ind w:right="2559" w:firstLine="204"/>
        <w:spacing w:after="0" w:line="243" w:lineRule="auto"/>
        <w:rPr>
          <w:sz w:val="20"/>
          <w:szCs w:val="20"/>
          <w:color w:val="auto"/>
        </w:rPr>
      </w:pPr>
      <w:r>
        <w:rPr>
          <w:rFonts w:ascii="Courier New" w:cs="Courier New" w:eastAsia="Courier New" w:hAnsi="Courier New"/>
          <w:sz w:val="17"/>
          <w:szCs w:val="17"/>
          <w:color w:val="auto"/>
        </w:rPr>
        <w:t>Any dividend payment made on shares of a series of Preferred Shares shall first be credited against the earliest accrued but unpaid dividend due with respect to shares of such series which remains payable.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3"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4" w:right="1440" w:bottom="859" w:gutter="0" w:footer="0" w:header="0"/>
        </w:sectPr>
      </w:pPr>
    </w:p>
    <w:bookmarkStart w:id="46" w:name="page47"/>
    <w:bookmarkEnd w:id="46"/>
    <w:p>
      <w:pPr>
        <w:ind w:right="2259"/>
        <w:spacing w:after="0" w:line="244" w:lineRule="auto"/>
        <w:rPr>
          <w:sz w:val="20"/>
          <w:szCs w:val="20"/>
          <w:color w:val="auto"/>
        </w:rPr>
      </w:pPr>
      <w:r>
        <w:rPr>
          <w:rFonts w:ascii="Courier New" w:cs="Courier New" w:eastAsia="Courier New" w:hAnsi="Courier New"/>
          <w:sz w:val="17"/>
          <w:szCs w:val="17"/>
          <w:color w:val="auto"/>
        </w:rPr>
        <w:t>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5" w:lineRule="exact"/>
        <w:rPr>
          <w:sz w:val="20"/>
          <w:szCs w:val="20"/>
          <w:color w:val="auto"/>
        </w:rPr>
      </w:pPr>
    </w:p>
    <w:p>
      <w:pPr>
        <w:ind w:right="2559" w:firstLine="204"/>
        <w:spacing w:after="0" w:line="244" w:lineRule="auto"/>
        <w:rPr>
          <w:sz w:val="20"/>
          <w:szCs w:val="20"/>
          <w:color w:val="auto"/>
        </w:rPr>
      </w:pPr>
      <w:r>
        <w:rPr>
          <w:rFonts w:ascii="Courier New" w:cs="Courier New" w:eastAsia="Courier New" w:hAnsi="Courier New"/>
          <w:sz w:val="17"/>
          <w:szCs w:val="17"/>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3" w:lineRule="exact"/>
        <w:rPr>
          <w:sz w:val="20"/>
          <w:szCs w:val="20"/>
          <w:color w:val="auto"/>
        </w:rPr>
      </w:pPr>
    </w:p>
    <w:p>
      <w:pPr>
        <w:ind w:right="2259" w:firstLine="5"/>
        <w:spacing w:after="0" w:line="244" w:lineRule="auto"/>
        <w:tabs>
          <w:tab w:leader="none" w:pos="40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w:t>
      </w:r>
    </w:p>
    <w:p>
      <w:pPr>
        <w:spacing w:after="0" w:line="20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4" w:right="1440" w:bottom="1440" w:gutter="0" w:footer="0" w:header="0"/>
        </w:sectPr>
      </w:pPr>
    </w:p>
    <w:bookmarkStart w:id="47" w:name="page48"/>
    <w:bookmarkEnd w:id="47"/>
    <w:p>
      <w:pPr>
        <w:ind w:right="2259"/>
        <w:spacing w:after="0" w:line="244" w:lineRule="auto"/>
        <w:rPr>
          <w:sz w:val="20"/>
          <w:szCs w:val="20"/>
          <w:color w:val="auto"/>
        </w:rPr>
      </w:pPr>
      <w:r>
        <w:rPr>
          <w:rFonts w:ascii="Courier New" w:cs="Courier New" w:eastAsia="Courier New" w:hAnsi="Courier New"/>
          <w:sz w:val="17"/>
          <w:szCs w:val="17"/>
          <w:color w:val="auto"/>
        </w:rPr>
        <w:t>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01"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Holders of the Preferred Shares will not have any voting rights, except as set forth below or as otherwise from time to time required by law or as indicated in the applicable Prospectus Supplement.</w:t>
      </w:r>
    </w:p>
    <w:p>
      <w:pPr>
        <w:spacing w:after="0" w:line="200"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9" w:lineRule="exact"/>
        <w:rPr>
          <w:sz w:val="20"/>
          <w:szCs w:val="20"/>
          <w:color w:val="auto"/>
        </w:rPr>
      </w:pPr>
    </w:p>
    <w:p>
      <w:pPr>
        <w:ind w:right="2259" w:firstLine="5"/>
        <w:spacing w:after="0" w:line="244" w:lineRule="auto"/>
        <w:tabs>
          <w:tab w:leader="none" w:pos="40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4" w:right="1440" w:bottom="1440" w:gutter="0" w:footer="0" w:header="0"/>
        </w:sectPr>
      </w:pPr>
    </w:p>
    <w:bookmarkStart w:id="48" w:name="page49"/>
    <w:bookmarkEnd w:id="48"/>
    <w:p>
      <w:pPr>
        <w:ind w:right="2259" w:firstLine="204"/>
        <w:spacing w:after="0" w:line="244" w:lineRule="auto"/>
        <w:rPr>
          <w:sz w:val="20"/>
          <w:szCs w:val="20"/>
          <w:color w:val="auto"/>
        </w:rPr>
      </w:pPr>
      <w:r>
        <w:rPr>
          <w:rFonts w:ascii="Courier New" w:cs="Courier New" w:eastAsia="Courier New" w:hAnsi="Courier New"/>
          <w:sz w:val="17"/>
          <w:szCs w:val="17"/>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4" w:right="1440" w:bottom="1440" w:gutter="0" w:footer="0" w:header="0"/>
        </w:sectPr>
      </w:pPr>
    </w:p>
    <w:bookmarkStart w:id="49" w:name="page50"/>
    <w:bookmarkEnd w:id="49"/>
    <w:p>
      <w:pPr>
        <w:ind w:left="2560"/>
        <w:spacing w:after="0"/>
        <w:rPr>
          <w:sz w:val="20"/>
          <w:szCs w:val="20"/>
          <w:color w:val="auto"/>
        </w:rPr>
      </w:pPr>
      <w:r>
        <w:rPr>
          <w:rFonts w:ascii="Courier New" w:cs="Courier New" w:eastAsia="Courier New" w:hAnsi="Courier New"/>
          <w:sz w:val="17"/>
          <w:szCs w:val="17"/>
          <w:color w:val="auto"/>
        </w:rPr>
        <w:t>DESCRIPTION OF COMMON SHARES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3" w:lineRule="exact"/>
        <w:rPr>
          <w:sz w:val="20"/>
          <w:szCs w:val="20"/>
          <w:color w:val="auto"/>
        </w:rPr>
      </w:pPr>
    </w:p>
    <w:p>
      <w:pPr>
        <w:ind w:right="2459" w:firstLine="204"/>
        <w:spacing w:after="0" w:line="243" w:lineRule="auto"/>
        <w:rPr>
          <w:sz w:val="20"/>
          <w:szCs w:val="20"/>
          <w:color w:val="auto"/>
        </w:rPr>
      </w:pPr>
      <w:r>
        <w:rPr>
          <w:rFonts w:ascii="Courier New" w:cs="Courier New" w:eastAsia="Courier New" w:hAnsi="Courier New"/>
          <w:sz w:val="17"/>
          <w:szCs w:val="17"/>
          <w:color w:val="auto"/>
        </w:rPr>
        <w:t>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203" w:lineRule="exact"/>
        <w:rPr>
          <w:sz w:val="20"/>
          <w:szCs w:val="20"/>
          <w:color w:val="auto"/>
        </w:rPr>
      </w:pPr>
    </w:p>
    <w:p>
      <w:pPr>
        <w:ind w:right="2459" w:firstLine="204"/>
        <w:spacing w:after="0" w:line="244" w:lineRule="auto"/>
        <w:rPr>
          <w:sz w:val="20"/>
          <w:szCs w:val="20"/>
          <w:color w:val="auto"/>
        </w:rPr>
      </w:pPr>
      <w:r>
        <w:rPr>
          <w:rFonts w:ascii="Courier New" w:cs="Courier New" w:eastAsia="Courier New" w:hAnsi="Courier New"/>
          <w:sz w:val="17"/>
          <w:szCs w:val="17"/>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REIT QUALIFICATION</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3" w:right="1440" w:bottom="1055" w:gutter="0" w:footer="0" w:header="0"/>
        </w:sectPr>
      </w:pPr>
    </w:p>
    <w:bookmarkStart w:id="50" w:name="page51"/>
    <w:bookmarkEnd w:id="50"/>
    <w:p>
      <w:pPr>
        <w:ind w:right="2359"/>
        <w:spacing w:after="0" w:line="244" w:lineRule="auto"/>
        <w:rPr>
          <w:sz w:val="20"/>
          <w:szCs w:val="20"/>
          <w:color w:val="auto"/>
        </w:rPr>
      </w:pPr>
      <w:r>
        <w:rPr>
          <w:rFonts w:ascii="Courier New" w:cs="Courier New" w:eastAsia="Courier New" w:hAnsi="Courier New"/>
          <w:sz w:val="17"/>
          <w:szCs w:val="17"/>
          <w:color w:val="auto"/>
        </w:rPr>
        <w:t>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CONSIDERATIONS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REGISTRAR AND TRANSFER AGENT</w:t>
      </w:r>
    </w:p>
    <w:p>
      <w:pPr>
        <w:spacing w:after="0" w:line="201" w:lineRule="exact"/>
        <w:rPr>
          <w:sz w:val="20"/>
          <w:szCs w:val="20"/>
          <w:color w:val="auto"/>
        </w:rPr>
      </w:pPr>
    </w:p>
    <w:p>
      <w:pPr>
        <w:ind w:right="2659" w:firstLine="204"/>
        <w:spacing w:after="0" w:line="243" w:lineRule="auto"/>
        <w:rPr>
          <w:sz w:val="20"/>
          <w:szCs w:val="20"/>
          <w:color w:val="auto"/>
        </w:rPr>
      </w:pPr>
      <w:r>
        <w:rPr>
          <w:rFonts w:ascii="Courier New" w:cs="Courier New" w:eastAsia="Courier New" w:hAnsi="Courier New"/>
          <w:sz w:val="17"/>
          <w:szCs w:val="17"/>
          <w:color w:val="auto"/>
        </w:rPr>
        <w:t>The Registrar and Transfer Agent for the Common Shares is American Stock Transfer &amp; Trust Company, New York, New York.</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4" w:right="1440" w:bottom="1440" w:gutter="0" w:footer="0" w:header="0"/>
        </w:sectPr>
      </w:pPr>
    </w:p>
    <w:bookmarkStart w:id="51" w:name="page52"/>
    <w:bookmarkEnd w:id="51"/>
    <w:p>
      <w:pPr>
        <w:jc w:val="center"/>
        <w:ind w:right="2259"/>
        <w:spacing w:after="0"/>
        <w:rPr>
          <w:sz w:val="20"/>
          <w:szCs w:val="20"/>
          <w:color w:val="auto"/>
        </w:rPr>
      </w:pPr>
      <w:r>
        <w:rPr>
          <w:rFonts w:ascii="Courier New" w:cs="Courier New" w:eastAsia="Courier New" w:hAnsi="Courier New"/>
          <w:sz w:val="17"/>
          <w:szCs w:val="17"/>
          <w:color w:val="auto"/>
        </w:rPr>
        <w:t>PLAN OF DISTRIBUTION</w:t>
      </w:r>
    </w:p>
    <w:p>
      <w:pPr>
        <w:spacing w:after="0" w:line="201" w:lineRule="exact"/>
        <w:rPr>
          <w:sz w:val="20"/>
          <w:szCs w:val="20"/>
          <w:color w:val="auto"/>
        </w:rPr>
      </w:pPr>
    </w:p>
    <w:p>
      <w:pPr>
        <w:ind w:right="2359" w:firstLine="204"/>
        <w:spacing w:after="0" w:line="243" w:lineRule="auto"/>
        <w:rPr>
          <w:sz w:val="20"/>
          <w:szCs w:val="20"/>
          <w:color w:val="auto"/>
        </w:rPr>
      </w:pPr>
      <w:r>
        <w:rPr>
          <w:rFonts w:ascii="Courier New" w:cs="Courier New" w:eastAsia="Courier New" w:hAnsi="Courier New"/>
          <w:sz w:val="17"/>
          <w:szCs w:val="17"/>
          <w:color w:val="auto"/>
        </w:rPr>
        <w:t>The Trust may sell Securities to or through underwriters, and also may sell Securities directly to other purchasers or through agents.</w:t>
      </w:r>
    </w:p>
    <w:p>
      <w:pPr>
        <w:spacing w:after="0" w:line="199"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98"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2"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198" w:lineRule="exact"/>
        <w:rPr>
          <w:sz w:val="20"/>
          <w:szCs w:val="20"/>
          <w:color w:val="auto"/>
        </w:rPr>
      </w:pPr>
    </w:p>
    <w:p>
      <w:pPr>
        <w:ind w:right="2259" w:firstLine="204"/>
        <w:spacing w:after="0" w:line="243" w:lineRule="auto"/>
        <w:rPr>
          <w:sz w:val="20"/>
          <w:szCs w:val="20"/>
          <w:color w:val="auto"/>
        </w:rPr>
      </w:pPr>
      <w:r>
        <w:rPr>
          <w:rFonts w:ascii="Courier New" w:cs="Courier New" w:eastAsia="Courier New" w:hAnsi="Courier New"/>
          <w:sz w:val="17"/>
          <w:szCs w:val="17"/>
          <w:color w:val="auto"/>
        </w:rPr>
        <w:t>Underwriters, dealers and agents may engage in transactions with, or perform services for, or be customers of, the Trust in the ordinary course of business.</w:t>
      </w:r>
    </w:p>
    <w:p>
      <w:pPr>
        <w:spacing w:after="0" w:line="200"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LEGAL OPINIONS</w:t>
      </w:r>
    </w:p>
    <w:p>
      <w:pPr>
        <w:spacing w:after="0" w:line="201"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3" w:right="1440" w:bottom="1440" w:gutter="0" w:footer="0" w:header="0"/>
        </w:sectPr>
      </w:pPr>
    </w:p>
    <w:bookmarkStart w:id="52" w:name="page53"/>
    <w:bookmarkEnd w:id="52"/>
    <w:p>
      <w:pPr>
        <w:ind w:left="3680"/>
        <w:spacing w:after="0"/>
        <w:rPr>
          <w:sz w:val="20"/>
          <w:szCs w:val="20"/>
          <w:color w:val="auto"/>
        </w:rPr>
      </w:pPr>
      <w:r>
        <w:rPr>
          <w:rFonts w:ascii="Courier New" w:cs="Courier New" w:eastAsia="Courier New" w:hAnsi="Courier New"/>
          <w:sz w:val="17"/>
          <w:szCs w:val="17"/>
          <w:color w:val="auto"/>
        </w:rPr>
        <w:t>EXPERTS</w:t>
      </w:r>
    </w:p>
    <w:p>
      <w:pPr>
        <w:spacing w:after="0" w:line="201" w:lineRule="exact"/>
        <w:rPr>
          <w:sz w:val="20"/>
          <w:szCs w:val="20"/>
          <w:color w:val="auto"/>
        </w:rPr>
      </w:pPr>
    </w:p>
    <w:p>
      <w:pPr>
        <w:ind w:right="2359" w:firstLine="204"/>
        <w:spacing w:after="0" w:line="244" w:lineRule="auto"/>
        <w:rPr>
          <w:sz w:val="20"/>
          <w:szCs w:val="20"/>
          <w:color w:val="auto"/>
        </w:rPr>
      </w:pPr>
      <w:r>
        <w:rPr>
          <w:rFonts w:ascii="Courier New" w:cs="Courier New" w:eastAsia="Courier New" w:hAnsi="Courier New"/>
          <w:sz w:val="17"/>
          <w:szCs w:val="17"/>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199"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3" w:lineRule="exact"/>
        <w:rPr>
          <w:sz w:val="20"/>
          <w:szCs w:val="20"/>
          <w:color w:val="auto"/>
        </w:rPr>
      </w:pPr>
    </w:p>
    <w:p>
      <w:pPr>
        <w:ind w:right="2259" w:firstLine="204"/>
        <w:spacing w:after="0" w:line="244" w:lineRule="auto"/>
        <w:rPr>
          <w:sz w:val="20"/>
          <w:szCs w:val="20"/>
          <w:color w:val="auto"/>
        </w:rPr>
      </w:pPr>
      <w:r>
        <w:rPr>
          <w:rFonts w:ascii="Courier New" w:cs="Courier New" w:eastAsia="Courier New" w:hAnsi="Courier New"/>
          <w:sz w:val="17"/>
          <w:szCs w:val="17"/>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3" w:right="1440" w:bottom="1440" w:gutter="0" w:footer="0" w:header="0"/>
        </w:sectPr>
      </w:pPr>
    </w:p>
    <w:bookmarkStart w:id="53" w:name="page54"/>
    <w:bookmarkEnd w:id="53"/>
    <w:p>
      <w:pPr>
        <w:ind w:left="200" w:hanging="195"/>
        <w:spacing w:after="0"/>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259" w:firstLine="102"/>
        <w:spacing w:after="0" w:line="244" w:lineRule="auto"/>
        <w:rPr>
          <w:sz w:val="20"/>
          <w:szCs w:val="20"/>
          <w:color w:val="auto"/>
        </w:rPr>
      </w:pPr>
      <w:r>
        <w:rPr>
          <w:rFonts w:ascii="Courier New" w:cs="Courier New" w:eastAsia="Courier New" w:hAnsi="Courier New"/>
          <w:sz w:val="17"/>
          <w:szCs w:val="17"/>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OR THEREUNDER SHALL, UNDER ANY CIRCUMSTANCES, CREATE ANY IMPLICATION THAT THERE HAS BEEN NO CHANGE IN THE AFFAIRS OF THE TRUST SINCE THE DATE HEREOF OR THEREOF OR THAT THE INFORMATION CONTAINED HEREIN OR THEREIN IS CORRECT AS OF ANY TIME SUBSEQUENT TO THE DATE OF SUCH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00" w:type="dxa"/>
            <w:vAlign w:val="bottom"/>
          </w:tcPr>
          <w:p>
            <w:pPr>
              <w:ind w:left="3380"/>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r>
      <w:tr>
        <w:trPr>
          <w:trHeight w:val="392"/>
        </w:trPr>
        <w:tc>
          <w:tcPr>
            <w:tcW w:w="7500" w:type="dxa"/>
            <w:vAlign w:val="bottom"/>
          </w:tcPr>
          <w:p>
            <w:pPr>
              <w:ind w:left="3160"/>
              <w:spacing w:after="0"/>
              <w:rPr>
                <w:sz w:val="20"/>
                <w:szCs w:val="20"/>
                <w:color w:val="auto"/>
              </w:rPr>
            </w:pPr>
            <w:r>
              <w:rPr>
                <w:rFonts w:ascii="Courier New" w:cs="Courier New" w:eastAsia="Courier New" w:hAnsi="Courier New"/>
                <w:sz w:val="17"/>
                <w:szCs w:val="17"/>
                <w:color w:val="auto"/>
              </w:rPr>
              <w:t>TABLE OF CONTENTS</w:t>
            </w:r>
          </w:p>
        </w:tc>
        <w:tc>
          <w:tcPr>
            <w:tcW w:w="460" w:type="dxa"/>
            <w:vAlign w:val="bottom"/>
          </w:tcPr>
          <w:p>
            <w:pPr>
              <w:spacing w:after="0"/>
              <w:rPr>
                <w:sz w:val="24"/>
                <w:szCs w:val="24"/>
                <w:color w:val="auto"/>
              </w:rPr>
            </w:pPr>
          </w:p>
        </w:tc>
      </w:tr>
      <w:tr>
        <w:trPr>
          <w:trHeight w:val="392"/>
        </w:trPr>
        <w:tc>
          <w:tcPr>
            <w:tcW w:w="7500" w:type="dxa"/>
            <w:vAlign w:val="bottom"/>
          </w:tcPr>
          <w:p>
            <w:pPr>
              <w:ind w:left="2960"/>
              <w:spacing w:after="0"/>
              <w:rPr>
                <w:sz w:val="20"/>
                <w:szCs w:val="20"/>
                <w:color w:val="auto"/>
              </w:rPr>
            </w:pPr>
            <w:r>
              <w:rPr>
                <w:rFonts w:ascii="Courier New" w:cs="Courier New" w:eastAsia="Courier New" w:hAnsi="Courier New"/>
                <w:sz w:val="17"/>
                <w:szCs w:val="17"/>
                <w:color w:val="auto"/>
              </w:rPr>
              <w:t>PROSPECTUS SUPPLEMENT</w:t>
            </w:r>
          </w:p>
        </w:tc>
        <w:tc>
          <w:tcPr>
            <w:tcW w:w="460" w:type="dxa"/>
            <w:vAlign w:val="bottom"/>
          </w:tcPr>
          <w:p>
            <w:pPr>
              <w:spacing w:after="0"/>
              <w:rPr>
                <w:sz w:val="24"/>
                <w:szCs w:val="24"/>
                <w:color w:val="auto"/>
              </w:rPr>
            </w:pPr>
          </w:p>
        </w:tc>
      </w:tr>
      <w:tr>
        <w:trPr>
          <w:trHeight w:val="589"/>
        </w:trPr>
        <w:tc>
          <w:tcPr>
            <w:tcW w:w="75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6"/>
        </w:trPr>
        <w:tc>
          <w:tcPr>
            <w:tcW w:w="7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500" w:type="dxa"/>
            <w:vAlign w:val="bottom"/>
          </w:tcPr>
          <w:p>
            <w:pPr>
              <w:spacing w:after="0"/>
              <w:rPr>
                <w:sz w:val="20"/>
                <w:szCs w:val="20"/>
                <w:color w:val="auto"/>
              </w:rPr>
            </w:pPr>
            <w:r>
              <w:rPr>
                <w:rFonts w:ascii="Courier New" w:cs="Courier New" w:eastAsia="Courier New" w:hAnsi="Courier New"/>
                <w:sz w:val="17"/>
                <w:szCs w:val="17"/>
                <w:color w:val="auto"/>
              </w:rPr>
              <w:t>The Trust................................................................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S-2</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The Offering.............................................................</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S-3</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S-4</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Capitalization...........................................................</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S-5</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Summary Selected Financial Information...................................</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S-6</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Properties...............................................................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S-8</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Management's Discussion and Analysis of Financial Condition and Results</w:t>
            </w:r>
          </w:p>
        </w:tc>
        <w:tc>
          <w:tcPr>
            <w:tcW w:w="460" w:type="dxa"/>
            <w:vAlign w:val="bottom"/>
          </w:tcPr>
          <w:p>
            <w:pPr>
              <w:spacing w:after="0"/>
              <w:rPr>
                <w:sz w:val="17"/>
                <w:szCs w:val="17"/>
                <w:color w:val="auto"/>
              </w:rPr>
            </w:pPr>
          </w:p>
        </w:tc>
      </w:tr>
      <w:tr>
        <w:trPr>
          <w:trHeight w:val="196"/>
        </w:trPr>
        <w:tc>
          <w:tcPr>
            <w:tcW w:w="7500" w:type="dxa"/>
            <w:vAlign w:val="bottom"/>
          </w:tcPr>
          <w:p>
            <w:pPr>
              <w:ind w:left="100"/>
              <w:spacing w:after="0"/>
              <w:rPr>
                <w:sz w:val="20"/>
                <w:szCs w:val="20"/>
                <w:color w:val="auto"/>
              </w:rPr>
            </w:pPr>
            <w:r>
              <w:rPr>
                <w:rFonts w:ascii="Courier New" w:cs="Courier New" w:eastAsia="Courier New" w:hAnsi="Courier New"/>
                <w:sz w:val="17"/>
                <w:szCs w:val="17"/>
                <w:color w:val="auto"/>
              </w:rPr>
              <w:t>of Operation............................................................</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S-10</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Management...............................................................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S-17</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Description of Series A Preferred Shares.................................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S-18</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Certain Federal Income Tax Considerations................................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S-23</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Underwriting.............................................................</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S-27</w:t>
            </w:r>
          </w:p>
        </w:tc>
      </w:tr>
      <w:tr>
        <w:trPr>
          <w:trHeight w:val="392"/>
        </w:trPr>
        <w:tc>
          <w:tcPr>
            <w:tcW w:w="7500" w:type="dxa"/>
            <w:vAlign w:val="bottom"/>
          </w:tcPr>
          <w:p>
            <w:pPr>
              <w:ind w:left="3480"/>
              <w:spacing w:after="0"/>
              <w:rPr>
                <w:sz w:val="20"/>
                <w:szCs w:val="20"/>
                <w:color w:val="auto"/>
              </w:rPr>
            </w:pPr>
            <w:r>
              <w:rPr>
                <w:rFonts w:ascii="Courier New" w:cs="Courier New" w:eastAsia="Courier New" w:hAnsi="Courier New"/>
                <w:sz w:val="17"/>
                <w:szCs w:val="17"/>
                <w:color w:val="auto"/>
              </w:rPr>
              <w:t>PROSPECTUS</w:t>
            </w:r>
          </w:p>
        </w:tc>
        <w:tc>
          <w:tcPr>
            <w:tcW w:w="460" w:type="dxa"/>
            <w:vAlign w:val="bottom"/>
          </w:tcPr>
          <w:p>
            <w:pPr>
              <w:spacing w:after="0"/>
              <w:rPr>
                <w:sz w:val="24"/>
                <w:szCs w:val="24"/>
                <w:color w:val="auto"/>
              </w:rPr>
            </w:pP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Available Information....................................................</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Incorporation of Certain Documents by Reference..........................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The Trust................................................................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Ratios of Earnings to Fixed Charges......................................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Description of Debt Securities...........................................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Description of Preferred Shares..........................................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Description of Common Shares.............................................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Legal Opinions...........................................................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6"/>
        </w:trPr>
        <w:tc>
          <w:tcPr>
            <w:tcW w:w="750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bl>
    <w:p>
      <w:pPr>
        <w:spacing w:after="0" w:line="396" w:lineRule="exact"/>
        <w:rPr>
          <w:sz w:val="20"/>
          <w:szCs w:val="20"/>
          <w:color w:val="auto"/>
        </w:rPr>
      </w:pPr>
    </w:p>
    <w:p>
      <w:pPr>
        <w:ind w:left="200" w:hanging="195"/>
        <w:spacing w:after="0"/>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4,000,000 SHARES</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7.95% SERIES A CUMULATIVE REDEEMABLE PREFERRED SHARES</w:t>
      </w:r>
    </w:p>
    <w:p>
      <w:pPr>
        <w:spacing w:after="0" w:line="396"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PROSPECTUS SUPPLEMENT</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GOLDMAN, SACHS &amp; CO.</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PRUDENTIAL SECURITIES INCORPORATED</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SMITH BARNEY INC.</w:t>
      </w:r>
    </w:p>
    <w:p>
      <w:pPr>
        <w:spacing w:after="0" w:line="200" w:lineRule="exact"/>
        <w:rPr>
          <w:sz w:val="20"/>
          <w:szCs w:val="20"/>
          <w:color w:val="auto"/>
        </w:rPr>
      </w:pPr>
    </w:p>
    <w:p>
      <w:pPr>
        <w:spacing w:after="0" w:line="392" w:lineRule="exact"/>
        <w:rPr>
          <w:sz w:val="20"/>
          <w:szCs w:val="20"/>
          <w:color w:val="auto"/>
        </w:rPr>
      </w:pPr>
    </w:p>
    <w:p>
      <w:pPr>
        <w:ind w:left="200" w:hanging="195"/>
        <w:spacing w:after="0"/>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3" w:right="1440" w:bottom="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Roman"/>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0"/>
    </w:lvl>
  </w:abstractNum>
  <w:abstractNum w:abstractNumId="8">
    <w:nsid w:val="4E6AFB66"/>
    <w:multiLevelType w:val="hybridMultilevel"/>
    <w:lvl w:ilvl="0">
      <w:lvlJc w:val="left"/>
      <w:lvlText w:val="(%1)"/>
      <w:numFmt w:val="lowerRoman"/>
      <w:start w:val="2"/>
    </w:lvl>
  </w:abstractNum>
  <w:abstractNum w:abstractNumId="9">
    <w:nsid w:val="25E45D32"/>
    <w:multiLevelType w:val="hybridMultilevel"/>
    <w:lvl w:ilvl="0">
      <w:lvlJc w:val="left"/>
      <w:lvlText w:val="(%1)"/>
      <w:numFmt w:val="lowerRoman"/>
      <w:start w:val="10"/>
    </w:lvl>
  </w:abstractNum>
  <w:abstractNum w:abstractNumId="10">
    <w:nsid w:val="519B500D"/>
    <w:multiLevelType w:val="hybridMultilevel"/>
    <w:lvl w:ilvl="0">
      <w:lvlJc w:val="left"/>
      <w:lvlText w:val="(%1)"/>
      <w:numFmt w:val="lowerRoman"/>
      <w:start w:val="3"/>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4"/>
    </w:lvl>
  </w:abstractNum>
  <w:abstractNum w:abstractNumId="13">
    <w:nsid w:val="7C83E458"/>
    <w:multiLevelType w:val="hybridMultilevel"/>
    <w:lvl w:ilvl="0">
      <w:lvlJc w:val="left"/>
      <w:lvlText w:val="(%1)"/>
      <w:numFmt w:val="lowerLetter"/>
      <w:start w:val="6"/>
    </w:lvl>
  </w:abstractNum>
  <w:abstractNum w:abstractNumId="14">
    <w:nsid w:val="257130A3"/>
    <w:multiLevelType w:val="hybridMultilevel"/>
    <w:lvl w:ilvl="0">
      <w:lvlJc w:val="left"/>
      <w:lvlText w:val="(%1)"/>
      <w:numFmt w:val="decimal"/>
      <w:start w:val="2"/>
    </w:lvl>
  </w:abstractNum>
  <w:abstractNum w:abstractNumId="15">
    <w:nsid w:val="62BBD95A"/>
    <w:multiLevelType w:val="hybridMultilevel"/>
    <w:lvl w:ilvl="0">
      <w:lvlJc w:val="left"/>
      <w:lvlText w:val="(%1)"/>
      <w:numFmt w:val="lowerRoman"/>
      <w:start w:val="3"/>
    </w:lvl>
  </w:abstractNum>
  <w:abstractNum w:abstractNumId="16">
    <w:nsid w:val="436C6125"/>
    <w:multiLevelType w:val="hybridMultilevel"/>
    <w:lvl w:ilvl="0">
      <w:lvlJc w:val="left"/>
      <w:lvlText w:val="(%1)"/>
      <w:numFmt w:val="lowerLetter"/>
      <w:start w:val="7"/>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0"/>
    </w:lvl>
  </w:abstractNum>
  <w:abstractNum w:abstractNumId="19">
    <w:nsid w:val="721DA317"/>
    <w:multiLevelType w:val="hybridMultilevel"/>
    <w:lvl w:ilvl="0">
      <w:lvlJc w:val="left"/>
      <w:lvlText w:val="(%1)"/>
      <w:numFmt w:val="lowerRoman"/>
      <w:start w:val="5"/>
    </w:lvl>
  </w:abstractNum>
  <w:abstractNum w:abstractNumId="20">
    <w:nsid w:val="2443A858"/>
    <w:multiLevelType w:val="hybridMultilevel"/>
    <w:lvl w:ilvl="0">
      <w:lvlJc w:val="left"/>
      <w:lvlText w:val="(%1)"/>
      <w:numFmt w:val="lowerRoman"/>
      <w:start w:val="10"/>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2019-12-13T00:46:44Z</dcterms:created>
  <dcterms:modified xsi:type="dcterms:W3CDTF">2019-12-13T00:46:44Z</dcterms:modified>
</cp:coreProperties>
</file>