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45085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-228600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5" w:lineRule="exact"/>
        <w:rPr>
          <w:sz w:val="24"/>
          <w:szCs w:val="24"/>
          <w:color w:val="auto"/>
        </w:rPr>
      </w:pPr>
    </w:p>
    <w:p>
      <w:pPr>
        <w:ind w:left="720" w:right="5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THE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2015</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57"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7" w:lineRule="exact"/>
        <w:rPr>
          <w:sz w:val="24"/>
          <w:szCs w:val="24"/>
          <w:color w:val="auto"/>
        </w:rPr>
      </w:pPr>
    </w:p>
    <w:p>
      <w:pPr>
        <w:ind w:left="3680"/>
        <w:spacing w:after="0"/>
        <w:tabs>
          <w:tab w:leader="none" w:pos="69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1-07533</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62"/>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Maryland</w:t>
            </w:r>
          </w:p>
        </w:tc>
        <w:tc>
          <w:tcPr>
            <w:tcW w:w="2340" w:type="dxa"/>
            <w:vAlign w:val="bottom"/>
          </w:tcPr>
          <w:p>
            <w:pPr>
              <w:jc w:val="right"/>
              <w:ind w:right="610"/>
              <w:spacing w:after="0"/>
              <w:rPr>
                <w:sz w:val="20"/>
                <w:szCs w:val="20"/>
                <w:color w:val="auto"/>
              </w:rPr>
            </w:pPr>
            <w:r>
              <w:rPr>
                <w:rFonts w:ascii="Times New Roman" w:cs="Times New Roman" w:eastAsia="Times New Roman" w:hAnsi="Times New Roman"/>
                <w:sz w:val="20"/>
                <w:szCs w:val="20"/>
                <w:b w:val="1"/>
                <w:bCs w:val="1"/>
                <w:color w:val="auto"/>
              </w:rPr>
              <w:t>52-0782497</w:t>
            </w:r>
          </w:p>
        </w:tc>
      </w:tr>
      <w:tr>
        <w:trPr>
          <w:trHeight w:val="24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16"/>
                <w:szCs w:val="16"/>
                <w:b w:val="1"/>
                <w:bCs w:val="1"/>
                <w:color w:val="auto"/>
              </w:rPr>
              <w:t>(State of Organization)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2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1626 East Jefferson Street, Rockville, Maryland</w:t>
            </w:r>
          </w:p>
        </w:tc>
        <w:tc>
          <w:tcPr>
            <w:tcW w:w="2340" w:type="dxa"/>
            <w:vAlign w:val="bottom"/>
          </w:tcPr>
          <w:p>
            <w:pPr>
              <w:jc w:val="right"/>
              <w:ind w:right="830"/>
              <w:spacing w:after="0"/>
              <w:rPr>
                <w:sz w:val="20"/>
                <w:szCs w:val="20"/>
                <w:color w:val="auto"/>
              </w:rPr>
            </w:pPr>
            <w:r>
              <w:rPr>
                <w:rFonts w:ascii="Times New Roman" w:cs="Times New Roman" w:eastAsia="Times New Roman" w:hAnsi="Times New Roman"/>
                <w:sz w:val="20"/>
                <w:szCs w:val="20"/>
                <w:b w:val="1"/>
                <w:bCs w:val="1"/>
                <w:color w:val="auto"/>
              </w:rPr>
              <w:t>20852</w:t>
            </w:r>
          </w:p>
        </w:tc>
      </w:tr>
      <w:tr>
        <w:trPr>
          <w:trHeight w:val="245"/>
        </w:trPr>
        <w:tc>
          <w:tcPr>
            <w:tcW w:w="6780" w:type="dxa"/>
            <w:vAlign w:val="bottom"/>
          </w:tcPr>
          <w:p>
            <w:pPr>
              <w:jc w:val="center"/>
              <w:ind w:right="267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30"/>
        </w:trPr>
        <w:tc>
          <w:tcPr>
            <w:tcW w:w="6780" w:type="dxa"/>
            <w:vAlign w:val="bottom"/>
          </w:tcPr>
          <w:p>
            <w:pPr>
              <w:jc w:val="right"/>
              <w:ind w:right="1033"/>
              <w:spacing w:after="0"/>
              <w:rPr>
                <w:sz w:val="20"/>
                <w:szCs w:val="20"/>
                <w:color w:val="auto"/>
              </w:rPr>
            </w:pPr>
            <w:r>
              <w:rPr>
                <w:rFonts w:ascii="Times New Roman" w:cs="Times New Roman" w:eastAsia="Times New Roman" w:hAnsi="Times New Roman"/>
                <w:sz w:val="18"/>
                <w:szCs w:val="18"/>
                <w:b w:val="1"/>
                <w:bCs w:val="1"/>
                <w:color w:val="auto"/>
              </w:rPr>
              <w:t>(301) 998-8100</w:t>
            </w:r>
          </w:p>
        </w:tc>
        <w:tc>
          <w:tcPr>
            <w:tcW w:w="2340" w:type="dxa"/>
            <w:vAlign w:val="bottom"/>
          </w:tcPr>
          <w:p>
            <w:pPr>
              <w:spacing w:after="0"/>
              <w:rPr>
                <w:sz w:val="24"/>
                <w:szCs w:val="24"/>
                <w:color w:val="auto"/>
              </w:rPr>
            </w:pPr>
          </w:p>
        </w:tc>
      </w:tr>
      <w:tr>
        <w:trPr>
          <w:trHeight w:val="206"/>
        </w:trPr>
        <w:tc>
          <w:tcPr>
            <w:tcW w:w="6780" w:type="dxa"/>
            <w:vAlign w:val="bottom"/>
          </w:tcPr>
          <w:p>
            <w:pPr>
              <w:jc w:val="center"/>
              <w:ind w:left="32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40" w:type="dxa"/>
            <w:vAlign w:val="bottom"/>
          </w:tcPr>
          <w:p>
            <w:pPr>
              <w:spacing w:after="0"/>
              <w:rPr>
                <w:sz w:val="17"/>
                <w:szCs w:val="17"/>
                <w:color w:val="auto"/>
              </w:rPr>
            </w:pPr>
          </w:p>
        </w:tc>
      </w:tr>
    </w:tbl>
    <w:p>
      <w:pPr>
        <w:spacing w:after="0" w:line="140"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2"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740" w:space="70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8" w:lineRule="exact"/>
        <w:rPr>
          <w:sz w:val="24"/>
          <w:szCs w:val="24"/>
          <w:color w:val="auto"/>
        </w:rPr>
      </w:pPr>
    </w:p>
    <w:p>
      <w:pPr>
        <w:sectPr>
          <w:pgSz w:w="11900" w:h="16838" w:orient="portrait"/>
          <w:cols w:equalWidth="0" w:num="4">
            <w:col w:w="1720" w:space="72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2" w:lineRule="exact"/>
        <w:rPr>
          <w:sz w:val="24"/>
          <w:szCs w:val="24"/>
          <w:color w:val="auto"/>
        </w:rPr>
      </w:pPr>
    </w:p>
    <w:p>
      <w:pPr>
        <w:sectPr>
          <w:pgSz w:w="11900" w:h="16838" w:orient="portrait"/>
          <w:cols w:equalWidth="0" w:num="3">
            <w:col w:w="8240" w:space="240"/>
            <w:col w:w="500" w:space="180"/>
            <w:col w:w="2260"/>
          </w:cols>
          <w:pgMar w:left="240" w:top="23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number of Registrant’s common shares outstanding on May 4, 2015 was 68,682,443.</w:t>
      </w:r>
    </w:p>
    <w:p>
      <w:pPr>
        <w:sectPr>
          <w:pgSz w:w="11900" w:h="16838" w:orient="portrait"/>
          <w:cols w:equalWidth="0" w:num="1">
            <w:col w:w="11420"/>
          </w:cols>
          <w:pgMar w:left="240" w:top="23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
              <w:r>
                <w:rPr>
                  <w:rFonts w:ascii="Times New Roman" w:cs="Times New Roman" w:eastAsia="Times New Roman" w:hAnsi="Times New Roman"/>
                  <w:sz w:val="18"/>
                  <w:szCs w:val="18"/>
                  <w:color w:val="0000EE"/>
                  <w:w w:val="88"/>
                </w:rPr>
                <w:t>3</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Balance Sheets as of March 31, 2015 (unaudited) and December 31,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 of Shareholders' Equity (unaudited) for the three months ended March 31,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15</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26</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27</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balance sheet as of December 31, 2014,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months ended March 31, 2015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24" w:right="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5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4"/>
          </w:tcPr>
          <w:p>
            <w:pPr>
              <w:jc w:val="right"/>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$266,198 and $282,303 of consolidated variable interest entities,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5,208,904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5,128,757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480,241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held for sale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5,737,360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5,608,998</w:t>
            </w: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$27,873 and $26,618 of consolidated variable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(1,467,050)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4,236,384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4,141,948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47,951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93,291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50,988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160,167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$12,266 and $11,441,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15,068</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4,780,750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4,546,870</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Mortgages payable (including $179,789 and $187,632 of consolidated variable interest entities,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579,752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563,698</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71,647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290,519</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1,694,764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1,483,813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145,685</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60,620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14,115</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105,164</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2,969,679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2,735,261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119,053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 5.417% Series 1 Cumulative Convertible Preferred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(stated at liquidation preference $25 per share), 399,896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68,677,816 and 68,605,783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2,284,552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2,281,223</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(683,991)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1,591,569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1,604,401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100,357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88,155</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1,691,926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1,692,556</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4,780,750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4,546,870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4"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166,193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184,792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170,828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 expenses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43,850</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112,670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107,384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63,444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40,545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38,753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66,615</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66,773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2015</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56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vMerge w:val="restart"/>
          </w:tcPr>
          <w:p>
            <w:pPr>
              <w:spacing w:after="0"/>
              <w:rPr>
                <w:sz w:val="12"/>
                <w:szCs w:val="12"/>
                <w:color w:val="auto"/>
              </w:rPr>
            </w:pPr>
          </w:p>
        </w:tc>
        <w:tc>
          <w:tcPr>
            <w:tcW w:w="156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Excess of Net</w:t>
            </w:r>
          </w:p>
        </w:tc>
        <w:tc>
          <w:tcPr>
            <w:tcW w:w="11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2014</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68,605,783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$2,281,223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88,155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$ 1,692,556</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excluding $785 attributable to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47,418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 change in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to common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to preferred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declared to noncontrolling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 net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forfeitures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3,753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3,754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Conversion and redemption of OP units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4,072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16,288</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 to redeemable noncontrolling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MARCH 31,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68,677,816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$2,284,552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100,357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$ 1,691,926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1"/>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40,545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43,850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 security deposits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81,986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79,162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 from real estate partnership in excess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208,654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mortgages, capital leases and notes and other payables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51,615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136,445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123,486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88,927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171,437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75,699</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March 31, 2015, we owned or had a majority interest in community and neighborhood shopping centers and mixed-use properties which are operated as 90 predominantly retail real estate projects.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ASU 2015-02 is effective for us in the first quarter of 2016, and we are currently assessing the impact on our consolidated financial statements.</w:t>
      </w:r>
    </w:p>
    <w:p>
      <w:pPr>
        <w:spacing w:after="0" w:line="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ASU 2015-03 is effective for us in the first quarter of 2016 and is not expected to have a significant impact on our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4"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22,837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20,463</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 issued with acquisition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See Note 3 for additional disclosures relating to the San Antonio Center acquisition.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9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Net assets acquired were preliminarily allocated to operating real estate, other assets for "above market leases" and a ground lease where we are the lessee, and other liabilities for "below market leases." Additionally, approximately $16 million was preliminarily allocated to noncontrolling interests. The purchase price allocation will be finalized after our valuation studies are complete. We incurred $1.8 million of acquisition costs, of which $1.1 million were incurred in 2015 and included in "general and administrative expense" for the three months ended March 31, 2015 on the accompanying consolidated statements of comprehensive income.</w:t>
      </w:r>
    </w:p>
    <w:p>
      <w:pPr>
        <w:spacing w:after="0" w:line="50"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4—REAL ESTATE PARTNERSHIPS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2015, the Partnership owned six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operating results and the financial position of the Partnership: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RESULTS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Our share of net income from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148,314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149,203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157,609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157,413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Mortgages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 capital</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119,355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157,609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157,413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Our share of unconsolidated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Our investment in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32,367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San Antonio Center in January 2015, we assumed a mortgage loan with a face amount of $18.7 million and a fair value of $19.3 million. The mortgage loan bears interest at 5.27% and matures on January 1, 2016.</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16, 2015, we issued $200.0 million aggregate principal amount of 4.50% senior unsecured notes due December 1, 2044. The notes were offered at 105.38% of the principal amount with a yield to maturity of 4.18%. The notes will have the same terms and be of the same series as the $250.0 million senior notes issued on November 14, 2014. Our net proceeds from the March note offering after issuance premium, underwriting fees and other costs were approximately $208.7 million. The proceeds were used to repay our $200.0 million 6.20% notes as further discussed in Note 12.</w:t>
      </w:r>
    </w:p>
    <w:p>
      <w:pPr>
        <w:spacing w:after="0" w:line="1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2015, the maximum amount of borrowings outstanding under our $600.0 million revolving credit facility was $79.5 million, the weighted average borrowings outstanding was $39.6 million, and the weighted average interest rate, before amortization of debt fees, was 1.1%. At March 31, 2015, there was no balance outstanding. Our revolving credit facility, term loan and certain notes require us to comply with various financial covenants, including the maintenance of minimum shareholders’ equity and debt coverage ratios and a maximum ratio of debt to net worth. As of March 31, 2015, we were in compliance with all debt covenants.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6—FAIR VALUE OF FINANCIAL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870,329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894,258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854,217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880,866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1,694,764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1,814,913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1,483,813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1,579,868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2015,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$3.8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2015, and we do not anticipate it will have a significant effect in the future.</w:t>
      </w:r>
    </w:p>
    <w:p>
      <w:pPr>
        <w:spacing w:after="0" w:line="2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2015 was a liability of $6.0 million and is included in "accounts payable and accrued expenses" on our consolidated balance sheet. For the three months ended March 31, 2015, the change in valuation on our interest rate swaps resulted in a $2.5 million increase in our derivative liability (including $1.1 million reclassified from other comprehensive loss to interest expense). The change in valuation on our interest rate swaps is included in "accumulated other comprehensive loss."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5,976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5,976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3,515</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the same number of our common shares, at our option. A total of 934,405 downREIT operating partnership units are outstanding which have a total fair value of $137.6 million, based on our closing stock price on March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1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0.870</w:t>
            </w:r>
          </w:p>
        </w:tc>
        <w:tc>
          <w:tcPr>
            <w:tcW w:w="4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0.870</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5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0" w:type="dxa"/>
            <w:vAlign w:val="bottom"/>
          </w:tcPr>
          <w:p>
            <w:pPr>
              <w:spacing w:after="0"/>
              <w:rPr>
                <w:sz w:val="1"/>
                <w:szCs w:val="1"/>
                <w:color w:val="auto"/>
              </w:rPr>
            </w:pPr>
          </w:p>
        </w:tc>
      </w:tr>
      <w:tr>
        <w:trPr>
          <w:trHeight w:val="675"/>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9—COMPONENTS OF RENTAL INCOME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Retail and commercial</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124,313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116,065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rent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166,193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Minimum rents include the following:</w:t>
            </w: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Straight-line rents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above market leases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below market leases</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Grants of common shares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3,273</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SHARE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2015 and 2014,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dilutive EPS calculation, dilutive stock options were calculated using the treasury stock method consistent with prior periods. There were no anti-dilutive stock options for the three months ended March 31, 2015 and 2014.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52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48,203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40,545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3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3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31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6"/>
              </w:rPr>
              <w:t>45,841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38,380</w:t>
            </w:r>
          </w:p>
        </w:tc>
        <w:tc>
          <w:tcPr>
            <w:tcW w:w="0" w:type="dxa"/>
            <w:vAlign w:val="bottom"/>
          </w:tcPr>
          <w:p>
            <w:pPr>
              <w:spacing w:after="0"/>
              <w:rPr>
                <w:sz w:val="1"/>
                <w:szCs w:val="1"/>
                <w:color w:val="auto"/>
              </w:rPr>
            </w:pPr>
          </w:p>
        </w:tc>
      </w:tr>
      <w:tr>
        <w:trPr>
          <w:trHeight w:val="67"/>
        </w:trPr>
        <w:tc>
          <w:tcPr>
            <w:tcW w:w="5200" w:type="dxa"/>
            <w:vAlign w:val="bottom"/>
            <w:tcBorders>
              <w:bottom w:val="single" w:sz="8" w:color="CCEEFF"/>
            </w:tcBorders>
          </w:tcPr>
          <w:p>
            <w:pPr>
              <w:spacing w:after="0"/>
              <w:rPr>
                <w:sz w:val="5"/>
                <w:szCs w:val="5"/>
                <w:color w:val="auto"/>
              </w:rPr>
            </w:pPr>
          </w:p>
        </w:tc>
        <w:tc>
          <w:tcPr>
            <w:tcW w:w="31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68,368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66,615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3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3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68,563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40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40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the Trust</w:t>
            </w:r>
          </w:p>
        </w:tc>
        <w:tc>
          <w:tcPr>
            <w:tcW w:w="3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vMerge w:val="continue"/>
          </w:tcPr>
          <w:p>
            <w:pPr>
              <w:spacing w:after="0"/>
              <w:rPr>
                <w:sz w:val="19"/>
                <w:szCs w:val="19"/>
                <w:color w:val="auto"/>
              </w:rPr>
            </w:pPr>
          </w:p>
        </w:tc>
        <w:tc>
          <w:tcPr>
            <w:tcW w:w="40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46,186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38,753</w:t>
            </w:r>
          </w:p>
        </w:tc>
        <w:tc>
          <w:tcPr>
            <w:tcW w:w="0" w:type="dxa"/>
            <w:vAlign w:val="bottom"/>
          </w:tcPr>
          <w:p>
            <w:pPr>
              <w:spacing w:after="0"/>
              <w:rPr>
                <w:sz w:val="1"/>
                <w:szCs w:val="1"/>
                <w:color w:val="auto"/>
              </w:rPr>
            </w:pPr>
          </w:p>
        </w:tc>
      </w:tr>
      <w:tr>
        <w:trPr>
          <w:trHeight w:val="486"/>
        </w:trPr>
        <w:tc>
          <w:tcPr>
            <w:tcW w:w="5200" w:type="dxa"/>
            <w:vAlign w:val="bottom"/>
          </w:tcPr>
          <w:p>
            <w:pPr>
              <w:spacing w:after="0"/>
              <w:rPr>
                <w:sz w:val="24"/>
                <w:szCs w:val="24"/>
                <w:color w:val="auto"/>
              </w:rPr>
            </w:pPr>
          </w:p>
        </w:tc>
        <w:tc>
          <w:tcPr>
            <w:tcW w:w="3140" w:type="dxa"/>
            <w:vAlign w:val="bottom"/>
          </w:tcPr>
          <w:p>
            <w:pPr>
              <w:jc w:val="right"/>
              <w:ind w:right="2453"/>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11, 2015, we redeemed our $200.0 million 6.20% senior notes prior to the original maturity date of January 15, 2017. The redemption price of $222.2 million included a make-whole premium of approximately $19.2 million and accrued but unpaid interest of $3.0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24, 2015, we sold our property in San Antonio, Texas for a gain at a sales price of $46.1 million.</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4, 2015, a newly formed joint venture in which we own an 80% equity interest, acquired the fee interest in a 198,000 square foot retail property located in Miami, Florida for $87.5 million.</w:t>
      </w:r>
    </w:p>
    <w:p>
      <w:pPr>
        <w:spacing w:after="0" w:line="1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240" w:top="124"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2014 filed with the Securities and Exchange Commission (the “SEC”) on February 10, 2015.</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2014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March 31, 2015, we owned or had a majority interest in community and neighborhood shopping centers and mixed-use properties which are operated as 90 predominantly retail real estate projects comprising approximately 20.7 million square feet (excludes unconsolidated joint venture properties).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 30% interest were 85.8% leased and 85.4% occupied at March 31,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Significant Property Acquisitions and Disposition</w:t>
      </w:r>
    </w:p>
    <w:p>
      <w:pPr>
        <w:spacing w:after="0" w:line="9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Net assets acquired were preliminarily allocated to operating real estate, other assets for "above market leases" and a ground lease where we are the lessee, and other liabilities for "below market leases." Additionally, approximately $16 million was preliminarily allocated to noncontrolling interests. The purchase price allocation will be finalized after our valuation studies are complete. We incurred $1.8 million of acquisition costs, of which $1.1 million were incurred in 2015 and included in "general and administrative expense" for the three months ended March 31, 2015 on the consolidated statements of comprehensive income.</w:t>
      </w:r>
    </w:p>
    <w:p>
      <w:pPr>
        <w:spacing w:after="0" w:line="131"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December 31, 2014 consolidated balance sheet.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24, 2015, we sold our property in San Antonio, Texas for a gain at a sales price of $46.1 million.</w:t>
      </w:r>
    </w:p>
    <w:p>
      <w:pPr>
        <w:spacing w:after="0" w:line="9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4, 2015, a newly formed joint venture in which we own an 80% equity interest, acquired the fee interest in a 198,000 square foot retail property located in Miami, Florida for $87.5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Significant Debt and Equity Transactions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San Antonio Center in January 2015, we assumed a mortgage loan with a face amount of $18.7 million and a fair value of $19.3 million. The mortgage loan bears interest at 5.27% and matures on January 1, 2016.</w:t>
      </w:r>
    </w:p>
    <w:p>
      <w:pPr>
        <w:spacing w:after="0" w:line="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March 16, 2015, we issued $200.0 million aggregate principal amount of 4.50% senior unsecured notes due December 1, 2044. The notes were offered at 105.38% of the principal amount with a yield to maturity of 4.18%. The notes will have the same terms and be of the same series as the $250.0 million senior notes issued on November 14, 2014. Our net proceeds from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March note offering after issuance premium, underwriting fees and other costs were approximately $208.7 million. The proceeds were used to repay our $200.0 million 6.20% notes.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April 11, 2015, we redeemed our $200.0 million 6.20% senior notes prior to the original maturity date of January 15, 2017. The redemption price of $222.2 million included a make-whole premium of approximately $19.2 million and accrued but unpaid interest of $3.0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$54 million and $2 million, respectively, for the three months ended March 31, 2015 and $71 million and $2 million, respectively, for the three months ended March 31, 2014. We capitalized external and internal costs related to other property improvements of $6 million and less than $1 million, respectively, for both the three months ended March 31, 2015 and 2014. We capitalized external and internal costs related to leasing activities of $2 million and $1 million, respectively, for both the three months ended March 31, 2015 and 2014. The amount of capitalized internal costs for salaries and related benefits for development and redevelopment activities, other property improvements, and leasing activities were $1 million, less than $1 million, and $1 million, respectively, for both the three months ended March 31, 2015 and 2014. Total capitalized costs were $65 million and $82 million for the three months ended March 31, 2015 and 2014,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same-center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development and redevelopments,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remain optimistic given the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March 31, 2015, no single tenant accounted for more than 3.1% of annualized base rent.</w:t>
      </w:r>
    </w:p>
    <w:p>
      <w:pPr>
        <w:spacing w:after="0" w:line="1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2015, we expect to have redevelopment projects stabilizing with projected costs of approximately $68 million.</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continue our ongoing redevelopment efforts at Santana Row, and are currently proceeding with our next phase of redevelopment which is a six story building including approximately 225,500 square feet of office space, 1,500 square feet of retail space, and 670 parking spaces. The building is expected to cost between $110 and $120 million and stabilize in 2017. After current phases, we have approximately 9 acres remaining for further redevelopment and entitlements in place for an additional 348 residential units and 69,000 square feet of commercial space. We are currently in the process of seeking additional entitlements and control an additional 12 acres of land adjacent to Santana Row.</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invest in the development at Assembly Row which is a long-term development project we expect to be involved in over the coming years. The carrying value of the development portion of this project at March 31, 2015 is approximately $366 million. The project currently has zoning entitlements to build 3.4 million square feet of commercial-use buildings, 1,843 residential units, and a 170 room hotel. The first phase consists of approximately 331,000 of retail space and 98,000 square feet of office space (both owned by the Trust) and 450 residential units owned by AvalonBay Communities. The Massachusetts Bay Transit Authority (MBTA) constructed the new orange line T-Stop at the property, which opened in September 2014. Minimal</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4"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amounts of construction remain to be completed in the first phase. The retail space in Phase I opened during 2014 and currently is 97.3% leased; the office space will open throughout 2015. Phase I is expected to stabilize in 2015/2016. Total expected costs for Phase I of Assembly Row range from $190 million to $200 million (net of reimbursements) of which $194 million has been incurred to date.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also proceeding with development of Phase II of Assembly Row which will include 167,000 square feet of retail space, a 155 room boutique hotel and 447 residential units. The hotel will be owned and operated by a joint venture in which we will be a partner. Total expected costs will range from $270 million to $285 million and stabilization is expected in 2018/2019. Phase II is also expected to include 117 for-sale condominium units with an expected total cost of $62 to $67 million. Additionally, as part of the second phase, we entered into a ground lease agreement with Partners HealthCare to bring more than 700,000 square feet of office space to Assembly Row. The ground lease agreement includes a purchase option. Partners HealthCare commenced construction on this new building in September 2014 and plans to relocate over 4,500 employees to Assembly Row starting in 2016.</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Including costs incurred in the first three months of 2015, we expect to invest between $20 million and $30 million in Assembly Row in 2015, net of expected public funding.</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Pike &amp; Rose project in North Bethesda, MD, a long-term multi-phased mixed-use project, currently has zoning entitlements to build 1.6 million square feet of commercial-use buildings and 1,605 residential units. Phase I of Pike &amp; Rose includes 493 residential units, 151,000 square feet of retail space and 79,000 square feet of office space. In late June 2014, our 174 unit residential building opened, and is 96.6% leased as of March 31, 2015. As of March 31, 2015, 133,000 square feet of the retail space in Phase I is open, and we expect the remaining retail, office, and 319 unit residential building to open in the remainder of 2015. We expect Phase I to stabilize in 2015/2016. Total expected costs for Phase I of Pike &amp; Rose range from $255 million to $265 million of which $235 million has been incurred to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are proceeding with development of Phase II of Pike &amp; Rose and expect building construction to commence in the first half of 2015. Phase</w:t>
      </w:r>
    </w:p>
    <w:p>
      <w:pPr>
        <w:spacing w:after="0" w:line="27" w:lineRule="exact"/>
        <w:rPr>
          <w:sz w:val="20"/>
          <w:szCs w:val="20"/>
          <w:color w:val="auto"/>
        </w:rPr>
      </w:pPr>
    </w:p>
    <w:p>
      <w:pPr>
        <w:ind w:right="200" w:firstLine="8"/>
        <w:spacing w:after="0" w:line="254" w:lineRule="auto"/>
        <w:tabs>
          <w:tab w:leader="none" w:pos="1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include approximately 185,000 square feet of retail space, a 177 room select-service hotel and 264 residential units. Total expected costs range from $195 million to $200 million and stabilization is expected in 2018/2019. The hotel will be owned and operated by a joint venture in which we will be a partner. Phase II is also expected to include 104 for-sale condominium units with an expected cost of $50 million to $53 million. Including costs incurred in the first three months of 2015, we expect to invest between $80 million and $110 million in Pike &amp; Rose in 2015.</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2015, the leasable square feet in our properties was 94.5% occupied and 95.4%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For the first quarter of 2015, we signed leases for a total of 280,000 square feet of retail space including 249,000 square feet of comparable space leases (leases for which there was a prior tenant) at an average rental increase of 11% on a cash basis and 22% on a straight-line basis. New leases for comparable spaces were signed for 101,000 square feet at an average rental increase of 16% on a cash basis and 23% on a straight-line basis. Renewals for comparable spaces were signed for 148,000 square feet at an average rental increase of 8% on a cash basis and 21% on a straight-line basis. Tenant improvements and incentives for comparable spaces were $55.12 per square foot for new leases and $1.06 per square foot for renewals for the three months ended March 31, 2015.</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leases signed in 2015 generally become effective over the following two years though some may not become effective until 2018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Historically, we have executed comparable space leases for 1.2 to 1.5 million square feet of retail space each year, and expect that volume for 2015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months ended March 31, 2015, all or a portion of 80 properties were considered same-center and thirteen were considered redevelopment or expansion. For the three months ended March 31, 2015, three properties were moved from acquisition to same-center, two properties were moved from same-center to redevelopment, and one property was moved from redevelopment to same-center, when compared to the designations as of December 31, 2014.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4"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2015 AND 2014</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166,193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14,973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184,792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170,828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13,964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122,959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114,998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7,961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7,658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7,433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$14.0 million, or 8.2%, to $184.8 million in the three months ended March 31, 2015 compared to $170.8 million in the three months ended March 31, 2014. The percentage occupied at our shopping centers decreased to 94.5% at March 31, 2015 compared to 94.7% at March 31, 2014.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Rental income increased $15.0 million, or 9.0%, to $181.2 million in the three months ended March 31, 2015 compared to $166.2 million in the three months ended March 31, 2014 due primarily to the following:</w:t>
      </w:r>
    </w:p>
    <w:p>
      <w:pPr>
        <w:spacing w:after="0" w:line="14" w:lineRule="exact"/>
        <w:rPr>
          <w:sz w:val="20"/>
          <w:szCs w:val="20"/>
          <w:color w:val="auto"/>
        </w:rPr>
      </w:pPr>
    </w:p>
    <w:p>
      <w:pPr>
        <w:ind w:left="1700" w:right="360" w:hanging="801"/>
        <w:spacing w:after="0" w:line="281"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$6.1 million from Assembly Row and Pike &amp; Rose as portions of both projects opened beginning in second quarter 2014 and through 2015,</w:t>
      </w:r>
    </w:p>
    <w:p>
      <w:pPr>
        <w:spacing w:after="0" w:line="1" w:lineRule="exact"/>
        <w:rPr>
          <w:rFonts w:ascii="Times New Roman" w:cs="Times New Roman" w:eastAsia="Times New Roman" w:hAnsi="Times New Roman"/>
          <w:sz w:val="18"/>
          <w:szCs w:val="18"/>
          <w:color w:val="auto"/>
        </w:rPr>
      </w:pPr>
    </w:p>
    <w:p>
      <w:pPr>
        <w:ind w:left="1700" w:right="80" w:hanging="801"/>
        <w:spacing w:after="0" w:line="266"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$5.7 million at same-center properties due primarily to higher rental rates of approximately $2.6 million, a $1.7 million increase in recovery income (primarily the result of reimbursements for higher snow removal costs), and occupancy impacts of approximately $0.8 million.</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attributable to properties acquired in 2015 and 2014, and</w:t>
      </w:r>
    </w:p>
    <w:p>
      <w:pPr>
        <w:spacing w:after="0" w:line="63" w:lineRule="exact"/>
        <w:rPr>
          <w:rFonts w:ascii="Times New Roman" w:cs="Times New Roman" w:eastAsia="Times New Roman" w:hAnsi="Times New Roman"/>
          <w:sz w:val="18"/>
          <w:szCs w:val="18"/>
          <w:color w:val="auto"/>
        </w:rPr>
      </w:pPr>
    </w:p>
    <w:p>
      <w:pPr>
        <w:ind w:left="1700" w:right="540" w:hanging="801"/>
        <w:spacing w:after="0" w:line="282"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at redevelopment properties due primarily to the lease-up of our new 212 unit residential building at Santana Row and the net impact of our other redevelopment properties.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Property Income</w:t>
      </w:r>
    </w:p>
    <w:p>
      <w:pPr>
        <w:spacing w:after="0" w:line="65" w:lineRule="exact"/>
        <w:rPr>
          <w:sz w:val="20"/>
          <w:szCs w:val="20"/>
          <w:color w:val="auto"/>
        </w:rPr>
      </w:pPr>
    </w:p>
    <w:p>
      <w:pPr>
        <w:ind w:left="60" w:right="180"/>
        <w:spacing w:after="0" w:line="261" w:lineRule="auto"/>
        <w:rPr>
          <w:sz w:val="20"/>
          <w:szCs w:val="20"/>
          <w:color w:val="auto"/>
        </w:rPr>
      </w:pPr>
      <w:r>
        <w:rPr>
          <w:rFonts w:ascii="Times New Roman" w:cs="Times New Roman" w:eastAsia="Times New Roman" w:hAnsi="Times New Roman"/>
          <w:sz w:val="18"/>
          <w:szCs w:val="18"/>
          <w:color w:val="auto"/>
        </w:rPr>
        <w:t>Other property income decreased $0.9 million, or 27.5%, to $2.5 million in the three months ended March 31, 2015 compared to $3.4 million in the three months ended March 31, 2014. Included in other property income are items which, although recurring, inherently tend to fluctuate more than rental income from period to period, such as lease termination fees. This decrease is primarily due to lower lease termination fees at our same center and redevelopment properties in 2014.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$6.0 million, or 10.8%, to $61.8 million in the three months ended March 31, 2015 compared to $55.8 million in the three months ended March 31, 2014.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Rental expenses increased $4.3 million, or 11.6%, to $41.4 million in the three months ended March 31, 2015 compared to $37.1 million in the three months ended March 31, 2014. This increase is primarily due to the following:</w:t>
      </w:r>
    </w:p>
    <w:p>
      <w:pPr>
        <w:spacing w:after="0" w:line="2" w:lineRule="exact"/>
        <w:rPr>
          <w:sz w:val="20"/>
          <w:szCs w:val="20"/>
          <w:color w:val="auto"/>
        </w:rPr>
      </w:pPr>
    </w:p>
    <w:p>
      <w:pPr>
        <w:ind w:left="1700" w:right="440" w:hanging="801"/>
        <w:spacing w:after="0" w:line="281"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$2.3 million related to Assembly Row and Pike &amp; Rose, as portions of these projects opened beginning in second quarter 2014 and through 2015,</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repairs and maintenance at same-center properties due primarily to higher snow removal costs,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related to properties acquired in 2015 and 2014.</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plus other property income increased to 22.6% in the three months ended March 31, 2015 from 21.9% in the three months ended March 31, 2014.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$1.7 million, or 9.1%, to $20.4 million in the three months ended March 31, 2015 compared to $18.7 million in the three months ended March 31, 2014 due primarily to Assembly Row and Pike &amp; Rose and higher assessments at our same-center and redevelopment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$8.0 million, or 6.9%, to $123.0 million in the three months ended March 31, 2015 compared to $115.0 million in the three months ended March 31, 2014. This increase is primarily due to growth in earnings at same-center properties, portions of Assembly Row and Pike &amp; Rose opening beginning in the second quarter 2014 and through 2015, and the acquisition of San Antonio Center in January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Interest expense increased $1.0 million, or 4.5%, to $24.2 million in the three months ended March 31, 2015 compared to $23.1 million in the three months ended March 31, 2014. This increase is due primarily to the following:</w:t>
      </w:r>
    </w:p>
    <w:p>
      <w:pPr>
        <w:spacing w:after="0" w:line="1"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due to higher borrowings,</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$0.8 million in capitalized interest due primarily to the majority of Phase I of Assembly Row opening during 2014,</w:t>
      </w:r>
    </w:p>
    <w:p>
      <w:pPr>
        <w:spacing w:after="0" w:line="63"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due to a lower overall weighted average borrowing rate.</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Gross interest costs were $28.9 million and $28.7 million in the three months ended March 31, 2015 and 2014, respectively. Capitalized interest was $4.7 million and $5.6 million in the three months ended March 31, 2015 and 2014, respectively.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$1.1 million, or 14.9%, to $8.9 million for the three months ended March 31, 2015, compared to $7.7 million in the three months ended March 31, 2014. The increase is due to higher transaction costs and higher personnel related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$1.9 million, or 4.3%, to $42.0 million in the three months ended March 31, 2015 from $43.9 million in the three months ended March 31, 2014. This decrease is due primarily to accelerated depreciation in 2014 due to the change in use of a redevelopment property, partially offset by depreciation on Assembly Row and Pike &amp; Rose.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12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2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Cash and cash equivalents were $171.4 million at March 31, 2015. Additionally, we have a $600.0 million unsecured revolving credit facility which matures on April 21, 2017, subject to a one-year extension at our option, and had no borrowings outstanding at March 31, 2015. In addition, we have an option (subject to bank approval) to increase the credit facility through an accordion feature to $1.0 billion. Our $275.0 million unsecured term loan, which matures on November 21, 2018, subject to a one-year extension at our option, also has an option (subject to bank approval) to increase the term loan through an accordion feature to $350.0 million. As of March 31, 2015, we had the capacity to issue up to $84.1 million in common shares under our ATM equity program.</w:t>
      </w:r>
    </w:p>
    <w:p>
      <w:pPr>
        <w:spacing w:after="0" w:line="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2015, the maximum amount of borrowings outstanding under our revolving credit facility was $79.5 million, the weighted average amount of borrowings outstanding was $39.6 million and the weighted average interest rate, before amortization of debt fees, was 1.1%. On April 11, 2015, we redeemed our $200.0 million 6.20% senior notes prior to the original maturity date of January 15, 2017 using the funds raised from our March 2015 senior note issuance. For the remainder of 2015, we have $148.7 million of debt maturing at a weighted average stated interest rate of 7.9%.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overall capital requirements for the remainder of 2015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2015 which is the result of the continued development at both Assembly Row and Pike &amp; Rose with openings of portions of both projects in the remainder of 2015, the commencement of construction on Phase II of Pike &amp; Rose and Assembly Row, and the current phase of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conditions in the capital markets which could affect our ability to access those markets, the following factors could affect our ability to meet our liquidity requirements:</w:t>
      </w:r>
    </w:p>
    <w:p>
      <w:pPr>
        <w:ind w:left="1700" w:right="40" w:hanging="801"/>
        <w:spacing w:after="0" w:line="250"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service additional or replacement debt due to increases in interest rates or a decline in our operating performance.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81,986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79,162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136,445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123,486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88,927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171,437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75,699</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$2.8 million to $82.0 million during the three months ended March 31, 2015 from $79.2 million during the three months ended March 31, 2014. The increase was primarily attributable to higher net income before certain non-cash items.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$6.9 million to $94.9 million during the three months ended March 31, 2015 from $88.0 million during the three months ended March 31, 2014. The increase was primarily attributable to a $26.1 million increase in acquisitions of real estate due to the January 2015 San Antonio Center acquisition partially offset by a $19.2 million decrease in capital investments and leasing costs.</w:t>
      </w:r>
    </w:p>
    <w:p>
      <w:pPr>
        <w:spacing w:after="0" w:line="122"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increased $140.8 million to $136.4 million provided during the three months ended March 31, 2015 from $4.4 million used during the three months ended March 31, 2014. The increase was primarily attributable to:</w:t>
      </w:r>
    </w:p>
    <w:p>
      <w:pPr>
        <w:spacing w:after="0" w:line="2" w:lineRule="exact"/>
        <w:rPr>
          <w:sz w:val="20"/>
          <w:szCs w:val="20"/>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$208.7 million in net proceeds from the re-opening of the 4.50% senior notes in March 2015,</w:t>
      </w:r>
    </w:p>
    <w:p>
      <w:pPr>
        <w:spacing w:after="0" w:line="63"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63" w:lineRule="exact"/>
        <w:rPr>
          <w:rFonts w:ascii="Times New Roman" w:cs="Times New Roman" w:eastAsia="Times New Roman" w:hAnsi="Times New Roman"/>
          <w:sz w:val="18"/>
          <w:szCs w:val="18"/>
          <w:color w:val="auto"/>
        </w:rPr>
      </w:pPr>
    </w:p>
    <w:p>
      <w:pPr>
        <w:ind w:left="1700" w:right="20" w:hanging="801"/>
        <w:spacing w:after="0" w:line="266"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 million decrease in net proceeds from the issuance of common shares due primarily to not issuing any common shares under our ATM equity program in the three months ended March 31, 2015 compared to 0.5 million shares at a weighted average price of $111.35 in the three months ended March 31, 2014,</w:t>
      </w:r>
    </w:p>
    <w:p>
      <w:pPr>
        <w:spacing w:after="0" w:line="14" w:lineRule="exact"/>
        <w:rPr>
          <w:rFonts w:ascii="Times New Roman" w:cs="Times New Roman" w:eastAsia="Times New Roman" w:hAnsi="Times New Roman"/>
          <w:sz w:val="18"/>
          <w:szCs w:val="18"/>
          <w:color w:val="auto"/>
        </w:rPr>
      </w:pPr>
    </w:p>
    <w:p>
      <w:pPr>
        <w:ind w:left="1700" w:right="180" w:hanging="801"/>
        <w:spacing w:after="0" w:line="266"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increase in repayment of mortgages, capital leases and notes and other payables due to the acquisition of one of the noncontrolling interest holder's interest in The Grove at Shrewsbury for $8.8 million. This interest was mandatorily redeemable and, therefore, was classified as a liability, and</w:t>
      </w:r>
    </w:p>
    <w:p>
      <w:pPr>
        <w:spacing w:after="0" w:line="14" w:lineRule="exact"/>
        <w:rPr>
          <w:rFonts w:ascii="Times New Roman" w:cs="Times New Roman" w:eastAsia="Times New Roman" w:hAnsi="Times New Roman"/>
          <w:sz w:val="18"/>
          <w:szCs w:val="18"/>
          <w:color w:val="auto"/>
        </w:rPr>
      </w:pPr>
    </w:p>
    <w:p>
      <w:pPr>
        <w:ind w:left="1700" w:right="680" w:hanging="801"/>
        <w:spacing w:after="0" w:line="282"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increase in dividends paid to shareholders due to an increase in the dividend rate and increased number of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2015, the Partnership owned six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March 31, 2015, our investment in the Partnership was $32.4 million and the Partnership had approximately $34.4 million of mortgages payable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2015:</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3"/>
                <w:szCs w:val="13"/>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12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6"/>
                <w:szCs w:val="16"/>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Barracks Road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44,300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35,701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Hauppauge</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13,458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Lawrence Park</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25,305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Wildwood</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22,243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Wynnewood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25,789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Brick Plaza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26,195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San Antonio Center</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18,542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44,284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Grove at Shrewsbury (West)</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11,189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29th Place</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4,895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52,705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Montrose Crossing</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75,488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7,022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571,340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8,412</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579,752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 loan (2)</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+ 0.90%</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6,177</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Escondido (municipal bonds)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9,400</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Revolving credit facility (4)</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+ 0.90%</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290,577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6.20% notes (5)</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3.00%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1,694,200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1,694,764</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71,640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Various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2,636,733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40" w:hanging="652"/>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payable do not include our 30% share ($10.3 million) of the $34.4 million debt of the partnership with a discretionary fund created and advised by Clarion.</w:t>
      </w:r>
    </w:p>
    <w:p>
      <w:pPr>
        <w:spacing w:after="0" w:line="1" w:lineRule="exact"/>
        <w:rPr>
          <w:rFonts w:ascii="Times New Roman" w:cs="Times New Roman" w:eastAsia="Times New Roman" w:hAnsi="Times New Roman"/>
          <w:sz w:val="18"/>
          <w:szCs w:val="18"/>
          <w:color w:val="auto"/>
        </w:rPr>
      </w:pPr>
    </w:p>
    <w:p>
      <w:pPr>
        <w:ind w:left="660" w:right="160" w:hanging="652"/>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1"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ectPr>
          <w:pgSz w:w="11900" w:h="16838" w:orient="portrait"/>
          <w:cols w:equalWidth="0" w:num="1">
            <w:col w:w="11420"/>
          </w:cols>
          <w:pgMar w:left="240" w:top="124" w:right="2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2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00" w:lineRule="exact"/>
        <w:rPr>
          <w:sz w:val="20"/>
          <w:szCs w:val="20"/>
          <w:color w:val="auto"/>
        </w:rPr>
      </w:pPr>
    </w:p>
    <w:p>
      <w:pPr>
        <w:ind w:left="660" w:right="40" w:hanging="652"/>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months ended March 31, 2015 was $79.5 million, and the weighted average interest rate on borrowings under our revolving credit facility, before amortization of debt fees, was 1.06%.</w:t>
      </w:r>
    </w:p>
    <w:p>
      <w:pPr>
        <w:spacing w:after="0" w:line="1"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11, 2015, the 6.20% senior notes were redeemed for $222.2 million including a make-whole premium of approximately $19.2 million and accrued but unpaid interest of $3.0 million.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revolving credit facility, term loan and other debt agreements include financial and other covenants that may limit our operating activities in the future. As of March 31, 2015,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2015:</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200,427</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151,773</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352,224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9,806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21,871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31,707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220,438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275,500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13,326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288,863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22,731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1,498,040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141,201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1,710,714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1,984,777</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571,340</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2,627,757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380" w:hanging="652"/>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maturities include the 6.20% senior notes which were redeemed on April 11, 2015 for $222.2 million including a make-whole premium of approximately $19.2 million and accrued but unpaid interest of $3.0 million.</w:t>
      </w:r>
    </w:p>
    <w:p>
      <w:pPr>
        <w:spacing w:after="0" w:line="1" w:lineRule="exact"/>
        <w:rPr>
          <w:rFonts w:ascii="Times New Roman" w:cs="Times New Roman" w:eastAsia="Times New Roman" w:hAnsi="Times New Roman"/>
          <w:sz w:val="18"/>
          <w:szCs w:val="18"/>
          <w:color w:val="auto"/>
        </w:rPr>
      </w:pPr>
    </w:p>
    <w:p>
      <w:pPr>
        <w:ind w:left="660" w:right="260" w:hanging="652"/>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$600.0 million revolving credit facility matures on April 21, 2017, subject to a one-year extension at our option. As of March 31, 2015, there was no balance outstanding under this credit facility.</w:t>
      </w:r>
    </w:p>
    <w:p>
      <w:pPr>
        <w:spacing w:after="0" w:line="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differs from the total reported on the consolidated balance sheet due to the unamortized net premium on certain mortgage loans and senior notes as of March 31,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4"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2015, we are party to two interest rate swap agreements that effectively fixed the rate on the term loan at 2.62%. Both swaps were designated and qualified as cash flow hedges and were recorded at fair value. Hedge ineffectiveness has not impacted earnings as of March 31, 2015, and we do not anticipate it will have a significant effect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2" w:lineRule="exact"/>
        <w:rPr>
          <w:sz w:val="20"/>
          <w:szCs w:val="20"/>
          <w:color w:val="auto"/>
        </w:rPr>
      </w:pPr>
    </w:p>
    <w:p>
      <w:pPr>
        <w:ind w:left="1700" w:right="460" w:hanging="801"/>
        <w:spacing w:after="0" w:line="281"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48,203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36,953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joint venture real estate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86,910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87,288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81,754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69,515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67,691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660" w:right="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2015, we were party to two interest rate swap agreements that effectively fixed the rate on the term loan at 2.62%.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2044 or, with respect to capital lease obligations, through 2106) have fixed interest rates which limit the risk of fluctuating interest rates. However, interest rate fluctuations may affect the fair value of our fixed rate debt instruments. At March 31, 2015, we had $2.6 billion of fixed-rate debt outstanding, including our $275.0 million term loan as the rate is effectively fixed by two interest rate swap agreements;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had $71.6 million of capital lease obligations. If market interest rates used to calculate the fair value on our fixed-rate debt instruments at March 31, 2015 had been 1.0% higher, the fair value of those debt instruments on that date would have decreased by approximately $165.5 million. If market interest rates used to calculate the fair value on our fixed-rate debt instruments at March 31, 2015 had been 1.0% lower, the fair value of those debt instruments on that date would have increased by approximately $188.7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variable rate debt. At March 31, 2015, we had $9.4 million of variable rate debt outstanding which consisted of municipal bonds. Our revolving credit facility had no outstanding balance as of March 31, 2015.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2015. Based on this evaluation, our management, including our Chief Executive Officer and Chief Financial Officer, concluded that our disclosure controls and procedures were effective as of March 31, 2015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for the year ended December 31, 2014 filed with the SEC on February 10, 2015. These factors include, but are not limited to, the following:</w:t>
      </w:r>
    </w:p>
    <w:p>
      <w:pPr>
        <w:spacing w:after="0" w:line="2" w:lineRule="exact"/>
        <w:rPr>
          <w:sz w:val="20"/>
          <w:szCs w:val="20"/>
          <w:color w:val="auto"/>
        </w:rPr>
      </w:pPr>
    </w:p>
    <w:p>
      <w:pPr>
        <w:ind w:left="1700" w:right="40" w:hanging="801"/>
        <w:spacing w:after="0" w:line="281"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Times New Roman" w:cs="Times New Roman" w:eastAsia="Times New Roman" w:hAnsi="Times New Roman"/>
          <w:sz w:val="18"/>
          <w:szCs w:val="18"/>
          <w:color w:val="auto"/>
        </w:rPr>
      </w:pPr>
    </w:p>
    <w:p>
      <w:pPr>
        <w:ind w:left="1700" w:hanging="801"/>
        <w:spacing w:after="0" w:line="266"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4" w:lineRule="exact"/>
        <w:rPr>
          <w:rFonts w:ascii="Times New Roman" w:cs="Times New Roman" w:eastAsia="Times New Roman" w:hAnsi="Times New Roman"/>
          <w:sz w:val="18"/>
          <w:szCs w:val="18"/>
          <w:color w:val="auto"/>
        </w:rPr>
      </w:pPr>
    </w:p>
    <w:p>
      <w:pPr>
        <w:ind w:left="1700" w:right="220" w:hanging="801"/>
        <w:spacing w:after="0" w:line="266"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63" w:lineRule="exact"/>
        <w:rPr>
          <w:rFonts w:ascii="Times New Roman" w:cs="Times New Roman" w:eastAsia="Times New Roman" w:hAnsi="Times New Roman"/>
          <w:sz w:val="18"/>
          <w:szCs w:val="18"/>
          <w:color w:val="auto"/>
        </w:rPr>
      </w:pPr>
    </w:p>
    <w:p>
      <w:pPr>
        <w:ind w:left="2760" w:right="500" w:hanging="807"/>
        <w:spacing w:after="0" w:line="281" w:lineRule="auto"/>
        <w:tabs>
          <w:tab w:leader="none" w:pos="2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124"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00" w:lineRule="exact"/>
        <w:rPr>
          <w:sz w:val="20"/>
          <w:szCs w:val="20"/>
          <w:color w:val="auto"/>
        </w:rPr>
      </w:pPr>
    </w:p>
    <w:p>
      <w:pPr>
        <w:ind w:left="2760" w:hanging="807"/>
        <w:spacing w:after="0"/>
        <w:tabs>
          <w:tab w:leader="none" w:pos="2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63" w:lineRule="exact"/>
        <w:rPr>
          <w:rFonts w:ascii="Times New Roman" w:cs="Times New Roman" w:eastAsia="Times New Roman" w:hAnsi="Times New Roman"/>
          <w:sz w:val="18"/>
          <w:szCs w:val="18"/>
          <w:color w:val="auto"/>
        </w:rPr>
      </w:pPr>
    </w:p>
    <w:p>
      <w:pPr>
        <w:ind w:left="2760" w:right="220" w:hanging="807"/>
        <w:spacing w:after="0" w:line="281" w:lineRule="auto"/>
        <w:tabs>
          <w:tab w:leader="none" w:pos="2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costs associated with the periodic maintenance and repair or renovation of space, insurance and other operations may increase,</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63" w:lineRule="exact"/>
        <w:rPr>
          <w:rFonts w:ascii="Times New Roman" w:cs="Times New Roman" w:eastAsia="Times New Roman" w:hAnsi="Times New Roman"/>
          <w:sz w:val="18"/>
          <w:szCs w:val="18"/>
          <w:color w:val="auto"/>
        </w:rPr>
      </w:pPr>
    </w:p>
    <w:p>
      <w:pPr>
        <w:ind w:left="1700" w:right="240" w:hanging="801"/>
        <w:spacing w:after="0" w:line="266" w:lineRule="auto"/>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4" w:lineRule="exact"/>
        <w:rPr>
          <w:rFonts w:ascii="Times New Roman" w:cs="Times New Roman" w:eastAsia="Times New Roman" w:hAnsi="Times New Roman"/>
          <w:sz w:val="18"/>
          <w:szCs w:val="18"/>
          <w:color w:val="auto"/>
        </w:rPr>
      </w:pPr>
    </w:p>
    <w:p>
      <w:pPr>
        <w:ind w:left="1700" w:right="60" w:hanging="801"/>
        <w:spacing w:after="0" w:line="266" w:lineRule="auto"/>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March 31, 2015 we redeemed 39,611 downREIT operating partnership units for common shares, and 1,050 units for cash.</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24"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80"/>
          </w:cols>
          <w:pgMar w:left="240" w:top="12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160009)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2020; 3.00% Notes due 2022; 2.75% Notes due 2023; 3.95% Notes due 2024; 4.50% Notes due 2044 (previously filed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4(a) to 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4"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11, 2011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689"/>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80" w:right="460" w:hanging="1045"/>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March 31, 2015,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4"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James M. Taylor, Jr.</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2015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2015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May 7, 2015</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35"/>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lvl w:ilvl="1">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2019-12-29T17:03:47Z</dcterms:created>
  <dcterms:modified xsi:type="dcterms:W3CDTF">2019-12-29T17:03:47Z</dcterms:modified>
</cp:coreProperties>
</file>