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Common Shares of Beneficial Interest, $.01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313747206</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180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|X|</w:t>
            </w:r>
          </w:p>
        </w:tc>
        <w:tc>
          <w:tcPr>
            <w:tcW w:w="168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6"/>
              </w:rPr>
              <w:t>Rule 13d-1(b)</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3880" w:val="left"/>
          <w:tab w:leader="none" w:pos="630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0" w:lineRule="exact"/>
        <w:rPr>
          <w:sz w:val="24"/>
          <w:szCs w:val="24"/>
          <w:color w:val="auto"/>
        </w:rPr>
      </w:pP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Security Capital Group Incorporated</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ind w:left="540" w:hanging="53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Maryland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24"/>
                <w:szCs w:val="24"/>
                <w:color w:val="auto"/>
              </w:rPr>
            </w:pPr>
          </w:p>
        </w:tc>
        <w:tc>
          <w:tcPr>
            <w:tcW w:w="648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580"/>
              <w:spacing w:after="0"/>
              <w:rPr>
                <w:sz w:val="20"/>
                <w:szCs w:val="20"/>
                <w:color w:val="auto"/>
              </w:rPr>
            </w:pPr>
            <w:r>
              <w:rPr>
                <w:rFonts w:ascii="Courier New" w:cs="Courier New" w:eastAsia="Courier New" w:hAnsi="Courier New"/>
                <w:sz w:val="18"/>
                <w:szCs w:val="18"/>
                <w:color w:val="auto"/>
              </w:rPr>
              <w:t>2,372,405 Common Shares of Beneficial Interest</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24"/>
                <w:szCs w:val="24"/>
                <w:color w:val="auto"/>
              </w:rPr>
            </w:pPr>
          </w:p>
        </w:tc>
        <w:tc>
          <w:tcPr>
            <w:tcW w:w="6480" w:type="dxa"/>
            <w:vAlign w:val="bottom"/>
          </w:tcPr>
          <w:p>
            <w:pPr>
              <w:ind w:left="580"/>
              <w:spacing w:after="0"/>
              <w:rPr>
                <w:sz w:val="20"/>
                <w:szCs w:val="20"/>
                <w:color w:val="auto"/>
              </w:rPr>
            </w:pPr>
            <w:r>
              <w:rPr>
                <w:rFonts w:ascii="Courier New" w:cs="Courier New" w:eastAsia="Courier New" w:hAnsi="Courier New"/>
                <w:sz w:val="18"/>
                <w:szCs w:val="18"/>
                <w:color w:val="auto"/>
              </w:rPr>
              <w:t>2,372,405 Common Shares of Beneficial Interest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2,372,405 Common Shares of Beneficial Interest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w:t>
      </w:r>
    </w:p>
    <w:p>
      <w:pPr>
        <w:spacing w:after="0" w:line="201"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5.92% of the Common Shares of Beneficial Interest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41" w:right="1440" w:bottom="1440" w:gutter="0" w:footer="0" w:header="0"/>
        </w:sectPr>
      </w:pPr>
    </w:p>
    <w:bookmarkStart w:id="2" w:name="page3"/>
    <w:bookmarkEnd w:id="2"/>
    <w:p>
      <w:pPr>
        <w:spacing w:after="0"/>
        <w:tabs>
          <w:tab w:leader="none" w:pos="3880" w:val="left"/>
          <w:tab w:leader="none" w:pos="630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Security Capital Research &amp; Management Incorporated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24"/>
                <w:szCs w:val="24"/>
                <w:color w:val="auto"/>
              </w:rPr>
            </w:pPr>
          </w:p>
        </w:tc>
        <w:tc>
          <w:tcPr>
            <w:tcW w:w="6480" w:type="dxa"/>
            <w:vAlign w:val="bottom"/>
          </w:tcPr>
          <w:p>
            <w:pPr>
              <w:ind w:left="580"/>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580"/>
              <w:spacing w:after="0"/>
              <w:rPr>
                <w:sz w:val="20"/>
                <w:szCs w:val="20"/>
                <w:color w:val="auto"/>
              </w:rPr>
            </w:pPr>
            <w:r>
              <w:rPr>
                <w:rFonts w:ascii="Courier New" w:cs="Courier New" w:eastAsia="Courier New" w:hAnsi="Courier New"/>
                <w:sz w:val="18"/>
                <w:szCs w:val="18"/>
                <w:color w:val="auto"/>
              </w:rPr>
              <w:t>2,372,405 Common Shares of Beneficial Interest</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ind w:left="580"/>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24"/>
                <w:szCs w:val="24"/>
                <w:color w:val="auto"/>
              </w:rPr>
            </w:pPr>
          </w:p>
        </w:tc>
        <w:tc>
          <w:tcPr>
            <w:tcW w:w="6480" w:type="dxa"/>
            <w:vAlign w:val="bottom"/>
          </w:tcPr>
          <w:p>
            <w:pPr>
              <w:ind w:left="580"/>
              <w:spacing w:after="0"/>
              <w:rPr>
                <w:sz w:val="20"/>
                <w:szCs w:val="20"/>
                <w:color w:val="auto"/>
              </w:rPr>
            </w:pPr>
            <w:r>
              <w:rPr>
                <w:rFonts w:ascii="Courier New" w:cs="Courier New" w:eastAsia="Courier New" w:hAnsi="Courier New"/>
                <w:sz w:val="18"/>
                <w:szCs w:val="18"/>
                <w:color w:val="auto"/>
              </w:rPr>
              <w:t>2,372,405 Common Shares of Beneficial Interest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2,372,405 Common Shares of Beneficial Interest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w:t>
      </w:r>
    </w:p>
    <w:p>
      <w:pPr>
        <w:spacing w:after="0" w:line="201"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5.92% of the Common Shares of Beneficial Interest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1626 East Jefferson Street, Rockville, Maryland 20852-4041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left="1280" w:right="2199"/>
        <w:spacing w:after="0" w:line="235" w:lineRule="auto"/>
        <w:rPr>
          <w:sz w:val="20"/>
          <w:szCs w:val="20"/>
          <w:color w:val="auto"/>
        </w:rPr>
      </w:pPr>
      <w:r>
        <w:rPr>
          <w:rFonts w:ascii="Courier New" w:cs="Courier New" w:eastAsia="Courier New" w:hAnsi="Courier New"/>
          <w:sz w:val="18"/>
          <w:szCs w:val="18"/>
          <w:color w:val="auto"/>
        </w:rPr>
        <w:t>Security Capital Group Incorporated, a corporation organized and existing under the laws of Maryland ("SCGI").</w:t>
      </w:r>
    </w:p>
    <w:p>
      <w:pPr>
        <w:spacing w:after="0" w:line="203"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125 Lincoln Avenue, Santa Fe, New Mexico 87501</w:t>
      </w:r>
    </w:p>
    <w:p>
      <w:pPr>
        <w:spacing w:after="0" w:line="201"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Shares of Beneficial Interest, $.01 par value per share</w:t>
      </w:r>
    </w:p>
    <w:p>
      <w:pPr>
        <w:spacing w:after="0" w:line="201"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313747206</w:t>
      </w:r>
    </w:p>
    <w:p>
      <w:pPr>
        <w:spacing w:after="0" w:line="207" w:lineRule="exact"/>
        <w:rPr>
          <w:sz w:val="20"/>
          <w:szCs w:val="20"/>
          <w:color w:val="auto"/>
        </w:rPr>
      </w:pPr>
    </w:p>
    <w:p>
      <w:pPr>
        <w:ind w:left="960" w:right="2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3.</w:t>
        <w:tab/>
        <w:t>If this statement is filed pursuant to Rule 13d-1(b), or 13d-2(b) or (c), check whether the person filing is a:</w:t>
      </w:r>
    </w:p>
    <w:p>
      <w:pPr>
        <w:spacing w:after="0" w:line="208" w:lineRule="exact"/>
        <w:rPr>
          <w:sz w:val="20"/>
          <w:szCs w:val="20"/>
          <w:color w:val="auto"/>
        </w:rPr>
      </w:pPr>
    </w:p>
    <w:p>
      <w:pPr>
        <w:ind w:left="2220" w:right="2619" w:hanging="948"/>
        <w:spacing w:after="0" w:line="235" w:lineRule="auto"/>
        <w:tabs>
          <w:tab w:leader="none" w:pos="16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Exchange Act;</w:t>
      </w:r>
    </w:p>
    <w:p>
      <w:pPr>
        <w:spacing w:after="0" w:line="1" w:lineRule="exact"/>
        <w:rPr>
          <w:rFonts w:ascii="Courier New" w:cs="Courier New" w:eastAsia="Courier New" w:hAnsi="Courier New"/>
          <w:sz w:val="18"/>
          <w:szCs w:val="18"/>
          <w:color w:val="auto"/>
        </w:rPr>
      </w:pPr>
    </w:p>
    <w:p>
      <w:pPr>
        <w:ind w:left="1700" w:hanging="428"/>
        <w:spacing w:after="0" w:line="238" w:lineRule="auto"/>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4"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5" w:lineRule="exact"/>
        <w:rPr>
          <w:rFonts w:ascii="Courier New" w:cs="Courier New" w:eastAsia="Courier New" w:hAnsi="Courier New"/>
          <w:sz w:val="18"/>
          <w:szCs w:val="18"/>
          <w:color w:val="auto"/>
        </w:rPr>
      </w:pPr>
    </w:p>
    <w:p>
      <w:pPr>
        <w:ind w:left="2220" w:right="2519" w:hanging="948"/>
        <w:spacing w:after="0" w:line="235" w:lineRule="auto"/>
        <w:tabs>
          <w:tab w:leader="none" w:pos="16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1700" w:hanging="428"/>
        <w:spacing w:after="0" w:line="238" w:lineRule="auto"/>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Rule 13d-1(b)</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(1)(ii)(E);</w:t>
      </w:r>
    </w:p>
    <w:p>
      <w:pPr>
        <w:spacing w:after="0" w:line="4"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5" w:lineRule="exact"/>
        <w:rPr>
          <w:rFonts w:ascii="Courier New" w:cs="Courier New" w:eastAsia="Courier New" w:hAnsi="Courier New"/>
          <w:sz w:val="18"/>
          <w:szCs w:val="18"/>
          <w:color w:val="auto"/>
        </w:rPr>
      </w:pPr>
    </w:p>
    <w:p>
      <w:pPr>
        <w:ind w:left="2220" w:right="1779" w:hanging="948"/>
        <w:spacing w:after="0" w:line="236" w:lineRule="auto"/>
        <w:tabs>
          <w:tab w:leader="none" w:pos="16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1" w:lineRule="exact"/>
        <w:rPr>
          <w:rFonts w:ascii="Courier New" w:cs="Courier New" w:eastAsia="Courier New" w:hAnsi="Courier New"/>
          <w:sz w:val="18"/>
          <w:szCs w:val="18"/>
          <w:color w:val="auto"/>
        </w:rPr>
      </w:pPr>
    </w:p>
    <w:p>
      <w:pPr>
        <w:ind w:left="1700" w:hanging="428"/>
        <w:spacing w:after="0" w:line="238" w:lineRule="auto"/>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7 pages</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Amount Beneficially Owned:</w:t>
      </w:r>
    </w:p>
    <w:p>
      <w:pPr>
        <w:spacing w:after="0" w:line="207" w:lineRule="exact"/>
        <w:rPr>
          <w:sz w:val="20"/>
          <w:szCs w:val="20"/>
          <w:color w:val="auto"/>
        </w:rPr>
      </w:pPr>
    </w:p>
    <w:p>
      <w:pPr>
        <w:jc w:val="both"/>
        <w:ind w:left="1380" w:right="2519"/>
        <w:spacing w:after="0" w:line="279" w:lineRule="auto"/>
        <w:rPr>
          <w:sz w:val="20"/>
          <w:szCs w:val="20"/>
          <w:color w:val="auto"/>
        </w:rPr>
      </w:pPr>
      <w:r>
        <w:rPr>
          <w:rFonts w:ascii="Courier New" w:cs="Courier New" w:eastAsia="Courier New" w:hAnsi="Courier New"/>
          <w:sz w:val="16"/>
          <w:szCs w:val="16"/>
          <w:color w:val="auto"/>
        </w:rPr>
        <w:t>SCGI beneficially owns 2,372,405 Common Shares of Beneficial Interest by virtue of its position as the parent of Security Capital Research &amp; Management Incorporated.</w:t>
      </w:r>
    </w:p>
    <w:p>
      <w:pPr>
        <w:spacing w:after="0" w:line="173"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Percent of Class:</w:t>
      </w:r>
    </w:p>
    <w:p>
      <w:pPr>
        <w:spacing w:after="0" w:line="207" w:lineRule="exact"/>
        <w:rPr>
          <w:sz w:val="20"/>
          <w:szCs w:val="20"/>
          <w:color w:val="auto"/>
        </w:rPr>
      </w:pPr>
    </w:p>
    <w:p>
      <w:pPr>
        <w:ind w:left="1380" w:right="2199"/>
        <w:spacing w:after="0" w:line="236" w:lineRule="auto"/>
        <w:rPr>
          <w:sz w:val="20"/>
          <w:szCs w:val="20"/>
          <w:color w:val="auto"/>
        </w:rPr>
      </w:pPr>
      <w:r>
        <w:rPr>
          <w:rFonts w:ascii="Courier New" w:cs="Courier New" w:eastAsia="Courier New" w:hAnsi="Courier New"/>
          <w:sz w:val="18"/>
          <w:szCs w:val="18"/>
          <w:color w:val="auto"/>
        </w:rPr>
        <w:t>5.92% of the Common Shares of Beneficial Interest determined in accordance with the provisions of Rule 13d-1 promulgated under the Act.</w:t>
      </w:r>
    </w:p>
    <w:p>
      <w:pPr>
        <w:spacing w:after="0" w:line="203"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Number of shares as to which such person has:</w:t>
      </w:r>
    </w:p>
    <w:p>
      <w:pPr>
        <w:spacing w:after="0" w:line="201" w:lineRule="exact"/>
        <w:rPr>
          <w:sz w:val="20"/>
          <w:szCs w:val="20"/>
          <w:color w:val="auto"/>
        </w:rPr>
      </w:pPr>
    </w:p>
    <w:p>
      <w:pPr>
        <w:ind w:left="1380"/>
        <w:spacing w:after="0"/>
        <w:tabs>
          <w:tab w:leader="none" w:pos="19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(ii). Shared power to vote or to direct the vote:</w:t>
      </w:r>
    </w:p>
    <w:p>
      <w:pPr>
        <w:spacing w:after="0" w:line="207" w:lineRule="exact"/>
        <w:rPr>
          <w:sz w:val="20"/>
          <w:szCs w:val="20"/>
          <w:color w:val="auto"/>
        </w:rPr>
      </w:pPr>
    </w:p>
    <w:p>
      <w:pPr>
        <w:ind w:left="2000" w:right="1779"/>
        <w:spacing w:after="0" w:line="235" w:lineRule="auto"/>
        <w:rPr>
          <w:sz w:val="20"/>
          <w:szCs w:val="20"/>
          <w:color w:val="auto"/>
        </w:rPr>
      </w:pPr>
      <w:r>
        <w:rPr>
          <w:rFonts w:ascii="Courier New" w:cs="Courier New" w:eastAsia="Courier New" w:hAnsi="Courier New"/>
          <w:sz w:val="18"/>
          <w:szCs w:val="18"/>
          <w:color w:val="auto"/>
        </w:rPr>
        <w:t>SCGI has shared power to vote or direct the vote of 2,372,405 Common Shares of Beneficial Interest.</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(iii).Sole power to dispose or to direct the disposition of:</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spacing w:after="0" w:line="207" w:lineRule="exact"/>
        <w:rPr>
          <w:sz w:val="20"/>
          <w:szCs w:val="20"/>
          <w:color w:val="auto"/>
        </w:rPr>
      </w:pPr>
    </w:p>
    <w:p>
      <w:pPr>
        <w:ind w:left="2000" w:right="1779"/>
        <w:spacing w:after="0" w:line="290" w:lineRule="auto"/>
        <w:rPr>
          <w:sz w:val="20"/>
          <w:szCs w:val="20"/>
          <w:color w:val="auto"/>
        </w:rPr>
      </w:pPr>
      <w:r>
        <w:rPr>
          <w:rFonts w:ascii="Courier New" w:cs="Courier New" w:eastAsia="Courier New" w:hAnsi="Courier New"/>
          <w:sz w:val="16"/>
          <w:szCs w:val="16"/>
          <w:color w:val="auto"/>
        </w:rPr>
        <w:t>SCGI has shared power to dispose or to direct the disposition of 2,372,405 Common Shares of Beneficial Interest.</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380" w:right="1879"/>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Shares of Beneficial Interest. No one person's interest in the Common Shares of Beneficial Interest is more than five percent of the total outstanding Common Shares of Beneficial Interest.</w:t>
      </w:r>
    </w:p>
    <w:p>
      <w:pPr>
        <w:spacing w:after="0" w:line="210"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See attached 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7 pages</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center"/>
        <w:ind w:right="5779"/>
        <w:spacing w:after="0"/>
        <w:tabs>
          <w:tab w:leader="none" w:pos="2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13,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SECURITY CAPITAL GROUP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By:/s/ David T. Novick</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David T. Novick</w:t>
      </w:r>
    </w:p>
    <w:p>
      <w:pPr>
        <w:ind w:left="4440"/>
        <w:spacing w:after="0" w:line="238" w:lineRule="auto"/>
        <w:tabs>
          <w:tab w:leader="none" w:pos="53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6 of 7 pages</w:t>
      </w:r>
    </w:p>
    <w:p>
      <w:pPr>
        <w:sectPr>
          <w:pgSz w:w="11900" w:h="16838" w:orient="portrait"/>
          <w:cols w:equalWidth="0" w:num="1">
            <w:col w:w="10219"/>
          </w:cols>
          <w:pgMar w:left="240" w:top="717"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419" w:firstLine="948"/>
        <w:spacing w:after="0" w:line="272" w:lineRule="auto"/>
        <w:rPr>
          <w:sz w:val="20"/>
          <w:szCs w:val="20"/>
          <w:color w:val="auto"/>
        </w:rPr>
      </w:pPr>
      <w:r>
        <w:rPr>
          <w:rFonts w:ascii="Courier New" w:cs="Courier New" w:eastAsia="Courier New" w:hAnsi="Courier New"/>
          <w:sz w:val="16"/>
          <w:szCs w:val="16"/>
          <w:color w:val="auto"/>
        </w:rPr>
        <w:t>Pursuant to the instructions in Item 7 of this Schedule 13G, the identity and the Item 3 classification of the relevant subsidiary are: Security Capital Research &amp; Management Incorporated, 11 S. LaSalle Street, 2nd Floor, Chicago, Illinois 60603, an indirect wholly-owned subsidiary of Security Capital Group Incorporated and a registered investment adviser under Section 203 of the Investment Advisers Act of 1940.</w:t>
      </w: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7 of 7 pages</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9"/>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3"/>
    </w:lvl>
  </w:abstractNum>
  <w:abstractNum w:abstractNumId="10">
    <w:nsid w:val="3352255A"/>
    <w:multiLevelType w:val="hybridMultilevel"/>
    <w:lvl w:ilvl="0">
      <w:lvlJc w:val="left"/>
      <w:lvlText w:val="%1."/>
      <w:numFmt w:val="decimal"/>
      <w:start w:val="4"/>
    </w:lvl>
  </w:abstractNum>
  <w:abstractNum w:abstractNumId="11">
    <w:nsid w:val="109CF92E"/>
    <w:multiLevelType w:val="hybridMultilevel"/>
    <w:lvl w:ilvl="0">
      <w:lvlJc w:val="left"/>
      <w:lvlText w:val="%1."/>
      <w:numFmt w:val="decimal"/>
      <w:start w:val="9"/>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2019-12-11T18:16:39Z</dcterms:created>
  <dcterms:modified xsi:type="dcterms:W3CDTF">2019-12-11T18:16:39Z</dcterms:modified>
</cp:coreProperties>
</file>