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March 12, 2001</w:t>
      </w:r>
    </w:p>
    <w:p>
      <w:pPr>
        <w:ind w:left="5480"/>
        <w:spacing w:after="0" w:line="238" w:lineRule="auto"/>
        <w:rPr>
          <w:sz w:val="20"/>
          <w:szCs w:val="20"/>
          <w:color w:val="auto"/>
        </w:rPr>
      </w:pPr>
      <w:r>
        <w:rPr>
          <w:rFonts w:ascii="Courier New" w:cs="Courier New" w:eastAsia="Courier New" w:hAnsi="Courier New"/>
          <w:sz w:val="18"/>
          <w:szCs w:val="18"/>
          <w:color w:val="auto"/>
        </w:rPr>
        <w:t>Registration No. 333-</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jc w:val="center"/>
        <w:ind w:right="2200"/>
        <w:spacing w:after="0"/>
        <w:rPr>
          <w:sz w:val="20"/>
          <w:szCs w:val="20"/>
          <w:color w:val="auto"/>
        </w:rPr>
      </w:pPr>
      <w:r>
        <w:rPr>
          <w:rFonts w:ascii="Courier New" w:cs="Courier New" w:eastAsia="Courier New" w:hAnsi="Courier New"/>
          <w:sz w:val="18"/>
          <w:szCs w:val="18"/>
          <w:color w:val="auto"/>
        </w:rPr>
        <w:t>WASHINGTON, D.C. 20549</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jc w:val="center"/>
        <w:ind w:right="2200"/>
        <w:spacing w:after="0" w:line="238" w:lineRule="auto"/>
        <w:rPr>
          <w:sz w:val="20"/>
          <w:szCs w:val="20"/>
          <w:color w:val="auto"/>
        </w:rPr>
      </w:pPr>
      <w:r>
        <w:rPr>
          <w:rFonts w:ascii="Courier New" w:cs="Courier New" w:eastAsia="Courier New" w:hAnsi="Courier New"/>
          <w:sz w:val="18"/>
          <w:szCs w:val="18"/>
          <w:color w:val="auto"/>
        </w:rPr>
        <w:t>FORM S-3</w:t>
      </w:r>
    </w:p>
    <w:p>
      <w:pPr>
        <w:jc w:val="center"/>
        <w:ind w:right="220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640"/>
        <w:spacing w:after="0" w:line="237" w:lineRule="auto"/>
        <w:rPr>
          <w:sz w:val="20"/>
          <w:szCs w:val="20"/>
          <w:color w:val="auto"/>
        </w:rPr>
      </w:pPr>
      <w:r>
        <w:rPr>
          <w:rFonts w:ascii="Courier New" w:cs="Courier New" w:eastAsia="Courier New" w:hAnsi="Courier New"/>
          <w:sz w:val="18"/>
          <w:szCs w:val="18"/>
          <w:color w:val="auto"/>
        </w:rPr>
        <w:t>(Exact name of registrant as specified in its governing instrument)</w:t>
      </w:r>
    </w:p>
    <w:p>
      <w:pPr>
        <w:sectPr>
          <w:pgSz w:w="11900" w:h="16838" w:orient="portrait"/>
          <w:cols w:equalWidth="0" w:num="1">
            <w:col w:w="10640"/>
          </w:cols>
          <w:pgMar w:left="240" w:top="649" w:right="10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52-0782497</w:t>
      </w:r>
    </w:p>
    <w:p>
      <w:pPr>
        <w:spacing w:after="0" w:line="200" w:lineRule="exact"/>
        <w:rPr>
          <w:sz w:val="24"/>
          <w:szCs w:val="24"/>
          <w:color w:val="auto"/>
        </w:rPr>
      </w:pPr>
    </w:p>
    <w:p>
      <w:pPr>
        <w:sectPr>
          <w:pgSz w:w="11900" w:h="16838" w:orient="portrait"/>
          <w:cols w:equalWidth="0" w:num="2">
            <w:col w:w="4880" w:space="720"/>
            <w:col w:w="5040"/>
          </w:cols>
          <w:pgMar w:left="240" w:top="649" w:right="1019"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480" w:space="640"/>
            <w:col w:w="6520"/>
          </w:cols>
          <w:pgMar w:left="240" w:top="649" w:right="1019" w:bottom="0" w:gutter="0" w:footer="0" w:header="0"/>
          <w:type w:val="continuous"/>
        </w:sect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580"/>
        <w:spacing w:after="0"/>
        <w:rPr>
          <w:sz w:val="20"/>
          <w:szCs w:val="20"/>
          <w:color w:val="auto"/>
        </w:rPr>
      </w:pPr>
      <w:r>
        <w:rPr>
          <w:rFonts w:ascii="Courier New" w:cs="Courier New" w:eastAsia="Courier New" w:hAnsi="Courier New"/>
          <w:sz w:val="18"/>
          <w:szCs w:val="18"/>
          <w:color w:val="auto"/>
        </w:rPr>
        <w:t>301-998-8100</w:t>
      </w:r>
    </w:p>
    <w:p>
      <w:pPr>
        <w:jc w:val="center"/>
        <w:ind w:right="2300"/>
        <w:spacing w:after="0" w:line="237" w:lineRule="auto"/>
        <w:rPr>
          <w:sz w:val="20"/>
          <w:szCs w:val="20"/>
          <w:color w:val="auto"/>
        </w:rPr>
      </w:pPr>
      <w:r>
        <w:rPr>
          <w:rFonts w:ascii="Courier New" w:cs="Courier New" w:eastAsia="Courier New" w:hAnsi="Courier New"/>
          <w:sz w:val="18"/>
          <w:szCs w:val="18"/>
          <w:color w:val="auto"/>
        </w:rPr>
        <w:t>(Address and telephone number of principal executive offices)</w:t>
      </w:r>
    </w:p>
    <w:p>
      <w:pPr>
        <w:spacing w:after="0" w:line="202" w:lineRule="exact"/>
        <w:rPr>
          <w:sz w:val="24"/>
          <w:szCs w:val="24"/>
          <w:color w:val="auto"/>
        </w:rPr>
      </w:pPr>
    </w:p>
    <w:p>
      <w:pPr>
        <w:jc w:val="center"/>
        <w:ind w:right="2300"/>
        <w:spacing w:after="0"/>
        <w:rPr>
          <w:sz w:val="20"/>
          <w:szCs w:val="20"/>
          <w:color w:val="auto"/>
        </w:rPr>
      </w:pPr>
      <w:r>
        <w:rPr>
          <w:rFonts w:ascii="Courier New" w:cs="Courier New" w:eastAsia="Courier New" w:hAnsi="Courier New"/>
          <w:sz w:val="18"/>
          <w:szCs w:val="18"/>
          <w:color w:val="auto"/>
        </w:rPr>
        <w:t>Nancy J. Herman</w:t>
      </w:r>
    </w:p>
    <w:p>
      <w:pPr>
        <w:jc w:val="center"/>
        <w:ind w:right="2200"/>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2200"/>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7" w:lineRule="auto"/>
        <w:rPr>
          <w:sz w:val="20"/>
          <w:szCs w:val="20"/>
          <w:color w:val="auto"/>
        </w:rPr>
      </w:pPr>
      <w:r>
        <w:rPr>
          <w:rFonts w:ascii="Courier New" w:cs="Courier New" w:eastAsia="Courier New" w:hAnsi="Courier New"/>
          <w:sz w:val="18"/>
          <w:szCs w:val="18"/>
          <w:color w:val="auto"/>
        </w:rPr>
        <w:t>Rockville, Maryland 20852</w:t>
      </w:r>
    </w:p>
    <w:p>
      <w:pPr>
        <w:ind w:left="3580"/>
        <w:spacing w:after="0" w:line="238" w:lineRule="auto"/>
        <w:rPr>
          <w:sz w:val="20"/>
          <w:szCs w:val="20"/>
          <w:color w:val="auto"/>
        </w:rPr>
      </w:pPr>
      <w:r>
        <w:rPr>
          <w:rFonts w:ascii="Courier New" w:cs="Courier New" w:eastAsia="Courier New" w:hAnsi="Courier New"/>
          <w:sz w:val="18"/>
          <w:szCs w:val="18"/>
          <w:color w:val="auto"/>
        </w:rPr>
        <w:t>301-998-8100</w:t>
      </w:r>
    </w:p>
    <w:p>
      <w:pPr>
        <w:jc w:val="center"/>
        <w:ind w:right="230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Copies to:</w:t>
      </w:r>
    </w:p>
    <w:p>
      <w:pPr>
        <w:ind w:left="3060"/>
        <w:spacing w:after="0" w:line="237" w:lineRule="auto"/>
        <w:rPr>
          <w:sz w:val="20"/>
          <w:szCs w:val="20"/>
          <w:color w:val="auto"/>
        </w:rPr>
      </w:pPr>
      <w:r>
        <w:rPr>
          <w:rFonts w:ascii="Courier New" w:cs="Courier New" w:eastAsia="Courier New" w:hAnsi="Courier New"/>
          <w:sz w:val="18"/>
          <w:szCs w:val="18"/>
          <w:color w:val="auto"/>
        </w:rPr>
        <w:t>James E. Showen, Esq.</w:t>
      </w:r>
    </w:p>
    <w:p>
      <w:pPr>
        <w:ind w:left="3060"/>
        <w:spacing w:after="0"/>
        <w:rPr>
          <w:sz w:val="20"/>
          <w:szCs w:val="20"/>
          <w:color w:val="auto"/>
        </w:rPr>
      </w:pPr>
      <w:r>
        <w:rPr>
          <w:rFonts w:ascii="Courier New" w:cs="Courier New" w:eastAsia="Courier New" w:hAnsi="Courier New"/>
          <w:sz w:val="18"/>
          <w:szCs w:val="18"/>
          <w:color w:val="auto"/>
        </w:rPr>
        <w:t>HOGAN &amp; HARTSON L.L.P.</w:t>
      </w:r>
    </w:p>
    <w:p>
      <w:pPr>
        <w:ind w:left="2740"/>
        <w:spacing w:after="0" w:line="237" w:lineRule="auto"/>
        <w:rPr>
          <w:sz w:val="20"/>
          <w:szCs w:val="20"/>
          <w:color w:val="auto"/>
        </w:rPr>
      </w:pPr>
      <w:r>
        <w:rPr>
          <w:rFonts w:ascii="Courier New" w:cs="Courier New" w:eastAsia="Courier New" w:hAnsi="Courier New"/>
          <w:sz w:val="18"/>
          <w:szCs w:val="18"/>
          <w:color w:val="auto"/>
        </w:rPr>
        <w:t>555 Thirteenth Street, N.W.</w:t>
      </w:r>
    </w:p>
    <w:p>
      <w:pPr>
        <w:ind w:left="2740"/>
        <w:spacing w:after="0" w:line="238" w:lineRule="auto"/>
        <w:rPr>
          <w:sz w:val="20"/>
          <w:szCs w:val="20"/>
          <w:color w:val="auto"/>
        </w:rPr>
      </w:pPr>
      <w:r>
        <w:rPr>
          <w:rFonts w:ascii="Courier New" w:cs="Courier New" w:eastAsia="Courier New" w:hAnsi="Courier New"/>
          <w:sz w:val="18"/>
          <w:szCs w:val="18"/>
          <w:color w:val="auto"/>
        </w:rPr>
        <w:t>Washington, D.C. 20004-1109</w:t>
      </w:r>
    </w:p>
    <w:p>
      <w:pPr>
        <w:ind w:left="3480"/>
        <w:spacing w:after="0"/>
        <w:rPr>
          <w:sz w:val="20"/>
          <w:szCs w:val="20"/>
          <w:color w:val="auto"/>
        </w:rPr>
      </w:pPr>
      <w:r>
        <w:rPr>
          <w:rFonts w:ascii="Courier New" w:cs="Courier New" w:eastAsia="Courier New" w:hAnsi="Courier New"/>
          <w:sz w:val="18"/>
          <w:szCs w:val="18"/>
          <w:color w:val="auto"/>
        </w:rPr>
        <w:t>(202) 637-5600</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2520"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2300"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2420"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620"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520"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520"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6960"/>
        <w:spacing w:after="0"/>
        <w:rPr>
          <w:sz w:val="20"/>
          <w:szCs w:val="20"/>
          <w:color w:val="auto"/>
        </w:rPr>
      </w:pPr>
      <w:r>
        <w:rPr>
          <w:rFonts w:ascii="Courier New" w:cs="Courier New" w:eastAsia="Courier New" w:hAnsi="Courier New"/>
          <w:sz w:val="18"/>
          <w:szCs w:val="18"/>
          <w:color w:val="auto"/>
        </w:rPr>
        <w:t>Proposed</w:t>
      </w:r>
    </w:p>
    <w:p>
      <w:pPr>
        <w:ind w:left="6960"/>
        <w:spacing w:after="0" w:line="238" w:lineRule="auto"/>
        <w:rPr>
          <w:sz w:val="20"/>
          <w:szCs w:val="20"/>
          <w:color w:val="auto"/>
        </w:rPr>
      </w:pPr>
      <w:r>
        <w:rPr>
          <w:rFonts w:ascii="Courier New" w:cs="Courier New" w:eastAsia="Courier New" w:hAnsi="Courier New"/>
          <w:sz w:val="18"/>
          <w:szCs w:val="18"/>
          <w:color w:val="auto"/>
        </w:rPr>
        <w:t>Maximum</w:t>
      </w:r>
    </w:p>
    <w:p>
      <w:pPr>
        <w:ind w:left="2000"/>
        <w:spacing w:after="0"/>
        <w:tabs>
          <w:tab w:leader="none" w:pos="6420" w:val="left"/>
          <w:tab w:leader="none" w:pos="8840" w:val="left"/>
        </w:tabs>
        <w:rPr>
          <w:sz w:val="20"/>
          <w:szCs w:val="20"/>
          <w:color w:val="auto"/>
        </w:rPr>
      </w:pPr>
      <w:r>
        <w:rPr>
          <w:rFonts w:ascii="Courier New" w:cs="Courier New" w:eastAsia="Courier New" w:hAnsi="Courier New"/>
          <w:sz w:val="18"/>
          <w:szCs w:val="18"/>
          <w:color w:val="auto"/>
        </w:rPr>
        <w:t>Title of Each Class of</w:t>
      </w:r>
      <w:r>
        <w:rPr>
          <w:sz w:val="20"/>
          <w:szCs w:val="20"/>
          <w:color w:val="auto"/>
        </w:rPr>
        <w:tab/>
      </w:r>
      <w:r>
        <w:rPr>
          <w:rFonts w:ascii="Courier New" w:cs="Courier New" w:eastAsia="Courier New" w:hAnsi="Courier New"/>
          <w:sz w:val="18"/>
          <w:szCs w:val="18"/>
          <w:color w:val="auto"/>
        </w:rPr>
        <w:t>Aggregate Offering</w:t>
      </w:r>
      <w:r>
        <w:rPr>
          <w:sz w:val="20"/>
          <w:szCs w:val="20"/>
          <w:color w:val="auto"/>
        </w:rPr>
        <w:tab/>
      </w:r>
      <w:r>
        <w:rPr>
          <w:rFonts w:ascii="Courier New" w:cs="Courier New" w:eastAsia="Courier New" w:hAnsi="Courier New"/>
          <w:sz w:val="16"/>
          <w:szCs w:val="16"/>
          <w:color w:val="auto"/>
        </w:rPr>
        <w:t>Amount of</w:t>
      </w:r>
    </w:p>
    <w:p>
      <w:pPr>
        <w:ind w:left="1700"/>
        <w:spacing w:after="0"/>
        <w:tabs>
          <w:tab w:leader="none" w:pos="6940" w:val="left"/>
          <w:tab w:leader="none" w:pos="8420" w:val="left"/>
        </w:tabs>
        <w:rPr>
          <w:sz w:val="20"/>
          <w:szCs w:val="20"/>
          <w:color w:val="auto"/>
        </w:rPr>
      </w:pPr>
      <w:r>
        <w:rPr>
          <w:rFonts w:ascii="Courier New" w:cs="Courier New" w:eastAsia="Courier New" w:hAnsi="Courier New"/>
          <w:sz w:val="18"/>
          <w:szCs w:val="18"/>
          <w:color w:val="auto"/>
        </w:rPr>
        <w:t>Securities to be Registered</w:t>
      </w:r>
      <w:r>
        <w:rPr>
          <w:sz w:val="20"/>
          <w:szCs w:val="20"/>
          <w:color w:val="auto"/>
        </w:rPr>
        <w:tab/>
      </w:r>
      <w:r>
        <w:rPr>
          <w:rFonts w:ascii="Courier New" w:cs="Courier New" w:eastAsia="Courier New" w:hAnsi="Courier New"/>
          <w:sz w:val="18"/>
          <w:szCs w:val="18"/>
          <w:color w:val="auto"/>
        </w:rPr>
        <w:t>Price(1)</w:t>
      </w:r>
      <w:r>
        <w:rPr>
          <w:sz w:val="20"/>
          <w:szCs w:val="20"/>
          <w:color w:val="auto"/>
        </w:rPr>
        <w:tab/>
      </w:r>
      <w:r>
        <w:rPr>
          <w:rFonts w:ascii="Courier New" w:cs="Courier New" w:eastAsia="Courier New" w:hAnsi="Courier New"/>
          <w:sz w:val="16"/>
          <w:szCs w:val="16"/>
          <w:color w:val="auto"/>
        </w:rPr>
        <w:t>Registration Fee(1)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20"/>
                <w:szCs w:val="20"/>
                <w:color w:val="auto"/>
              </w:rPr>
            </w:pPr>
            <w:r>
              <w:rPr>
                <w:rFonts w:ascii="Courier New" w:cs="Courier New" w:eastAsia="Courier New" w:hAnsi="Courier New"/>
                <w:sz w:val="18"/>
                <w:szCs w:val="18"/>
                <w:color w:val="auto"/>
              </w:rPr>
              <w:t>Common Shares of Beneficial Interest, $.01 par value(2).....</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$7,000,000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$1,750.00</w:t>
            </w:r>
          </w:p>
        </w:tc>
      </w:tr>
    </w:tbl>
    <w:p>
      <w:pPr>
        <w:sectPr>
          <w:pgSz w:w="11900" w:h="16838" w:orient="portrait"/>
          <w:cols w:equalWidth="0" w:num="1">
            <w:col w:w="10640"/>
          </w:cols>
          <w:pgMar w:left="240" w:top="649" w:right="1019" w:bottom="0" w:gutter="0" w:footer="0" w:header="0"/>
          <w:type w:val="continuous"/>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Determined pursuant to Rule 457(o) under the Securities Act of 1933.</w:t>
      </w:r>
    </w:p>
    <w:p>
      <w:pPr>
        <w:spacing w:after="0" w:line="4" w:lineRule="exact"/>
        <w:rPr>
          <w:rFonts w:ascii="Courier New" w:cs="Courier New" w:eastAsia="Courier New" w:hAnsi="Courier New"/>
          <w:sz w:val="16"/>
          <w:szCs w:val="16"/>
          <w:color w:val="auto"/>
        </w:rPr>
      </w:pPr>
    </w:p>
    <w:p>
      <w:pPr>
        <w:ind w:left="420" w:right="187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Includes associated rights to purchase common shares of beneficial interest of the Registrant.</w:t>
      </w: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information in this prospectus is not complete and may be changed. The + +selling shareholders identified herein may not sell the securities covered by +</w:t>
      </w:r>
    </w:p>
    <w:tbl>
      <w:tblPr>
        <w:tblLayout w:type="fixed"/>
        <w:tblInd w:w="0" w:type="dxa"/>
        <w:tblCellMar>
          <w:top w:w="0" w:type="dxa"/>
          <w:left w:w="0" w:type="dxa"/>
          <w:bottom w:w="0" w:type="dxa"/>
          <w:right w:w="0" w:type="dxa"/>
        </w:tblCellMar>
      </w:tblPr>
      <w:tr>
        <w:trPr>
          <w:trHeight w:val="199"/>
        </w:trPr>
        <w:tc>
          <w:tcPr>
            <w:tcW w:w="17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+this prospectus</w:t>
            </w:r>
          </w:p>
        </w:tc>
        <w:tc>
          <w:tcPr>
            <w:tcW w:w="22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9"/>
              </w:rPr>
              <w:t>until the Securities</w:t>
            </w:r>
          </w:p>
        </w:tc>
        <w:tc>
          <w:tcPr>
            <w:tcW w:w="4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and</w:t>
            </w:r>
          </w:p>
        </w:tc>
        <w:tc>
          <w:tcPr>
            <w:tcW w:w="3840" w:type="dxa"/>
            <w:vAlign w:val="bottom"/>
            <w:gridSpan w:val="2"/>
          </w:tcPr>
          <w:p>
            <w:pPr>
              <w:jc w:val="right"/>
              <w:ind w:right="332"/>
              <w:spacing w:after="0" w:line="198" w:lineRule="exact"/>
              <w:rPr>
                <w:sz w:val="20"/>
                <w:szCs w:val="20"/>
                <w:color w:val="auto"/>
              </w:rPr>
            </w:pPr>
            <w:r>
              <w:rPr>
                <w:rFonts w:ascii="Courier New" w:cs="Courier New" w:eastAsia="Courier New" w:hAnsi="Courier New"/>
                <w:sz w:val="18"/>
                <w:szCs w:val="18"/>
                <w:color w:val="auto"/>
                <w:w w:val="98"/>
              </w:rPr>
              <w:t>Exchange Commission declares the</w:t>
            </w:r>
          </w:p>
        </w:tc>
        <w:tc>
          <w:tcPr>
            <w:tcW w:w="2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+registration statement of which this</w:t>
            </w:r>
          </w:p>
        </w:tc>
        <w:tc>
          <w:tcPr>
            <w:tcW w:w="42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prospectus is a part effective. This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+prospectus is not an offer to sell these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and it is not soliciting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 offer to buy</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these securities in any state where</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such an offer or sale 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permitted.</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779"/>
        <w:spacing w:after="0" w:line="290" w:lineRule="auto"/>
        <w:rPr>
          <w:sz w:val="20"/>
          <w:szCs w:val="20"/>
          <w:color w:val="auto"/>
        </w:rPr>
      </w:pPr>
      <w:r>
        <w:rPr>
          <w:rFonts w:ascii="Courier New" w:cs="Courier New" w:eastAsia="Courier New" w:hAnsi="Courier New"/>
          <w:sz w:val="16"/>
          <w:szCs w:val="16"/>
          <w:color w:val="auto"/>
        </w:rPr>
        <w:t>++++++++++++++++++++++++++++++++++++++++++++++++++++++++++++++++++++++++++++++++ Subject to completion, dated March 12, 2001</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persons listed herein, who are shareholders of Federal Realty Investment</w:t>
      </w:r>
    </w:p>
    <w:p>
      <w:pPr>
        <w:spacing w:after="0" w:line="4"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Trust, may offer and sell from time to time up to common shares of beneficial interest under this prospectus. We refer to such persons as the selling shareholders. We are registering the offered shares as required under the terms of a registration rights agreement between the selling shareholders and us. Our registration of the offered shares does not mean that any of the selling shareholders will offer or sell any of the offered shares. We will receive no proceeds of any sales of the offered shares by the selling shareholders, but we will incur expenses in connection with the offering.</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selling shareholders may sell the offered shares in public or private transactions, on or off the New York Stock Exchange, at prevailing market prices or at privately negotiated prices. The selling shareholders may sell the offered shares directly or through agents or broker-dealers acting as principal or agent, or in a distribution by underwriters.</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"FRT."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Investing in our common shares involves risks. See "Risk Factors" beginning on page 3.</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of these offered shares, or determined if this prospectus is truthful or complete. It is illegal for any person to tell you otherwise.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bl>
    <w:p>
      <w:pPr>
        <w:sectPr>
          <w:pgSz w:w="11900" w:h="16838" w:orient="portrait"/>
          <w:cols w:equalWidth="0" w:num="1">
            <w:col w:w="10219"/>
          </w:cols>
          <w:pgMar w:left="240" w:top="723"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796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About This Prospectus .....................................................</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 .......................................</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Disclosure Regarding Forward-Looking Statements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Proceeds to Us..........................................................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Shareholders.......................................................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Federal Income Tax Consequences............................................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This prospectus is part of a registration statement on Form S-3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18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This prospectus provides you with a general description of the offered shares. Each time a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jc w:val="both"/>
        <w:ind w:right="2099" w:firstLine="316"/>
        <w:spacing w:after="0" w:line="268"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Commission. You may read and copy materials that we have filed with the Commission, including the registration statement, at the</w:t>
      </w:r>
    </w:p>
    <w:tbl>
      <w:tblPr>
        <w:tblLayout w:type="fixed"/>
        <w:tblInd w:w="0" w:type="dxa"/>
        <w:tblCellMar>
          <w:top w:w="0" w:type="dxa"/>
          <w:left w:w="0" w:type="dxa"/>
          <w:bottom w:w="0" w:type="dxa"/>
          <w:right w:w="0" w:type="dxa"/>
        </w:tblCellMar>
      </w:tblPr>
      <w:tr>
        <w:trPr>
          <w:trHeight w:val="199"/>
        </w:trPr>
        <w:tc>
          <w:tcPr>
            <w:tcW w:w="216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following Commission</w:t>
            </w:r>
          </w:p>
        </w:tc>
        <w:tc>
          <w:tcPr>
            <w:tcW w:w="7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public</w:t>
            </w:r>
          </w:p>
        </w:tc>
        <w:tc>
          <w:tcPr>
            <w:tcW w:w="11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reference</w:t>
            </w:r>
          </w:p>
        </w:tc>
        <w:tc>
          <w:tcPr>
            <w:tcW w:w="172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rooms:</w:t>
            </w:r>
          </w:p>
        </w:tc>
        <w:tc>
          <w:tcPr>
            <w:tcW w:w="2700" w:type="dxa"/>
            <w:vAlign w:val="bottom"/>
          </w:tcPr>
          <w:p>
            <w:pPr>
              <w:spacing w:after="0"/>
              <w:rPr>
                <w:sz w:val="17"/>
                <w:szCs w:val="17"/>
                <w:color w:val="auto"/>
              </w:rPr>
            </w:pPr>
          </w:p>
        </w:tc>
      </w:tr>
      <w:tr>
        <w:trPr>
          <w:trHeight w:val="405"/>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w w:val="99"/>
              </w:rPr>
              <w:t>450 Fifth Street,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N.W.</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7 World Trade</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Center</w:t>
            </w: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West Madison Street</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Room 1024</w:t>
            </w:r>
          </w:p>
        </w:tc>
        <w:tc>
          <w:tcPr>
            <w:tcW w:w="74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Suite 1300</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Suite 1400</w:t>
            </w:r>
          </w:p>
        </w:tc>
      </w:tr>
      <w:tr>
        <w:trPr>
          <w:trHeight w:val="203"/>
        </w:trPr>
        <w:tc>
          <w:tcPr>
            <w:tcW w:w="2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New</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York 10048</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Chicago, Illinois 60661</w:t>
            </w:r>
          </w:p>
        </w:tc>
      </w:tr>
    </w:tbl>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Please call the Commission at 1-800-SEC-0330 for further information on the public reference rooms.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Commission filings can also be read at the following address: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 Stock Exchange</w:t>
      </w:r>
    </w:p>
    <w:p>
      <w:pPr>
        <w:ind w:left="540"/>
        <w:spacing w:after="0" w:line="238" w:lineRule="auto"/>
        <w:rPr>
          <w:sz w:val="20"/>
          <w:szCs w:val="20"/>
          <w:color w:val="auto"/>
        </w:rPr>
      </w:pPr>
      <w:r>
        <w:rPr>
          <w:rFonts w:ascii="Courier New" w:cs="Courier New" w:eastAsia="Courier New" w:hAnsi="Courier New"/>
          <w:sz w:val="18"/>
          <w:szCs w:val="18"/>
          <w:color w:val="auto"/>
        </w:rPr>
        <w:t>20 Broad Street</w:t>
      </w:r>
    </w:p>
    <w:p>
      <w:pPr>
        <w:ind w:left="54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316"/>
        <w:spacing w:after="0" w:line="235" w:lineRule="auto"/>
        <w:rPr>
          <w:sz w:val="20"/>
          <w:szCs w:val="20"/>
          <w:color w:val="auto"/>
        </w:rPr>
      </w:pPr>
      <w:r>
        <w:rPr>
          <w:rFonts w:ascii="Courier New" w:cs="Courier New" w:eastAsia="Courier New" w:hAnsi="Courier New"/>
          <w:sz w:val="18"/>
          <w:szCs w:val="18"/>
          <w:color w:val="auto"/>
        </w:rPr>
        <w:t>Our Commission filings are also available to the public on the Commission's Web Site at http://www.sec.gov.</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Commission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made with the Commission under Sections 13(a), 13(c), 14 or 15(d) of the Securities Exchange Act of 1934 until all of the offered securities to which this prospectus relates have been sold or the offering is otherwise terminated.</w:t>
      </w:r>
    </w:p>
    <w:p>
      <w:pPr>
        <w:spacing w:after="0" w:line="178" w:lineRule="exact"/>
        <w:rPr>
          <w:sz w:val="20"/>
          <w:szCs w:val="20"/>
          <w:color w:val="auto"/>
        </w:rPr>
      </w:pPr>
    </w:p>
    <w:p>
      <w:pPr>
        <w:ind w:left="540" w:hanging="321"/>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1999.</w:t>
      </w:r>
    </w:p>
    <w:p>
      <w:pPr>
        <w:spacing w:after="0" w:line="206" w:lineRule="exact"/>
        <w:rPr>
          <w:rFonts w:ascii="Courier New" w:cs="Courier New" w:eastAsia="Courier New" w:hAnsi="Courier New"/>
          <w:sz w:val="18"/>
          <w:szCs w:val="18"/>
          <w:color w:val="auto"/>
        </w:rPr>
      </w:pPr>
    </w:p>
    <w:p>
      <w:pPr>
        <w:ind w:left="540" w:right="2419" w:hanging="321"/>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 for the quarters ended March 31, 2000, June 30, 2000 and September 30, 2000.</w:t>
      </w:r>
    </w:p>
    <w:p>
      <w:pPr>
        <w:spacing w:after="0" w:line="208" w:lineRule="exact"/>
        <w:rPr>
          <w:rFonts w:ascii="Courier New" w:cs="Courier New" w:eastAsia="Courier New" w:hAnsi="Courier New"/>
          <w:sz w:val="18"/>
          <w:szCs w:val="18"/>
          <w:color w:val="auto"/>
        </w:rPr>
      </w:pPr>
    </w:p>
    <w:p>
      <w:pPr>
        <w:ind w:left="540" w:right="2939" w:hanging="321"/>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dated March 31, 2000, June 30, 2000, September 30, 2000 and December 31, 2000.</w:t>
      </w:r>
    </w:p>
    <w:p>
      <w:pPr>
        <w:spacing w:after="0" w:line="208" w:lineRule="exact"/>
        <w:rPr>
          <w:rFonts w:ascii="Courier New" w:cs="Courier New" w:eastAsia="Courier New" w:hAnsi="Courier New"/>
          <w:sz w:val="18"/>
          <w:szCs w:val="18"/>
          <w:color w:val="auto"/>
        </w:rPr>
      </w:pPr>
    </w:p>
    <w:p>
      <w:pPr>
        <w:ind w:left="540" w:right="2099" w:hanging="321"/>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a Registration Statement on Form 8-A/A filed on March 12, 2001.</w:t>
      </w:r>
    </w:p>
    <w:p>
      <w:pPr>
        <w:spacing w:after="0" w:line="208" w:lineRule="exact"/>
        <w:rPr>
          <w:rFonts w:ascii="Courier New" w:cs="Courier New" w:eastAsia="Courier New" w:hAnsi="Courier New"/>
          <w:sz w:val="18"/>
          <w:szCs w:val="18"/>
          <w:color w:val="auto"/>
        </w:rPr>
      </w:pPr>
    </w:p>
    <w:p>
      <w:pPr>
        <w:jc w:val="both"/>
        <w:ind w:left="540" w:right="3259" w:hanging="321"/>
        <w:spacing w:after="0" w:line="290"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a Registration Statement on Form 8-A/A filed on March 11, 1999.</w:t>
      </w:r>
    </w:p>
    <w:p>
      <w:pPr>
        <w:spacing w:after="0" w:line="17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You may request a copy of these filings, at no cost, by writing us at the following address or telephoning us at (301) 998-8100 between the hours of 9:00 a.m. and 4:00 p.m., Eastern Time:</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Andrew Blocher</w:t>
      </w:r>
    </w:p>
    <w:p>
      <w:pPr>
        <w:ind w:left="320"/>
        <w:spacing w:after="0" w:line="238" w:lineRule="auto"/>
        <w:rPr>
          <w:sz w:val="20"/>
          <w:szCs w:val="20"/>
          <w:color w:val="auto"/>
        </w:rPr>
      </w:pPr>
      <w:r>
        <w:rPr>
          <w:rFonts w:ascii="Courier New" w:cs="Courier New" w:eastAsia="Courier New" w:hAnsi="Courier New"/>
          <w:sz w:val="18"/>
          <w:szCs w:val="18"/>
          <w:color w:val="auto"/>
        </w:rPr>
        <w:t>Vice President--Investor Relations and Finance</w:t>
      </w: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7" w:lineRule="auto"/>
        <w:rPr>
          <w:sz w:val="20"/>
          <w:szCs w:val="20"/>
          <w:color w:val="auto"/>
        </w:rPr>
      </w:pPr>
      <w:r>
        <w:rPr>
          <w:rFonts w:ascii="Courier New" w:cs="Courier New" w:eastAsia="Courier New" w:hAnsi="Courier New"/>
          <w:sz w:val="18"/>
          <w:szCs w:val="18"/>
          <w:color w:val="auto"/>
        </w:rPr>
        <w:t>1626 East Jefferson Street</w:t>
      </w:r>
    </w:p>
    <w:p>
      <w:pPr>
        <w:ind w:left="320"/>
        <w:spacing w:after="0" w:line="238" w:lineRule="auto"/>
        <w:rPr>
          <w:sz w:val="20"/>
          <w:szCs w:val="20"/>
          <w:color w:val="auto"/>
        </w:rPr>
      </w:pPr>
      <w:r>
        <w:rPr>
          <w:rFonts w:ascii="Courier New" w:cs="Courier New" w:eastAsia="Courier New" w:hAnsi="Courier New"/>
          <w:sz w:val="18"/>
          <w:szCs w:val="18"/>
          <w:color w:val="auto"/>
        </w:rPr>
        <w:t>Rockville, Maryland 20852</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Such factors include, among others,</w:t>
      </w:r>
    </w:p>
    <w:p>
      <w:pPr>
        <w:spacing w:after="0" w:line="182"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business strategy;</w:t>
      </w:r>
    </w:p>
    <w:p>
      <w:pPr>
        <w:spacing w:after="0" w:line="207" w:lineRule="exact"/>
        <w:rPr>
          <w:sz w:val="20"/>
          <w:szCs w:val="20"/>
          <w:color w:val="auto"/>
        </w:rPr>
      </w:pPr>
    </w:p>
    <w:p>
      <w:pPr>
        <w:ind w:left="540" w:right="241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business conditions which will affect the credit worthiness of tenants;</w:t>
      </w:r>
    </w:p>
    <w:p>
      <w:pPr>
        <w:spacing w:after="0" w:line="203"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availability and cost;</w:t>
      </w:r>
    </w:p>
    <w:p>
      <w:pPr>
        <w:spacing w:after="0" w:line="201" w:lineRule="exact"/>
        <w:rPr>
          <w:sz w:val="20"/>
          <w:szCs w:val="20"/>
          <w:color w:val="auto"/>
        </w:rPr>
      </w:pPr>
    </w:p>
    <w:p>
      <w:pPr>
        <w:ind w:left="540" w:hanging="321"/>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retailing trends and rental rates;</w:t>
      </w:r>
    </w:p>
    <w:p>
      <w:pPr>
        <w:spacing w:after="0" w:line="207" w:lineRule="exact"/>
        <w:rPr>
          <w:sz w:val="20"/>
          <w:szCs w:val="20"/>
          <w:color w:val="auto"/>
        </w:rPr>
      </w:pPr>
    </w:p>
    <w:p>
      <w:pPr>
        <w:ind w:left="540" w:right="2319" w:hanging="321"/>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of real estate development and acquisitions, including the risk that potential acquisitions or development projects may not perform in accordance with expectations;</w:t>
      </w:r>
    </w:p>
    <w:p>
      <w:pPr>
        <w:spacing w:after="0" w:line="209" w:lineRule="exact"/>
        <w:rPr>
          <w:sz w:val="20"/>
          <w:szCs w:val="20"/>
          <w:color w:val="auto"/>
        </w:rPr>
      </w:pPr>
    </w:p>
    <w:p>
      <w:pPr>
        <w:ind w:left="540" w:right="2839" w:hanging="321"/>
        <w:spacing w:after="0" w:line="279"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satisfy the complex rules in order to qualify for taxation as a REIT for federal income tax purposes and to operate effectively within the limitations imposed by these rules;</w:t>
      </w:r>
    </w:p>
    <w:p>
      <w:pPr>
        <w:spacing w:after="0" w:line="178" w:lineRule="exact"/>
        <w:rPr>
          <w:sz w:val="20"/>
          <w:szCs w:val="20"/>
          <w:color w:val="auto"/>
        </w:rPr>
      </w:pPr>
    </w:p>
    <w:p>
      <w:pPr>
        <w:ind w:left="540" w:right="2319" w:hanging="321"/>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approvals, actions and initiatives including the need for compliance with environmental and safety requirements, and changes in laws and regulations or the interpretation thereof; and</w:t>
      </w:r>
    </w:p>
    <w:p>
      <w:pPr>
        <w:spacing w:after="0" w:line="209" w:lineRule="exact"/>
        <w:rPr>
          <w:sz w:val="20"/>
          <w:szCs w:val="20"/>
          <w:color w:val="auto"/>
        </w:rPr>
      </w:pPr>
    </w:p>
    <w:p>
      <w:pPr>
        <w:ind w:left="4020" w:right="3359" w:hanging="3801"/>
        <w:spacing w:after="0" w:line="470" w:lineRule="auto"/>
        <w:tabs>
          <w:tab w:leader="none" w:pos="5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with other real estate companies and technology. iii</w:t>
      </w:r>
    </w:p>
    <w:p>
      <w:pPr>
        <w:sectPr>
          <w:pgSz w:w="11900" w:h="16838" w:orient="portrait"/>
          <w:cols w:equalWidth="0" w:num="1">
            <w:col w:w="10219"/>
          </w:cols>
          <w:pgMar w:left="240" w:top="723" w:right="1440" w:bottom="977" w:gutter="0" w:footer="0" w:header="0"/>
        </w:sectPr>
      </w:pPr>
    </w:p>
    <w:bookmarkStart w:id="5" w:name="page6"/>
    <w:bookmarkEnd w:id="5"/>
    <w:p>
      <w:pPr>
        <w:ind w:right="1999" w:firstLine="316"/>
        <w:spacing w:after="0" w:line="237" w:lineRule="auto"/>
        <w:rPr>
          <w:sz w:val="20"/>
          <w:szCs w:val="20"/>
          <w:color w:val="auto"/>
        </w:rPr>
      </w:pPr>
      <w:r>
        <w:rPr>
          <w:rFonts w:ascii="Courier New" w:cs="Courier New" w:eastAsia="Courier New" w:hAnsi="Courier New"/>
          <w:sz w:val="18"/>
          <w:szCs w:val="18"/>
          <w:color w:val="auto"/>
        </w:rPr>
        <w:t>We identify forward-looking statements in this prospectus and other materials filed or to be filed by us with the Commission and 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As used in this prospectus, references to "we," "our," the "Trust" and "Federal Realty" and similar references are to Federal Realty Investment Trust, a Maryland real estate investment trust and its consolidated subsidiaries.</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own, manage, develop and redevelop prime retail properties. Founded in 1962, we are a self-administered equity real estate investment trust. We currently own 123 retail or mixed-use properties containing 14.9 million square feet and one apartment complex.</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 important part of our strategy has been to acquire older, well-located properties in prime, densely populated and affluent areas and to enhance their operating performance through a program of renovation, expansion, reconfiguration and retenanting. 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retail and mixed-use buildings in prime established main street shopping areas. In addition, since 1997, we have obtained control of various land parcels and have devoted substantial resources for the purpose of developing urban mixed-use projects that center around the retail component. We believe that these mixed-use developments are an important source of our growth in the future.</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continually evaluate our properties for renovation, retenanting and expansion opportunities. Similarly, we regularly review our portfolio and from time to time consider selling properties that no longer fit our investment criteria and therefore should be monetized or exchanged into other real estate assets. Proceeds from the sale of such properties may be used to acquire other properties, including funding for development projects and for other capital needs.</w:t>
      </w:r>
    </w:p>
    <w:p>
      <w:pPr>
        <w:spacing w:after="0" w:line="211"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Although we usually purchase a 100% fee interest in our acquisitions, on occasion, we have entered into leases as a means of acquiring control of properties. In addition, we have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our common shares and may be convertible into our common shares. The majority of acquisitions are funded with cash, but, on occasion, we use debt financing. Since a significant portion of cash provided by operating activities is distributed to common and preferred shareholders, capital outlays for acquisitions, developments and redevelopments typically require debt or equity funding.</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properties are located in numerous states, including Arizona, California, Connecticut, Florida, Illinois, Maryland, Massachusetts, Michigan, New York, New Jersey, North Carolina, Oregon, Pennsylvania, Texas and Virginia and the District of Columbia. No single property accounts for over 10% of our revenues.</w:t>
      </w:r>
    </w:p>
    <w:p>
      <w:pPr>
        <w:spacing w:after="0" w:line="209"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operate on an asset management model, where small focused teams are responsible for a portfolio of assets. We have divided our portfolio of properties into three operating regions: the Northeast, Mid-Atlantic and West. Each region is operated under the direction of a regional chief operating officer, with dedicated leasing, property management and financial staff and operates largely autonomously with respect to day-to-day operating decisions.</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approximately 2,100 tenants, ranging from sole proprietors to major national retailers; no one tenant or corporate group of tenants accounts for over 2.1% of our revenues. Our leases with these tenants are classified as operating leases and typically are structured to include minimum rents, percentage rents based on tenants' gross sales volumes and reimbursement of certain operating expenses and real estate taxes.</w:t>
      </w:r>
    </w:p>
    <w:p>
      <w:pPr>
        <w:spacing w:after="0" w:line="210"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continue to seek older, well-located shopping centers and retail buildings to acquire, renovate, retenant and remerchandise, thereby enhancing their revenue potential. We also continue to identify and secure additional sites for new development.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767"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6"/>
          <w:szCs w:val="16"/>
          <w:color w:val="auto"/>
        </w:rPr>
        <w:t>Our shares are traded on the New York Stock Exchange under the symbol "FRT."</w:t>
      </w:r>
    </w:p>
    <w:p>
      <w:pPr>
        <w:spacing w:after="0" w:line="224" w:lineRule="exact"/>
        <w:rPr>
          <w:sz w:val="20"/>
          <w:szCs w:val="20"/>
          <w:color w:val="auto"/>
        </w:rPr>
      </w:pPr>
    </w:p>
    <w:p>
      <w:pPr>
        <w:ind w:right="2099" w:firstLine="316"/>
        <w:spacing w:after="0" w:line="290" w:lineRule="auto"/>
        <w:rPr>
          <w:sz w:val="20"/>
          <w:szCs w:val="20"/>
          <w:color w:val="auto"/>
        </w:rPr>
      </w:pPr>
      <w:r>
        <w:rPr>
          <w:rFonts w:ascii="Courier New" w:cs="Courier New" w:eastAsia="Courier New" w:hAnsi="Courier New"/>
          <w:sz w:val="16"/>
          <w:szCs w:val="16"/>
          <w:color w:val="auto"/>
        </w:rPr>
        <w:t>Our principal executive offices are located at 1626 East Jefferson Street, Rockville, Maryland 20852 and our telephone number is (301) 998-8100.</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risks should be carefully considered by prospective investors in our common shares.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Risks relating to owning, operating and developing retail and mixed-use real estate</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We may be unable to renew leases or relet space as leases expire which may result in reduced cash flow and may adversely affect our ability to make distributions to shareholders. If our tenants decide not to renew their leases upon their expiration, we may not be able to relet the space promptly. Even if the tenants do renew or we can relet the space, the terms of renewal or reletting, including the cost of required renovations may be less favorable than current lease terms. From January 1, 2001 through December 31, 2005, leases, excluding leases with options to renew, will expire on a total of 2.6 million rentable square feet or 18% of the rentable square feet at our current properties. If we are unable to promptly renew the leases or relet this space, or if the rental rates upon such renewal or reletting are significantly lower than expected rates, then our cash flow and ability to make distributions to shareholders may suffer.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Revenue from our properties depends in part on the success of our tenants' retail revenue, making us vulnerable to general economic downturns and other conditions affecting the retail industry. Our leases provide for base rent plus contractual base rent increases. A number of our leases also include a percentage rent clause for additional rent above the base amount based upon a specified percentage of the revenues our tenants generate.</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our percentage rent leases, our revenue from tenants may increase as revenues of our tenants increase. Generally, retailers face declining revenues during downturns in the economy. In addition, traditional retailers are facing increasing competition from Internet sales. To the extent that the Internet is successful in attracting customers away from our tenants, our tenants' revenues could be adversely affected. As a result, the portion of our revenue which we derive from percentage rent leases could decline upon a general economic downturn and competition from Internet sales.</w:t>
      </w:r>
    </w:p>
    <w:p>
      <w:pPr>
        <w:spacing w:after="0" w:line="212"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There are operating risks common to owners of retail properties. Our retail properties are subject to all operating risks common to retail developments, including the risks associated with changing economic conditions that affect the retail industry as a whole. Such risks include the following:</w:t>
      </w:r>
    </w:p>
    <w:p>
      <w:pPr>
        <w:spacing w:after="0" w:line="177" w:lineRule="exact"/>
        <w:rPr>
          <w:sz w:val="20"/>
          <w:szCs w:val="20"/>
          <w:color w:val="auto"/>
        </w:rPr>
      </w:pPr>
    </w:p>
    <w:p>
      <w:pPr>
        <w:ind w:left="540" w:hanging="321"/>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retail properties and developers;</w:t>
      </w:r>
    </w:p>
    <w:p>
      <w:pPr>
        <w:spacing w:after="0" w:line="207" w:lineRule="exact"/>
        <w:rPr>
          <w:sz w:val="20"/>
          <w:szCs w:val="20"/>
          <w:color w:val="auto"/>
        </w:rPr>
      </w:pPr>
    </w:p>
    <w:p>
      <w:pPr>
        <w:ind w:left="540" w:right="2099" w:hanging="321"/>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excessive building of comparable properties or increases in unemployment in the areas in which our properties are located which may adversely affect occupancy levels or rental rates;</w:t>
      </w:r>
    </w:p>
    <w:p>
      <w:pPr>
        <w:spacing w:after="0" w:line="209" w:lineRule="exact"/>
        <w:rPr>
          <w:sz w:val="20"/>
          <w:szCs w:val="20"/>
          <w:color w:val="auto"/>
        </w:rPr>
      </w:pPr>
    </w:p>
    <w:p>
      <w:pPr>
        <w:ind w:left="540" w:right="2319" w:hanging="321"/>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operating costs due to inflation and other factors, which increases may not necessarily be offset by increased rents;</w:t>
      </w:r>
    </w:p>
    <w:p>
      <w:pPr>
        <w:spacing w:after="0" w:line="203" w:lineRule="exact"/>
        <w:rPr>
          <w:sz w:val="20"/>
          <w:szCs w:val="20"/>
          <w:color w:val="auto"/>
        </w:rPr>
      </w:pPr>
    </w:p>
    <w:p>
      <w:pPr>
        <w:ind w:left="540" w:hanging="321"/>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or unwillingness of tenants to pay rent increases;</w:t>
      </w:r>
    </w:p>
    <w:p>
      <w:pPr>
        <w:spacing w:after="0" w:line="207" w:lineRule="exact"/>
        <w:rPr>
          <w:sz w:val="20"/>
          <w:szCs w:val="20"/>
          <w:color w:val="auto"/>
        </w:rPr>
      </w:pPr>
    </w:p>
    <w:p>
      <w:pPr>
        <w:ind w:left="540" w:right="2319" w:hanging="321"/>
        <w:spacing w:after="0" w:line="23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general economic conditions or consumer preferences that affect our tenants or that result in the merger, closing or relocation of our tenants;</w:t>
      </w:r>
    </w:p>
    <w:p>
      <w:pPr>
        <w:spacing w:after="0" w:line="209" w:lineRule="exact"/>
        <w:rPr>
          <w:sz w:val="20"/>
          <w:szCs w:val="20"/>
          <w:color w:val="auto"/>
        </w:rPr>
      </w:pPr>
    </w:p>
    <w:p>
      <w:pPr>
        <w:ind w:left="540" w:right="2099" w:hanging="321"/>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by local rental markets of the extent to which rents may be increased to meet increased expenses without decreasing occupancy rates; and</w:t>
      </w:r>
    </w:p>
    <w:p>
      <w:pPr>
        <w:spacing w:after="0" w:line="209" w:lineRule="exact"/>
        <w:rPr>
          <w:sz w:val="20"/>
          <w:szCs w:val="20"/>
          <w:color w:val="auto"/>
        </w:rPr>
      </w:pPr>
    </w:p>
    <w:p>
      <w:pPr>
        <w:ind w:left="540" w:right="2099" w:hanging="321"/>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enactment of laws regulating public places, including present and possible future laws relating to access by disabled persons.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9" w:name="page10"/>
    <w:bookmarkEnd w:id="9"/>
    <w:p>
      <w:pPr>
        <w:ind w:right="1879" w:firstLine="316"/>
        <w:spacing w:after="0" w:line="238" w:lineRule="auto"/>
        <w:rPr>
          <w:sz w:val="20"/>
          <w:szCs w:val="20"/>
          <w:color w:val="auto"/>
        </w:rPr>
      </w:pPr>
      <w:r>
        <w:rPr>
          <w:rFonts w:ascii="Courier New" w:cs="Courier New" w:eastAsia="Courier New" w:hAnsi="Courier New"/>
          <w:sz w:val="18"/>
          <w:szCs w:val="18"/>
          <w:color w:val="auto"/>
        </w:rPr>
        <w:t>The development of urban mixed-use properties is a new line of business for us and presents us with substantial risks we have not faced before. We have devoted substantial resources, including money and manpower, to our business of developing urban mixed-use properties. At December 31, 2000, we have invested $162 million in development in progress of three projects. During 2001 and 2002, we estimate that we will spend $258 million and $161 million, respectively, to complete these three projects, which are located in Bethesda, Maryland, Arlington, Virginia and San Jose, California. There are other companies who develop mixed-use properties with whom we will compete and they may have significantly more resources and experience in this business than we do. The business of developing properties has many risks, as noted in the paragraph below. As we continue to devote substantial time and money to this line of business, if it is not successful, it may adversely affect our financial condition and results of operations.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face a variety of risks relating to our development, construction and renovation activities, any of which may negatively impact our results of operations. We intend to develop, construct and renovate properties, particularly in urban areas undergoing revitalization initiatives. Risks associated with development, construction and renovation activities include the risks that:</w:t>
      </w:r>
    </w:p>
    <w:p>
      <w:pPr>
        <w:spacing w:after="0" w:line="210" w:lineRule="exact"/>
        <w:rPr>
          <w:sz w:val="20"/>
          <w:szCs w:val="20"/>
          <w:color w:val="auto"/>
        </w:rPr>
      </w:pPr>
    </w:p>
    <w:p>
      <w:pPr>
        <w:ind w:left="540" w:right="2419" w:hanging="321"/>
        <w:spacing w:after="0" w:line="275"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abandon a development opportunity after expending significant resources if we determine that the development opportunity is not feasible or if we are unable to obtain all necessary zoning and other required governmental permits and authorizations;</w:t>
      </w:r>
    </w:p>
    <w:p>
      <w:pPr>
        <w:spacing w:after="0" w:line="182" w:lineRule="exact"/>
        <w:rPr>
          <w:sz w:val="20"/>
          <w:szCs w:val="20"/>
          <w:color w:val="auto"/>
        </w:rPr>
      </w:pPr>
    </w:p>
    <w:p>
      <w:pPr>
        <w:ind w:left="540" w:right="231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construction and renovation costs of a project may exceed original estimates;</w:t>
      </w:r>
    </w:p>
    <w:p>
      <w:pPr>
        <w:spacing w:after="0" w:line="203" w:lineRule="exact"/>
        <w:rPr>
          <w:sz w:val="20"/>
          <w:szCs w:val="20"/>
          <w:color w:val="auto"/>
        </w:rPr>
      </w:pPr>
    </w:p>
    <w:p>
      <w:pPr>
        <w:ind w:left="540" w:hanging="321"/>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attract the type of tenants we want;</w:t>
      </w:r>
    </w:p>
    <w:p>
      <w:pPr>
        <w:spacing w:after="0" w:line="207" w:lineRule="exact"/>
        <w:rPr>
          <w:sz w:val="20"/>
          <w:szCs w:val="20"/>
          <w:color w:val="auto"/>
        </w:rPr>
      </w:pPr>
    </w:p>
    <w:p>
      <w:pPr>
        <w:ind w:left="540" w:right="2739" w:hanging="321"/>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occupancy rates and rents at a newly completed property may not be sufficient to make the property profitable;</w:t>
      </w:r>
    </w:p>
    <w:p>
      <w:pPr>
        <w:spacing w:after="0" w:line="208" w:lineRule="exact"/>
        <w:rPr>
          <w:sz w:val="20"/>
          <w:szCs w:val="20"/>
          <w:color w:val="auto"/>
        </w:rPr>
      </w:pPr>
    </w:p>
    <w:p>
      <w:pPr>
        <w:ind w:left="540" w:right="3039" w:hanging="321"/>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and/or permanent financing may not be available on favorable terms or may not be available at all; and</w:t>
      </w:r>
    </w:p>
    <w:p>
      <w:pPr>
        <w:spacing w:after="0" w:line="208" w:lineRule="exact"/>
        <w:rPr>
          <w:sz w:val="20"/>
          <w:szCs w:val="20"/>
          <w:color w:val="auto"/>
        </w:rPr>
      </w:pPr>
    </w:p>
    <w:p>
      <w:pPr>
        <w:ind w:left="540" w:right="2319" w:hanging="321"/>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projects may not be completed on schedule as a result of several factors, many of which are beyond our control like weather, labor conditions and material shortages, resulting in increased debt service expense and construction costs and decreases in revenue.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Properties we develop or acquire for development may generate little or no cash flow from the date of acquisition through the date of completion of development and may experience operating deficits after the date of completion. In addition, new development and renovation activities, regardless of whether or not they are ultimately successful, may require a substantial portion of management's time and attention.</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Our Santana Row development project is the largest, most expensive project we have undertaken and if it is not successful, it could have a material adverse effect on our financial condition and results of operations. We are developing a mixed-use project in San Jose, California, known as "Santana Row," phase I of which is anticipated to cost approximately $475 million. Santana Row is significantly larger than any development project we have undertaken in the past, and, given its size relative to our size as a whole, the risks associated with Santana Row, while similar in nature to the risks associated with other development projects, are of a much greater magnitude and have the potential to significantly and negatively impact us as a whole. We have a commitment from three lenders for up to $295 million in construction financing for Santana Row; however, the commitment is subject to customary lender due diligence, and funding is subject to satisfaction of leasing and other contingencies.</w:t>
      </w:r>
    </w:p>
    <w:p>
      <w:pPr>
        <w:spacing w:after="0" w:line="38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Competition for acquisitions results in increased prices for, and lower returns on, properties. We expect other major real estate investors will compete with us for attractive investment and development opportunities. These competitors include other publicly traded REITs, private REITs, investment banking firms, private institutional investment funds, opportunity funds and local, regional and national developers. This competition increases prices for properties which will result in lower returns on our investments. Many of our competitors are larger than we are and have greater financial resources than we do.</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362" w:gutter="0" w:footer="0" w:header="0"/>
        </w:sectPr>
      </w:pPr>
    </w:p>
    <w:bookmarkStart w:id="10" w:name="page11"/>
    <w:bookmarkEnd w:id="10"/>
    <w:p>
      <w:pPr>
        <w:ind w:right="1879" w:firstLine="316"/>
        <w:spacing w:after="0" w:line="237" w:lineRule="auto"/>
        <w:rPr>
          <w:sz w:val="20"/>
          <w:szCs w:val="20"/>
          <w:color w:val="auto"/>
        </w:rPr>
      </w:pPr>
      <w:r>
        <w:rPr>
          <w:rFonts w:ascii="Courier New" w:cs="Courier New" w:eastAsia="Courier New" w:hAnsi="Courier New"/>
          <w:sz w:val="18"/>
          <w:szCs w:val="18"/>
          <w:color w:val="auto"/>
        </w:rPr>
        <w:t>Acquired properties may fail to perform as expected, adversely affecting our financial condition. We may acquire retail properties to the extent that they can be acquired on advantageous terms, meet our investment criteria and we are able to obtain capital on commercially reasonable terms. Newly acquired properties may fail to perform as we expect. We may underestimate the costs necessary to bring an acquired property up to standards established for its intended market position. These failures could adversely affect our financial condition and results of operations.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expenses remain relatively constant even if our revenue drops. The expenses of owning and operating a property, including mortgage payments, real estate taxes, insurance and maintenance costs, are not necessarily reduced when market factors and competition may require us to reduce rents we charge on a property to attract or retain tenants. Furthermore, if our operating expenses increase, the local rental market may limit the extent to which we can raise rents without decreasing occupancy rates. If we cannot increase rents or control our costs, our financial condition and results of operations may be adversely affected.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substantial level of indebtedness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Scheduled debt payments could adversely affect our financial condition and our ability to make distributions to shareholders. Like many owners of real estate, we rely on borrowings and debt issuances to assist us in acquiring, holding and developing properties. As of January 31, 2001, we have $937.3 million of debt outstanding, including $102 million drawn on our $300 million revolving credit facility. We also may incur additional debt in connection with future property acquisitions or development, construction or redevelopment activities. Consequently, our business will be affected by risks normally associated with debt financing. If we cannot refinance, extend or pay principal payments due at maturity with proceeds of other capital transactions, including new equity capital, our cash flow will not be sufficient in all years to repay all maturing debt. If prevailing interest rates or other factors at the time of refinancing, including the possible reluctance of lenders to make commercial loans, result in higher interest rates, increased interest expense would adversely affect our cash flow and our ability to make distributions to shareholders.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obligation to comply with financial covenants in our debt could restrict our range of operating activities. Our outstanding indebtedness contains customary financial covenants that could restrict our ability to incur indebtedness, including requiring us to:</w:t>
      </w:r>
    </w:p>
    <w:p>
      <w:pPr>
        <w:spacing w:after="0" w:line="202" w:lineRule="exact"/>
        <w:rPr>
          <w:sz w:val="20"/>
          <w:szCs w:val="20"/>
          <w:color w:val="auto"/>
        </w:rPr>
      </w:pPr>
    </w:p>
    <w:p>
      <w:pPr>
        <w:ind w:left="540" w:hanging="321"/>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as a percentage of our assets;</w:t>
      </w:r>
    </w:p>
    <w:p>
      <w:pPr>
        <w:spacing w:after="0" w:line="207" w:lineRule="exact"/>
        <w:rPr>
          <w:sz w:val="20"/>
          <w:szCs w:val="20"/>
          <w:color w:val="auto"/>
        </w:rPr>
      </w:pPr>
    </w:p>
    <w:p>
      <w:pPr>
        <w:ind w:left="540" w:right="2839" w:hanging="321"/>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secured debt as a percentage of our total assets;</w:t>
      </w:r>
    </w:p>
    <w:p>
      <w:pPr>
        <w:spacing w:after="0" w:line="208" w:lineRule="exact"/>
        <w:rPr>
          <w:sz w:val="20"/>
          <w:szCs w:val="20"/>
          <w:color w:val="auto"/>
        </w:rPr>
      </w:pPr>
    </w:p>
    <w:p>
      <w:pPr>
        <w:ind w:left="540" w:right="2099" w:hanging="321"/>
        <w:spacing w:after="0" w:line="235"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so we can maintain specified ratios between payments we have to make on our debt and our income;</w:t>
      </w:r>
    </w:p>
    <w:p>
      <w:pPr>
        <w:spacing w:after="0" w:line="208" w:lineRule="exact"/>
        <w:rPr>
          <w:sz w:val="20"/>
          <w:szCs w:val="20"/>
          <w:color w:val="auto"/>
        </w:rPr>
      </w:pPr>
    </w:p>
    <w:p>
      <w:pPr>
        <w:ind w:left="540" w:right="2099" w:hanging="321"/>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so we can maintain specified ratios between our unencumbered assets and our unsecured debt; and</w:t>
      </w:r>
    </w:p>
    <w:p>
      <w:pPr>
        <w:spacing w:after="0" w:line="203" w:lineRule="exact"/>
        <w:rPr>
          <w:sz w:val="20"/>
          <w:szCs w:val="20"/>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development projects as a percentage of our assets.</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have no limitation on debt incurrence which could result in us incurring more debt than we can service. Our organizational documents do not contain any limitation on the amount of indebtedness we may incur. Accordingly, we could become highly leveraged, resulting in an increase in debt service that could increase our risk of default on our indebtedness, which would adversely affect our cash flow and our ability to make distributions to shareholders.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depend on external sources of capital for future growth. As with other REITs, but unlike corporations generally, our ability to reduce our debt and finance our growth largely must be funded by external sources of capital because we generally will have to distribute to our shareholders 90% of our taxable income in order to qualify as a REIT, including taxable income where we do not receive corresponding cash. For taxable years prior to January 1, 2001, we were required to distribute 95% of our taxable income to qualify as a REIT. Our access to external capital will depend upon a number of factors, including general market conditions, the market's perception of our growth potential, our current and potential future earnings, cash distributions and the market price of our common shares.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59"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Risks relating to the real estate industry</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Because real estate investments are illiquid, we may not be able to sell properties when appropriate, which could adversely affect our financial condition. Real estate investments generally cannot be sold quickly. As a result, we may not be able to diversify our portfolio promptly in response to economic or other conditions. Our inability to respond rapidly to changes in the performance of our investments could adversely affect our financial condition and results of operations.</w:t>
      </w:r>
    </w:p>
    <w:p>
      <w:pPr>
        <w:spacing w:after="0" w:line="211"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Our performance and share value will be affected by risks associated with the real estate industry. Factors that may adversely affect the economic performance and value of our properties include:</w:t>
      </w:r>
    </w:p>
    <w:p>
      <w:pPr>
        <w:spacing w:after="0" w:line="203" w:lineRule="exact"/>
        <w:rPr>
          <w:sz w:val="20"/>
          <w:szCs w:val="20"/>
          <w:color w:val="auto"/>
        </w:rPr>
      </w:pPr>
    </w:p>
    <w:p>
      <w:pPr>
        <w:ind w:left="540" w:hanging="321"/>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national, regional and local economic climate;</w:t>
      </w:r>
    </w:p>
    <w:p>
      <w:pPr>
        <w:spacing w:after="0" w:line="207" w:lineRule="exact"/>
        <w:rPr>
          <w:sz w:val="20"/>
          <w:szCs w:val="20"/>
          <w:color w:val="auto"/>
        </w:rPr>
      </w:pPr>
    </w:p>
    <w:p>
      <w:pPr>
        <w:ind w:left="540" w:right="2099" w:hanging="321"/>
        <w:spacing w:after="0" w:line="290"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conditions such as an oversupply of, or a reduction in demand for, main street retail, residential, office or shopping center properties;</w:t>
      </w:r>
    </w:p>
    <w:p>
      <w:pPr>
        <w:spacing w:after="0" w:line="170" w:lineRule="exact"/>
        <w:rPr>
          <w:sz w:val="20"/>
          <w:szCs w:val="20"/>
          <w:color w:val="auto"/>
        </w:rPr>
      </w:pPr>
    </w:p>
    <w:p>
      <w:pPr>
        <w:ind w:left="540" w:right="2099" w:hanging="321"/>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attractiveness of our properties to shoppers, residents and tenants; and</w:t>
      </w:r>
    </w:p>
    <w:p>
      <w:pPr>
        <w:spacing w:after="0" w:line="208" w:lineRule="exact"/>
        <w:rPr>
          <w:sz w:val="20"/>
          <w:szCs w:val="20"/>
          <w:color w:val="auto"/>
        </w:rPr>
      </w:pPr>
    </w:p>
    <w:p>
      <w:pPr>
        <w:ind w:left="540" w:right="2419" w:hanging="321"/>
        <w:spacing w:after="0" w:line="236"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main street retail and mixed-use properties as well as community shopping centers, regional shopping malls and the Internet.</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we co-invest in properties with third parties, we may not control the management of those properties. We may co-invest in properties with third parties through partnerships, joint ventures or other vehicles. In some of these co-investments, we may acquire non-controlling interests in, or shared management responsibility for, the affairs of the property and, therefore, may not be able to control decisions relating to the property. Even in co-investments where we do control ordinary management of the property, we may not be able to sell or finance the property without the consent of our co-investor. Where we acquire non-controlling interests, our co-investors may be in a position to take action contrary to our instructions or requests and contrary to our policies or objectives. If we share management responsibilities, we and our co-investor may reach an impasse on major decisions, such as a sale, because neither we nor our co-investor would have full control over the management of the investment property.</w:t>
      </w:r>
    </w:p>
    <w:p>
      <w:pPr>
        <w:spacing w:after="0" w:line="208"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Co-investments may create increased bankruptcy, liability and other risks. Co-investments in partnerships, joint ventures or other vehicles may involve risks not present were a third party not involved, including the possibility that:</w:t>
      </w:r>
    </w:p>
    <w:p>
      <w:pPr>
        <w:spacing w:after="0" w:line="207" w:lineRule="exact"/>
        <w:rPr>
          <w:sz w:val="20"/>
          <w:szCs w:val="20"/>
          <w:color w:val="auto"/>
        </w:rPr>
      </w:pPr>
    </w:p>
    <w:p>
      <w:pPr>
        <w:ind w:left="540" w:right="2619" w:hanging="321"/>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fail to fund their share of required capital contributions;</w:t>
      </w:r>
    </w:p>
    <w:p>
      <w:pPr>
        <w:spacing w:after="0" w:line="208" w:lineRule="exact"/>
        <w:rPr>
          <w:sz w:val="20"/>
          <w:szCs w:val="20"/>
          <w:color w:val="auto"/>
        </w:rPr>
      </w:pPr>
    </w:p>
    <w:p>
      <w:pPr>
        <w:ind w:left="540" w:right="2099" w:hanging="321"/>
        <w:spacing w:after="0" w:line="236"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at any time have economic or other business interests or goals which are inconsistent with our business interests or goals; and</w:t>
      </w:r>
    </w:p>
    <w:p>
      <w:pPr>
        <w:spacing w:after="0" w:line="203" w:lineRule="exact"/>
        <w:rPr>
          <w:sz w:val="20"/>
          <w:szCs w:val="20"/>
          <w:color w:val="auto"/>
        </w:rPr>
      </w:pPr>
    </w:p>
    <w:p>
      <w:pPr>
        <w:ind w:left="540" w:hanging="321"/>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liable for the actions of our co-investors.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potential losses are not covered by insurance. We carry comprehensive liability, fire, extended coverage and rental loss insurance on our properties. There are, however, some types of losses, such as lease and other contract claims, that generally are not insured. Should an uninsured loss or a loss in excess of insured limits occur, we could lose all or a portion of the capital we have invested in a property, as well as the anticipated future revenue from the property. In that event, we may nevertheless remain obligated for any mortgage debt or other financial obligations related to the property.</w:t>
      </w:r>
    </w:p>
    <w:p>
      <w:pPr>
        <w:spacing w:after="0" w:line="1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carry earthquake insurance on all of our properties in California. Our earthquake policies contain coverage limitations. We also carry environmental insurance on most of our properties, which policies also contain coverage limitations. We cannot assure shareholders that material losses in excess of insurance proceeds will not occur in the future.</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Environmental problems are possible and can be costly. Federal, state and local laws and regulations relating to the protection of the environment may require a current or previous owner or operator of real estate to investigate and clean up hazardous or toxic substances or petroleum product releases at such property. If unidentified environmental problems arise, we may have to make substantial payments which could adversely affect our cash flow.</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0" w:gutter="0" w:footer="0" w:header="0"/>
        </w:sectPr>
      </w:pPr>
    </w:p>
    <w:bookmarkStart w:id="12" w:name="page13"/>
    <w:bookmarkEnd w:id="12"/>
    <w:p>
      <w:pPr>
        <w:ind w:right="2419" w:firstLine="316"/>
        <w:spacing w:after="0" w:line="237" w:lineRule="auto"/>
        <w:rPr>
          <w:sz w:val="20"/>
          <w:szCs w:val="20"/>
          <w:color w:val="auto"/>
        </w:rPr>
      </w:pPr>
      <w:r>
        <w:rPr>
          <w:rFonts w:ascii="Courier New" w:cs="Courier New" w:eastAsia="Courier New" w:hAnsi="Courier New"/>
          <w:sz w:val="18"/>
          <w:szCs w:val="18"/>
          <w:color w:val="auto"/>
        </w:rPr>
        <w:t>Environmental laws also govern the presence, maintenance and removal of asbestos. These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 number of our properties have environmental problems, mostly relating to soil and groundwater contamination. We or the responsible party are addressing the problems as required by applicable laws and we do not believe that there will be any material adverse impact on our financial condition or results of operations as a result of these issues.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owning our common shares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common shares that are or become available for sale could affect the price for our common shares. Sales of a substantial number of our common shares, or the perception that sales could occur, could adversely affect prevailing market prices for our common shares. In addition, holders of limited partnership interests in some of our subsidiary partnerships have the right to receive common shares for those limited partnership interests and upon registration or an exemption from registration will be able to sell their shares freely after they are received, unless the person is our affiliate. Further, a substantial number of our common shares have been and will be issued or reserved for issuance from time to time under our employee benefit plans, including shares paid to officers and some employees as bonuses pursuant to our incentive compensation plans and our common shares reserved for options, and these common shares would be available for sale in the public markets from time to time pursuant to exemptions from registration or upon registration. Moreover, the issuance of additional common shares by us in the future would be available for sale in the public markets. We can make no prediction about the effect that future sales of our common shares would have on the market price of our common shares.</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earnings and cash distributions will affect the market price of our common shares. We believe that the market value of a REIT's equity securities is based primarily upon the market's perception of the REIT's growth potential and its current and potential future cash distributions, whether from operations, sales, acquisitions, development or refinancings, and is secondarily based upon the value of the underlying assets. For that reason, our common shares may trade at prices that are higher or lower than our net asset value per share. To the extent we retain operating cash flow for investment purposes, working capital reserves or other purposes rather than distributing such cash flow to shareholders, these retained funds, while increasing the value of our underlying assets, may not correspondingly increase the market price of our common shares. Our failure to meet the market's expectation with regard to future earnings and cash distributions would likely adversely affect the market price of our common shares.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Market interest rates may affect the price of our common shares. One of the factors that investors consider important in deciding whether to buy or sell shares of a REIT is the distribution rate on such shares, considered as a percentage of the price of such shares, relative to market interest rates. If market interest rates increase, prospective purchasers of REIT shares may expect a higher distribution rate. Thus, higher market interest rates could cause the market price of our shares to go down.</w:t>
      </w:r>
    </w:p>
    <w:p>
      <w:pPr>
        <w:spacing w:after="0" w:line="211"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If our key personnel leave, our business may be adversely affected. We depend on the efforts of our executive officers, particularly Steven J. Guttman, Donald C. Wood and Ron D. Kaplan. If any of them resigned, our operations could be adversely affected. We have an employment agreement with Steven J. Guttman and severance agreements with all other executive officers.</w:t>
      </w:r>
    </w:p>
    <w:p>
      <w:pPr>
        <w:spacing w:after="0" w:line="18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relating to provisions in our governing documents and Maryland law, including limiting changes in control</w:t>
      </w:r>
    </w:p>
    <w:p>
      <w:pPr>
        <w:spacing w:after="0" w:line="208"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board of trustees may make changes in our operating policies without shareholder approval. Our investment, financing and borrowing policies and our policies with respect to all other activities, such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growth, debt, capitalization and operations, will be determined by our board of trustees. Our board of trustees may amend or revise these policies at any time and from time to time at its discretion without a vote of our shareholders. A change in these policies could adversely affect our financial condition, results of operations and the market price of our securities.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Provisions of our declaration of trust and bylaws and Maryland law could inhibit changes in control. Provisions of our declaration of trust and bylaws and Maryland law contain provisions that may delay or prevent a change in control or other transaction that could provide our shareholders with a premium over the then-prevailing market price of their shares or which might otherwise be in their best interests. These provisions include:</w:t>
      </w:r>
    </w:p>
    <w:p>
      <w:pPr>
        <w:spacing w:after="0" w:line="210" w:lineRule="exact"/>
        <w:rPr>
          <w:sz w:val="20"/>
          <w:szCs w:val="20"/>
          <w:color w:val="auto"/>
        </w:rPr>
      </w:pPr>
    </w:p>
    <w:p>
      <w:pPr>
        <w:ind w:left="540" w:right="2199" w:hanging="321"/>
        <w:spacing w:after="0" w:line="272" w:lineRule="auto"/>
        <w:tabs>
          <w:tab w:leader="none" w:pos="5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authority to issue preferred shares without shareholder approval. Our board of trustees can issue preferred shares having a preference as to dividends or distributions upon liquidation over our common shares without shareholder approval. The issuance of preferred shares could adversely affect the voting power of the holders of our common shares and could be used to discourage, delay or prevent a change in control.</w:t>
      </w:r>
    </w:p>
    <w:p>
      <w:pPr>
        <w:spacing w:after="0" w:line="186" w:lineRule="exact"/>
        <w:rPr>
          <w:sz w:val="20"/>
          <w:szCs w:val="20"/>
          <w:color w:val="auto"/>
        </w:rPr>
      </w:pPr>
    </w:p>
    <w:p>
      <w:pPr>
        <w:ind w:left="540" w:right="2099" w:hanging="321"/>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Staggered board of trustees and fixed size of board of trustees, within a range. Our board of trustees currently consists of six trustees and is divided into three classes with each class being elected for three-year terms. The board can change the size of the board anywhere between three and 15 trustees by a two-thirds vote of the board. These provisions may make it more difficult for a third party to gain control of our board because at least two annual meetings of shareholders, instead of one, would generally be required to effect a change in a majority of our board of trustees.</w:t>
      </w:r>
    </w:p>
    <w:p>
      <w:pPr>
        <w:spacing w:after="0" w:line="214" w:lineRule="exact"/>
        <w:rPr>
          <w:sz w:val="20"/>
          <w:szCs w:val="20"/>
          <w:color w:val="auto"/>
        </w:rPr>
      </w:pPr>
    </w:p>
    <w:p>
      <w:pPr>
        <w:ind w:left="540" w:right="2319" w:hanging="321"/>
        <w:spacing w:after="0" w:line="237"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of special meetings. A special meeting of our shareholders may be called only by the president, by two-thirds of the trustees or by shareholders possessing not less than 25% of all the votes entitled to be cast at such meeting, which limits the ability of shareholders to call special meetings.</w:t>
      </w:r>
    </w:p>
    <w:p>
      <w:pPr>
        <w:spacing w:after="0" w:line="209" w:lineRule="exact"/>
        <w:rPr>
          <w:sz w:val="20"/>
          <w:szCs w:val="20"/>
          <w:color w:val="auto"/>
        </w:rPr>
      </w:pPr>
    </w:p>
    <w:p>
      <w:pPr>
        <w:ind w:left="540" w:right="2099" w:hanging="321"/>
        <w:spacing w:after="0" w:line="237"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additional shares of beneficial interest and classify and reclassify shares of beneficial interest. Our board of trustees, without a shareholder vote, can classify or reclassify unissued shares of beneficial interest, including the reclassification of common shares into preferred shares and vice versa.</w:t>
      </w:r>
    </w:p>
    <w:p>
      <w:pPr>
        <w:spacing w:after="0" w:line="209" w:lineRule="exact"/>
        <w:rPr>
          <w:sz w:val="20"/>
          <w:szCs w:val="20"/>
          <w:color w:val="auto"/>
        </w:rPr>
      </w:pPr>
    </w:p>
    <w:p>
      <w:pPr>
        <w:ind w:left="540" w:right="2099" w:hanging="321"/>
        <w:spacing w:after="0" w:line="237"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Two-thirds shareholder vote required to approve some amendments to the declaration of trust. A two-thirds vote of the outstanding common shares is required for approval of amendments to the foregoing provisions which are contained in our declaration of trust. These supermajority vote requirements may make it difficult for our shareholders to amend our declaration of trust.</w:t>
      </w:r>
    </w:p>
    <w:p>
      <w:pPr>
        <w:spacing w:after="0" w:line="210" w:lineRule="exact"/>
        <w:rPr>
          <w:sz w:val="20"/>
          <w:szCs w:val="20"/>
          <w:color w:val="auto"/>
        </w:rPr>
      </w:pPr>
    </w:p>
    <w:p>
      <w:pPr>
        <w:ind w:left="540" w:right="2099" w:hanging="321"/>
        <w:spacing w:after="0" w:line="238"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notice requirements for proposals to be presented at shareholder meetings. We have an advance notice bylaw provision that requires shareholders intending to present nominations for trustees or other business for consideration at an annual meeting of shareholders to notify us not later than the close of business on the 120th day prior to the first anniversary of the date of the proxy statement for the preceding year's annual meeting. For a special meeting of shareholders, shareholders must notify us a reasonable amount of time before we print and mail the proxy materials for the special meeting. This provision limits the ability of shareholders to make nominations for trustees or introduce other proposals that are not timely received for consideration at a meeting.</w:t>
      </w:r>
    </w:p>
    <w:p>
      <w:pPr>
        <w:spacing w:after="0" w:line="207" w:lineRule="exact"/>
        <w:rPr>
          <w:sz w:val="20"/>
          <w:szCs w:val="20"/>
          <w:color w:val="auto"/>
        </w:rPr>
      </w:pPr>
    </w:p>
    <w:p>
      <w:pPr>
        <w:ind w:left="540" w:right="2099" w:hanging="321"/>
        <w:spacing w:after="0" w:line="270" w:lineRule="auto"/>
        <w:tabs>
          <w:tab w:leader="none" w:pos="5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Maryland law limitations on changes in control. Provisions of Maryland corporate law applicable to Maryland REITs prohibit some "business combinations," including some issuances of equity securities, between a Maryland REIT and any person who owns 10% or more of the voting power of the REIT's capital shares, or an "interested shareholder," unless the transaction is approved by 80% of the REIT's outstanding voting shares. In addition, an interested shareholder may not engage in a business combination for five years following the date he became an interested shareholder. As a result, a change in control or other transaction that may provide our shareholders with a premium or which might otherwise be in their best interests may be prevented or delayed.</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362" w:gutter="0" w:footer="0" w:header="0"/>
        </w:sectPr>
      </w:pPr>
    </w:p>
    <w:bookmarkStart w:id="14" w:name="page15"/>
    <w:bookmarkEnd w:id="14"/>
    <w:p>
      <w:pPr>
        <w:ind w:left="540" w:right="2099" w:hanging="321"/>
        <w:spacing w:after="0" w:line="238"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plan. We adopted a shareholder rights plan which provides, among other things, that when specified events occur, our shareholders will be entitled to purchase from us a number of common shares equal in value to two times the purchase price, initially equal to $65.00 per share, subject to adjustment upon the occurrence of specified events. Therefore, for example, if our common shares had a current market value of $21.66 and the purchase price was $65.00, a shareholder would be entitled to purchase six common shares for $65.00. The share purchase rights are triggered by the earlier to occur of (1) the date of a public announcement that a person or group acting in concert has acquired, or obtained the right to acquire, beneficial ownership of 15% or more of our outstanding common shares without the prior consent of our board of trustees or (2) ten days after the commencement of or announcement of an intention to make a tender offer or exchange offer, the consummation of which would result in the acquiring person becoming the beneficial owner of 15% or more of our outstanding common shares. The share purchase rights would cause substantial dilution to a person or group that attempts to acquire us on terms not approved by our board of trustees.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we elect to be governed by it in the future, the Maryland control share acquisition law could delay or prevent a change in control. Under Maryland law, unless a REIT elects not to be subject to the provision, "control shares" acquired in a "control share acquisition" have no voting rights except to the extent approved by shareholders by a vote of two-thirds of the votes entitled to be cast on the matter, excluding shares owned by the acquiror and by officers or trustees who are employees of the REIT. "Control shares" are voting shares which would entitle the acquiror to exercise voting power in electing trustees within specified ranges of voting power. A "control share acquisition" means the acquisition of control shares, with some exceptions.</w:t>
      </w:r>
    </w:p>
    <w:p>
      <w:pPr>
        <w:spacing w:after="0" w:line="18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bylaws state that the Maryland control share acquisition law shall not apply to any acquisition by any person of our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Federal income tax risks relating to operating as a real estate investment trust</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do not have voting control over certain affiliates which engage in limited investment activities on our behalf. We have "non-controlled subsidiaries," which conduct limited investment activities on our behalf. While we own 99% of the economic interest in these non-controlled subsidiaries, 100% of their voting stock is owned by other individuals. We therefore lack the ability to set the business policies and operations for these non-controlled subsidiaries. Prior to March 15, 2001, however, all of these non-controlled subsidiaries will elect to be "taxable REIT subsidiaries" of Federal Realty. As a result, we will no longer be prevented from owning a controlling voting interest in any non-controlled subsidiaries that make the election.</w:t>
      </w:r>
    </w:p>
    <w:p>
      <w:pPr>
        <w:spacing w:after="0" w:line="386"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intend to qualify as a REIT, but we cannot guarantee that we will qualify. We believe that we have qualified for taxation as a REIT for federal income tax purposes commencing with our taxable year ended December 31, 1962. If we qualify as a REIT, we generally will not be subject to federal income tax on our income that we distribute to our shareholders. We plan to continue to meet the requirements for taxation as a REIT, but there can be no assurance that we will do so. Many of the REIT requirements are highly technical and complex. The determination that we are a REIT requires an analysis of various factual matters and circumstances that may not be totally within our control. For example, to qualify as a REIT, at least 95% of our gross income must come from sources that are itemized in the REIT tax laws. We generally are prohibited from owning more than 10% of the voting securities or more than 10% of the value of the outstanding securities of any one issuer, subject to certain exceptions, including an exception with respect to corporations electing to be "taxable REIT subsidiaries," and we are also required to distribute to shareholders at least 90% of our REIT taxable income, excluding capital gains. Furthermore, Congress and the Internal Revenue Service might make changes to the tax laws and regulations, and the courts might issue new rulings that make it more difficult, or impossible, for us to remain qualified as a REIT. We do not believe, however, that any pending or proposed tax law changes would jeopardize our REIT status.</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362" w:gutter="0" w:footer="0" w:header="0"/>
        </w:sectPr>
      </w:pPr>
    </w:p>
    <w:bookmarkStart w:id="15" w:name="page16"/>
    <w:bookmarkEnd w:id="15"/>
    <w:p>
      <w:pPr>
        <w:ind w:right="1879" w:firstLine="316"/>
        <w:spacing w:after="0" w:line="237" w:lineRule="auto"/>
        <w:rPr>
          <w:sz w:val="20"/>
          <w:szCs w:val="20"/>
          <w:color w:val="auto"/>
        </w:rPr>
      </w:pPr>
      <w:r>
        <w:rPr>
          <w:rFonts w:ascii="Courier New" w:cs="Courier New" w:eastAsia="Courier New" w:hAnsi="Courier New"/>
          <w:sz w:val="18"/>
          <w:szCs w:val="18"/>
          <w:color w:val="auto"/>
        </w:rPr>
        <w:t>If we failed to qualify as a REIT, we would be subject to federal income tax at regular corporate rates. Also, unless the Internal Revenue Service granted us relief under certain statutory provisions, we would remain disqualified as a REIT for the four years following the year we first failed to qualify. If we failed to qualify as a REIT, we would have to pay significant income taxes and would therefore have less money available for investments or for distributions to shareholders. This would likely have a significant adverse affect on the value of our common shares.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pay some taxes. Even if we qualify as a REIT, we are required to pay some federal, state and local taxes on our income and property. In addition, any net taxable income earned directly by the non-controlled subsidiaries is subject to federal, state and local corporate tax. All of the non-controlled subsidiaries will elect to be treated as "taxable REIT subsidiaries" prior to March 15, 2001. A taxable REIT subsidiary will be a fully taxable corporation and will be limited in its ability to deduct interest payments made to us. In addition, we will be subject to a 100% penalty tax on some payments that we receive if the economic arrangements between us, our tenants, and the taxable REIT subsidiary are not arm's length.</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 PROCEEDS TO 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receive any of the proceeds from sales of the offered shares by the selling shareholders. We will pay all costs and expenses incurred in connection with the offering of the offered shares, other than any brokerage fees and commissions, fees and disbursements of legal counsel for the selling shareholders and share transfer and other taxes attributable to the sale of the common shares, which will be paid by the selling shareholders.</w:t>
      </w: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1879" w:firstLine="316"/>
        <w:spacing w:after="0" w:line="268" w:lineRule="auto"/>
        <w:rPr>
          <w:sz w:val="20"/>
          <w:szCs w:val="20"/>
          <w:color w:val="auto"/>
        </w:rPr>
      </w:pPr>
      <w:r>
        <w:rPr>
          <w:rFonts w:ascii="Courier New" w:cs="Courier New" w:eastAsia="Courier New" w:hAnsi="Courier New"/>
          <w:sz w:val="16"/>
          <w:szCs w:val="16"/>
          <w:color w:val="auto"/>
        </w:rPr>
        <w:t>The selling shareholders received the common shares in connection with a transaction in which, pursuant to the terms of the partnership agreements of two of our partnerships, unaffiliated partners merged with and into one of our subsidiaries with the stockholders of the unaffiliated partners receiving the common shares in exchange for such partners' partnership interests. The following table provides the name of each selling shareholder and the number of common shares that may be offered by each selling shareholder. The address for each selling shareholder is c/o CIM Group, LLC, 6922 Hollywood Boulevard, Suite 900, Los Angeles, California 90028. Since the selling shareholders may sell all, some or none of the offered shares, no estimate can be made of the number of offered shares that will be sold by the selling shareholders or that will be owned by the selling shareholders upon completion of the offering. The offered shares, excluding the shares which may be received as additional merger</w:t>
      </w:r>
    </w:p>
    <w:p>
      <w:pPr>
        <w:spacing w:after="0" w:line="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consideration, represent approximately % of our total common shares outstanding as of March , 2001.</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Selling Shareholder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w:t>
      </w:r>
    </w:p>
    <w:p>
      <w:pPr>
        <w:ind w:left="200"/>
        <w:spacing w:after="0" w:line="238" w:lineRule="auto"/>
        <w:rPr>
          <w:sz w:val="20"/>
          <w:szCs w:val="20"/>
          <w:color w:val="auto"/>
        </w:rPr>
      </w:pPr>
      <w:r>
        <w:rPr>
          <w:rFonts w:ascii="Courier New" w:cs="Courier New" w:eastAsia="Courier New" w:hAnsi="Courier New"/>
          <w:sz w:val="18"/>
          <w:szCs w:val="18"/>
          <w:color w:val="auto"/>
        </w:rPr>
        <w:t>Common Shares</w:t>
      </w:r>
    </w:p>
    <w:p>
      <w:pPr>
        <w:ind w:left="420"/>
        <w:spacing w:after="0"/>
        <w:rPr>
          <w:sz w:val="20"/>
          <w:szCs w:val="20"/>
          <w:color w:val="auto"/>
        </w:rPr>
      </w:pPr>
      <w:r>
        <w:rPr>
          <w:rFonts w:ascii="Courier New" w:cs="Courier New" w:eastAsia="Courier New" w:hAnsi="Courier New"/>
          <w:sz w:val="18"/>
          <w:szCs w:val="18"/>
          <w:color w:val="auto"/>
        </w:rPr>
        <w:t>Owned and</w:t>
      </w:r>
    </w:p>
    <w:p>
      <w:pPr>
        <w:spacing w:after="0" w:line="237" w:lineRule="auto"/>
        <w:rPr>
          <w:sz w:val="20"/>
          <w:szCs w:val="20"/>
          <w:color w:val="auto"/>
        </w:rPr>
      </w:pPr>
      <w:r>
        <w:rPr>
          <w:rFonts w:ascii="Courier New" w:cs="Courier New" w:eastAsia="Courier New" w:hAnsi="Courier New"/>
          <w:sz w:val="18"/>
          <w:szCs w:val="18"/>
          <w:color w:val="auto"/>
        </w:rPr>
        <w:t>Offered Hereby (1)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Ressler..............................................</w:t>
      </w:r>
    </w:p>
    <w:p>
      <w:pPr>
        <w:spacing w:after="0" w:line="238" w:lineRule="auto"/>
        <w:rPr>
          <w:sz w:val="20"/>
          <w:szCs w:val="20"/>
          <w:color w:val="auto"/>
        </w:rPr>
      </w:pPr>
      <w:r>
        <w:rPr>
          <w:rFonts w:ascii="Courier New" w:cs="Courier New" w:eastAsia="Courier New" w:hAnsi="Courier New"/>
          <w:sz w:val="18"/>
          <w:szCs w:val="18"/>
          <w:color w:val="auto"/>
        </w:rPr>
        <w:t>Shaul Kuba...................................................</w:t>
      </w:r>
    </w:p>
    <w:p>
      <w:pPr>
        <w:spacing w:after="0"/>
        <w:rPr>
          <w:sz w:val="20"/>
          <w:szCs w:val="20"/>
          <w:color w:val="auto"/>
        </w:rPr>
      </w:pPr>
      <w:r>
        <w:rPr>
          <w:rFonts w:ascii="Courier New" w:cs="Courier New" w:eastAsia="Courier New" w:hAnsi="Courier New"/>
          <w:sz w:val="18"/>
          <w:szCs w:val="18"/>
          <w:color w:val="auto"/>
        </w:rPr>
        <w:t>Avraham Shemesh..............................................</w:t>
      </w:r>
    </w:p>
    <w:p>
      <w:pPr>
        <w:spacing w:after="0" w:line="3"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420" w:right="2619" w:hanging="412"/>
        <w:spacing w:after="0" w:line="290" w:lineRule="auto"/>
        <w:tabs>
          <w:tab w:leader="none" w:pos="4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common shares offered hereby excludes shares which the selling shareholders may receive as additional merger consideration.</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type w:val="continuous"/>
        </w:sectPr>
      </w:pPr>
    </w:p>
    <w:bookmarkStart w:id="16" w:name="page17"/>
    <w:bookmarkEnd w:id="16"/>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is a description of federal income tax consequences for a holder of Federal Realty's common shares. The following discussion is not exhaustive of all possible tax consequences and does not provide a detailed discussion of any state, local or foreign tax consequences. Nor does it discuss all of the aspects of federal income taxation that may be relevant to a prospective shareholder in light of his or her particular circumstances or to shareholders (including insurance companies, tax-exempt entities, financial institutions or broker-dealers, foreign corporations and persons who are not citizens or residents of the United States) who are subject to special treatment under the federal income tax laws.</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8"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prospective shareholder is advised to consult with its own tax advisor regarding the specific federal income tax consequences to it in light of its specific or unique circumstances of the acquisition, ownership and sale of shares in an entity electing to be taxed as a REIT, and any state, local and foreign tax consequences and of potential changes in applicable tax laws.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Federal Realty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General. Federal Realty has elected to be taxed as a REIT under Sections 856 through 860 of the Internal Revenue Code. Federal Realty believes that it is organized and has operated in a manner so as to qualify for taxation as a REIT under the Internal Revenue Code, and Federal Realty intends to continue to operate in such a manner. Qualification and taxation as a REIT depends upon Federal Realty's ability to meet on a continuing basis, through actual annual operating results, the various requirements under the Internal Revenue Code and described in this prospectus with regard to, among other things, the source of its gross income, the composition of its assets, distribution levels and diversity of stock ownership. While Federal Realty intends to operate so that it qualifies as a REIT, given the highly complex nature of the rules governing REITs, the ongoing importance of factual determinations and the possibility of future changes in circumstances of Federal Realty, no assurance can be given that Federal Realty satisfies such tests or will continue to do so.</w:t>
      </w:r>
    </w:p>
    <w:p>
      <w:pPr>
        <w:spacing w:after="0" w:line="3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any year in which Federal Realty qualifies for taxation as a REIT, it generally will not be subject to federal corporate income taxes on that portion of its REIT taxable income or capital gain that it currently distributes to shareholders. This treatment substantially eliminates the "double taxation," at both the corporate and shareholder levels, that generally results from the use of corporate investment vehicles. However, Federal Realty will be subject to federal income tax as follows.</w:t>
      </w:r>
    </w:p>
    <w:p>
      <w:pPr>
        <w:spacing w:after="0" w:line="211" w:lineRule="exact"/>
        <w:rPr>
          <w:sz w:val="20"/>
          <w:szCs w:val="20"/>
          <w:color w:val="auto"/>
        </w:rPr>
      </w:pPr>
    </w:p>
    <w:p>
      <w:pPr>
        <w:ind w:left="540" w:right="2319" w:hanging="321"/>
        <w:spacing w:after="0" w:line="237"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taxed at regular corporate rates on any "REIT taxable income." REIT taxable income is the taxable income of the REIT subject to specified adjustments, including a deduction for dividends paid by the REIT.</w:t>
      </w:r>
    </w:p>
    <w:p>
      <w:pPr>
        <w:spacing w:after="0" w:line="207" w:lineRule="exact"/>
        <w:rPr>
          <w:sz w:val="20"/>
          <w:szCs w:val="20"/>
          <w:color w:val="auto"/>
        </w:rPr>
      </w:pPr>
    </w:p>
    <w:p>
      <w:pPr>
        <w:ind w:left="540" w:right="3159" w:hanging="321"/>
        <w:spacing w:after="0" w:line="290" w:lineRule="auto"/>
        <w:tabs>
          <w:tab w:leader="none" w:pos="5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some circumstances, Federal Realty may be subject to the "alternative minimum tax" on its items of tax preference.</w:t>
      </w:r>
    </w:p>
    <w:p>
      <w:pPr>
        <w:spacing w:after="0" w:line="170" w:lineRule="exact"/>
        <w:rPr>
          <w:sz w:val="20"/>
          <w:szCs w:val="20"/>
          <w:color w:val="auto"/>
        </w:rPr>
      </w:pPr>
    </w:p>
    <w:p>
      <w:pPr>
        <w:ind w:left="540" w:right="2099" w:hanging="321"/>
        <w:spacing w:after="0" w:line="23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has net income from the sale or other disposition of "foreclosure property" that is held primarily for sale to customers in the ordinary course of business or other non-qualifying income from foreclosure property, it will be subject to tax at the highest corporate rate on this income.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362" w:gutter="0" w:footer="0" w:header="0"/>
        </w:sectPr>
      </w:pPr>
    </w:p>
    <w:bookmarkStart w:id="17" w:name="page18"/>
    <w:bookmarkEnd w:id="17"/>
    <w:p>
      <w:pPr>
        <w:ind w:left="540" w:right="2199" w:hanging="321"/>
        <w:spacing w:after="0" w:line="275" w:lineRule="auto"/>
        <w:tabs>
          <w:tab w:leader="none" w:pos="5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Realty's net income from "prohibited transactions" will be subject to a 100% tax. In general, prohibited transactions are sales or other dispositions of property held primarily for sale to customers in the ordinary course of business other than foreclosure property.</w:t>
      </w:r>
    </w:p>
    <w:p>
      <w:pPr>
        <w:spacing w:after="0" w:line="182" w:lineRule="exact"/>
        <w:rPr>
          <w:sz w:val="20"/>
          <w:szCs w:val="20"/>
          <w:color w:val="auto"/>
        </w:rPr>
      </w:pPr>
    </w:p>
    <w:p>
      <w:pPr>
        <w:ind w:left="540" w:right="2099" w:hanging="321"/>
        <w:spacing w:after="0" w:line="237"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fails to satisfy either the 75% gross income test or the 95% gross income test discussed below, but nonetheless maintains its qualification as a REIT because other requirements are met, it will be subject to a tax equal to the gross income attributable to the greater of either (1) the amount by which 75% of its gross income exceeds the amount qualifying under the 75% test for the taxable year or (2) the amount by which 90% of its gross income exceeds the amount of its income qualifying for the 95% test, multiplied in either case by a fraction intended to reflect Federal Realty's profitability.</w:t>
      </w:r>
    </w:p>
    <w:p>
      <w:pPr>
        <w:spacing w:after="0" w:line="214" w:lineRule="exact"/>
        <w:rPr>
          <w:sz w:val="20"/>
          <w:szCs w:val="20"/>
          <w:color w:val="auto"/>
        </w:rPr>
      </w:pPr>
    </w:p>
    <w:p>
      <w:pPr>
        <w:ind w:left="540" w:right="2319" w:hanging="321"/>
        <w:spacing w:after="0" w:line="237"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4% excise tax on the excess of the required distribution over the sum of amounts actually distributed and amounts retained for which federal income tax was paid, if Federal Realty fails to distribute during each calendar year at least the sum of:</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its REIT ordinary income for the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its REIT capital gain net income for the year;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taxable years.</w:t>
      </w:r>
    </w:p>
    <w:p>
      <w:pPr>
        <w:spacing w:after="0" w:line="207" w:lineRule="exact"/>
        <w:rPr>
          <w:sz w:val="20"/>
          <w:szCs w:val="20"/>
          <w:color w:val="auto"/>
        </w:rPr>
      </w:pPr>
    </w:p>
    <w:p>
      <w:pPr>
        <w:ind w:left="540" w:right="2099" w:hanging="321"/>
        <w:spacing w:after="0" w:line="236"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100% tax on amounts received through arrangements between Federal Realty, its tenants and a taxable REIT subsidiary that are not arm's length.</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if Federal Realty acquires any assets from a taxable "C" corporation in a carry-over basis transaction, it could be liable for specified tax liabilities inherited from the "C" corporation. If Federal Realty recognizes gain on the disposition of such assets during the ten year period beginning on the date on which such assets were acquired by it, then to the extent of such assets' "Built-In Gain" (i.e., the excess of (a) the fair market value of such asset at the time of the acquisition by Federal Realty over (b) the adjusted basis in such asset, determined at the time of such acquisition), such gain will be subject to tax at the highest regular corporate rate applicable. The results described herein with respect to the recognition of Built-In Gain assume that Federal Realty made or will make an election pursuant to Notice 88-19 or Treasury Regulations that were promulgated in 2000. Federal Realty acquired assets from a "C" corporation in a carry-over basis transaction in 1995 and made the required election with respect to any Built-In Gain.</w:t>
      </w:r>
    </w:p>
    <w:p>
      <w:pPr>
        <w:spacing w:after="0" w:line="388"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Requirements for Qualification as a REIT. The Internal Revenue Code defines a REIT as a corporation, trust or association</w:t>
      </w:r>
    </w:p>
    <w:p>
      <w:pPr>
        <w:spacing w:after="0" w:line="203" w:lineRule="exact"/>
        <w:rPr>
          <w:sz w:val="20"/>
          <w:szCs w:val="20"/>
          <w:color w:val="auto"/>
        </w:rPr>
      </w:pPr>
    </w:p>
    <w:p>
      <w:pPr>
        <w:ind w:left="640" w:hanging="421"/>
        <w:spacing w:after="0"/>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6"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evidenced by transferable shares or by transferable certificates of beneficial interest;</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domestic corporation, but for Sections 856 through 859 of the Internal Revenue Code;</w:t>
      </w:r>
    </w:p>
    <w:p>
      <w:pPr>
        <w:spacing w:after="0" w:line="208" w:lineRule="exact"/>
        <w:rPr>
          <w:rFonts w:ascii="Courier New" w:cs="Courier New" w:eastAsia="Courier New" w:hAnsi="Courier New"/>
          <w:sz w:val="18"/>
          <w:szCs w:val="18"/>
          <w:color w:val="auto"/>
        </w:rPr>
      </w:pPr>
    </w:p>
    <w:p>
      <w:pPr>
        <w:ind w:left="640" w:right="2839" w:hanging="421"/>
        <w:spacing w:after="0" w:line="290" w:lineRule="auto"/>
        <w:tabs>
          <w:tab w:leader="none" w:pos="6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neither a financial institution nor an insurance company subject to specified provisions of the Internal Revenue Code;</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held by 100 or more persons;</w:t>
      </w:r>
    </w:p>
    <w:p>
      <w:pPr>
        <w:spacing w:after="0" w:line="206" w:lineRule="exact"/>
        <w:rPr>
          <w:rFonts w:ascii="Courier New" w:cs="Courier New" w:eastAsia="Courier New" w:hAnsi="Courier New"/>
          <w:sz w:val="18"/>
          <w:szCs w:val="18"/>
          <w:color w:val="auto"/>
        </w:rPr>
      </w:pPr>
    </w:p>
    <w:p>
      <w:pPr>
        <w:ind w:left="640" w:right="2099" w:hanging="421"/>
        <w:spacing w:after="0" w:line="237"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not more than 50% in value of the outstanding stock is owned, directly or indirectly, by five or fewer individuals (as defined in the Internal Revenue Code to include specified entities) during the last half of each taxable year;</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makes an election to be taxable as a REIT for the current taxable year, or has made such an election for a previous taxable year which has not been revoked or terminated; and</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meets certain other tests, described below, regarding the nature of its income and assets.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59" w:gutter="0" w:footer="0" w:header="0"/>
        </w:sectPr>
      </w:pPr>
    </w:p>
    <w:bookmarkStart w:id="18" w:name="page19"/>
    <w:bookmarkEnd w:id="18"/>
    <w:p>
      <w:pPr>
        <w:ind w:right="1879" w:firstLine="316"/>
        <w:spacing w:after="0" w:line="238" w:lineRule="auto"/>
        <w:rPr>
          <w:sz w:val="20"/>
          <w:szCs w:val="20"/>
          <w:color w:val="auto"/>
        </w:rPr>
      </w:pPr>
      <w:r>
        <w:rPr>
          <w:rFonts w:ascii="Courier New" w:cs="Courier New" w:eastAsia="Courier New" w:hAnsi="Courier New"/>
          <w:sz w:val="18"/>
          <w:szCs w:val="18"/>
          <w:color w:val="auto"/>
        </w:rPr>
        <w:t>Conditions (1) through (4), inclusive, must be met during the entire taxable year. Condition (5) must be met during at least 335 days of a taxable year of 12 months, or during a proportionate part of a taxable year of less than 12 months other than the first taxable year for which an election is made. Condition (6) must be met during the last half of each taxable year other than the first taxable year for which an election to become a REIT is made. For purposes of determining stock ownership under condition (6), a supplemental unemployment compensation benefits plan, a private foundation or a portion of a trust permanently set aside or used exclusively for charitable purposes generally is considered an individual. However, a trust that is a qualified trust under Internal Revenue Code Section 401(a) generally is not considered an individual, and beneficiaries of a qualified trust are treated as holding shares of a REIT in proportion to their actuarial interests in the trust for purposes of condition (6).</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Federal Realty believes that it has issued sufficient shares of beneficial interest with sufficient diversity of ownership to allow it to satisfy conditions (5) and (6) above. In addition, Federal Realty's Declaration of Trust contains restrictions regarding the transfer of its common shares that are intended to assist Federal Realty in continuing to satisfy the share ownership requirements described in (5) and (6) above. These restrictions, however, may not ensure that Federal Realty will be able to satisfy these share ownership requirements. If Federal Realty fails to satisfy these share ownership requirements, it will fail to qualify as a REIT. For Federal Realty's taxable years commencing after December 31, 1997, if Federal Realty complies with regulatory rules pursuant to which it is required to send annual letters to holders of securities requesting information regarding the actual ownership of securities, but does not know, and exercising reasonable diligence would not have known, whether it failed to meet the requirement that it not be closely held, Federal Realty will be treated as having met the requirement.</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corporation, trust or association must satisfy all relevant filing and other administrative requirements established by the IRS that must be met to elect and maintain REIT status, use a calendar year for federal income tax purposes, and comply with the recordkeeping requirements of the Internal Revenue Code and the regulations promulgated thereunder.</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To qualify as a REIT, Federal Realty cannot have at the end of any taxable year any undistributed earnings and profits that are attributable to a non-REIT taxable year. Federal Realty has elected to be taxed as a REIT beginning with its first taxable year. Therefore, Federal Realty has not had any undistributed non-REIT earnings and profits of its own. In 1995, Federal Realty acquired the assets of a "C" corporation through a reorganization under Section 368 of the Code. Federal Realty does not believe that it acquired any undistributed non-REIT earnings and profits in connection with this acquisition. However, the Internal Revenue Service could determine otherwise.</w:t>
      </w:r>
    </w:p>
    <w:p>
      <w:pPr>
        <w:spacing w:after="0" w:line="184"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Taxable REIT Subsidiaries. A taxable REIT subsidiary of Federal Realty is a corporation other than a REIT in which Federal Realty directly or indirectly holds stock and that has made a joint election with Federal Realty to be treated as a taxable REIT subsidiary. A taxable REIT subsidiary also includes any corporation other than a REIT with respect to which a taxable REIT subsidiary of Federal Realty owns securities possessing more than 35% of the total voting power or value of the outstanding securities of such corporation. However, a taxable REIT subsidiary does not include certain health care and lodging facilities. A taxable REIT subsidiary is subject to regular federal income tax, and state and local income tax where applicable, as a regular "C" corporation. In addition, a taxable REIT subsidiary of Federal Realty may be limited in its ability to deduct interest paid to Federal Realty. Federal Realty anticipates that it will jointly make the election with the following entities for them to be treated as taxable REIT subsidiaries of Federal Realty effective January 1, 2001: San Jose Residential, Inc., SRI Holding Company, Inc., Ravenswood Development Services, Inc. and FRIT Property Services, Inc.</w:t>
      </w: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Qualified REIT Subsidiaries. If a REIT owns a corporate subsidiary that is a "qualified REIT subsidiary," the separate existence of that subsidiary will be disregarded for federal income tax purposes. Generally, a qualified REIT subsidiary is a corporation, other than a taxable REIT subsidiary, all of the capital stock of which is owned by the REIT. All assets, liabilities and items of income, deduction and credit of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97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qualified REIT subsidiary will be treated as assets, liabilities and items of income, deduction and credit of the REIT itself. A qualified REIT subsidiary of Federal Realty will not be subject to federal corporate income taxation, although it may be subject to state and local taxation in some states. The following entities are qualified REIT subsidiaries of Federal Realty: Street Retail, Inc., SRI San Antonio, Inc., SRI Texas, Inc., Street Retail West GP, Inc., Federal Realty Partners, Inc., FRLP, Inc., JS &amp; DB, Inc., FRIT Leasing Development Services, Inc. and FRIT-WM, Inc.</w:t>
      </w:r>
    </w:p>
    <w:p>
      <w:pPr>
        <w:spacing w:after="0" w:line="212"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Income Tests. In order to maintain qualification as a REIT, there are two gross income requirements that must be satisfied annually. First, at least 75% of the REIT's gross income (excluding gross income from prohibited transactions)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certain types of temporary investments. Second, at least 95% of the REIT's gross income (excluding gross income from prohibited transactions) for each taxable year must be derived from the same items which qualify under the 75% income test, and from dividends, interest, some payments under hedging instruments and gain from the sale or disposition of stock, securities or some hedging instruments.</w:t>
      </w:r>
    </w:p>
    <w:p>
      <w:pPr>
        <w:spacing w:after="0" w:line="3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Rents received by Federal Realty will qualify as rents from real property in satisfying the gross income requirements for a REIT described above only if several conditions are met. These conditions relate to the identity of the tenant, the computation of the rent payable and the nature of the property leased.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w:t>
      </w:r>
    </w:p>
    <w:p>
      <w:pPr>
        <w:spacing w:after="0" w:line="184" w:lineRule="exact"/>
        <w:rPr>
          <w:sz w:val="20"/>
          <w:szCs w:val="20"/>
          <w:color w:val="auto"/>
        </w:rPr>
      </w:pPr>
    </w:p>
    <w:p>
      <w:pPr>
        <w:ind w:left="640" w:hanging="421"/>
        <w:spacing w:after="0"/>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is a taxable REIT subsidiary,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90% of the property is leased to unrelated tenants and</w:t>
      </w:r>
    </w:p>
    <w:p>
      <w:pPr>
        <w:spacing w:after="0" w:line="206" w:lineRule="exact"/>
        <w:rPr>
          <w:rFonts w:ascii="Courier New" w:cs="Courier New" w:eastAsia="Courier New" w:hAnsi="Courier New"/>
          <w:sz w:val="18"/>
          <w:szCs w:val="18"/>
          <w:color w:val="auto"/>
        </w:rPr>
      </w:pPr>
    </w:p>
    <w:p>
      <w:pPr>
        <w:ind w:left="640" w:right="2519" w:hanging="421"/>
        <w:spacing w:after="0" w:line="236"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paid by the taxable REIT subsidiary is substantially comparable to the rent paid by the unrelated tenants for comparable space.</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86"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Generally, for rents to qualify as rents from real property for the purposes of the gross income tests, Federal Realty is allowed only to provide services that are both "usually or customarily rendered" in connection with the rental of real property and not otherwise considered "rendered to the occupant." Income received from any other services will be treated as "impermissible tenant service income" unless the services are provided through an independent contractor that bears the expenses of providing the services and from whom Federal Realty derives no revenue or through a taxable REIT subsidiary, subject to specified limitations. The amount of impermissible tenant service income is deemed to be the greater of the amount actually received by the REIT or 150% of Federal Realty's direct cost of providing the service. If the impermissible tenant service income exceeds 1% of Federal Realty's total income from a property, then all of the income from that property will fail to qualify as rents from real property. If the total amount of impermissible tenant service income from a property does not exceed 1% of Federal Realty's total income from that property, the income will not cause the rent paid by tenants of that property to fail to qualify as rents from real property, but the impermissible tenant service income itself will not qualify as rents from real property.</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0" w:name="page21"/>
    <w:bookmarkEnd w:id="20"/>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may receive fees in consideration of the performance of property management services with respect to certain properties not owned entirely by Federal Realty. A portion of such fees, corresponding to that portion of a property owned by a third party, will not qualify under the 75% or 95% gross income test. Federal Realty also may receive certain other types of income with respect to the properties it owns that will not qualify for the 75% or 95% gross income test. In addition, dividends on Federal Realty's stock in any non-controlled subsidiaries or taxable REIT subsidiaries will not qualify under the 75% gross income test. Federal Realty believes, however, that the aggregate amount of such fees and other non-qualifying income in any taxable year will not cause Federal Realty to exceed the limits on non-qualifying income under the 75% and 95% gross income tests.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owns non-voting stock interests in four non-controlled subsidiaries. Each of these non-controlled subsidiaries is taxable as a regular "C corporation." Federal Realty's share of any dividends received from these non-controlled subsidiaries should qualify for purposes of the 95% gross income test but not for purposes of the 75% gross income test. Federal Realty does not anticipate that it will receive sufficient dividends from these non-controlled subsidiaries to cause it to exceed the limit on non-qualifying income under the 75% gross income test.</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Federal Realty fails to satisfy one or both of the 75% or the 95% gross income tests for any taxable year, it may nevertheless qualify as a REIT for that year if it is entitled to relief under the Internal Revenue Code. These relief provisions generally will be available if Federal Realty's failure to meet the tests is due to reasonable cause and not due to willful neglect, Federal Realty attaches a schedule of the sources of its income to its federal income tax return and any incorrect information on the schedule is not due to fraud with the intent to evade tax. It is not possible, however, to state whether in all circumstances Federal Realty would be entitled to the benefit of these relief provisions. For example, if Federal Realty fails to satisfy the gross income tests because non-qualifying income that Federal Realty intentionally incurs exceeds the limits on non-qualifying income, the Internal Revenue Service could conclude that the failure to satisfy the tests was not due to a reasonable cause. If Federal Realty fails to satisfy the 75% or 95% gross income test and these relief provisions do not apply, Federal Realty will fail to qualify as a REIT. Even if these relief provisions were to apply, Federal Realty would be subject to a penalty tax based upon the amount of non-qualifying income.</w:t>
      </w:r>
    </w:p>
    <w:p>
      <w:pPr>
        <w:spacing w:after="0" w:line="209" w:lineRule="exact"/>
        <w:rPr>
          <w:sz w:val="20"/>
          <w:szCs w:val="20"/>
          <w:color w:val="auto"/>
        </w:rPr>
      </w:pPr>
    </w:p>
    <w:p>
      <w:pPr>
        <w:ind w:right="2519" w:firstLine="316"/>
        <w:spacing w:after="0" w:line="290" w:lineRule="auto"/>
        <w:rPr>
          <w:sz w:val="20"/>
          <w:szCs w:val="20"/>
          <w:color w:val="auto"/>
        </w:rPr>
      </w:pPr>
      <w:r>
        <w:rPr>
          <w:rFonts w:ascii="Courier New" w:cs="Courier New" w:eastAsia="Courier New" w:hAnsi="Courier New"/>
          <w:sz w:val="16"/>
          <w:szCs w:val="16"/>
          <w:color w:val="auto"/>
        </w:rPr>
        <w:t>Asset Tests. At the close of each quarter of its taxable year, Federal Realty must satisfy six tests relating to the nature of its assets.</w:t>
      </w:r>
    </w:p>
    <w:p>
      <w:pPr>
        <w:spacing w:after="0" w:line="170" w:lineRule="exact"/>
        <w:rPr>
          <w:sz w:val="20"/>
          <w:szCs w:val="20"/>
          <w:color w:val="auto"/>
        </w:rPr>
      </w:pPr>
    </w:p>
    <w:p>
      <w:pPr>
        <w:ind w:left="640" w:right="2199" w:hanging="421"/>
        <w:spacing w:after="0" w:line="237"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Federal Realty's total assets must be represented by real estate assets, cash, cash items and government securities. Federal Realty's real estate assets include, for this purpose, its allocable share of real estate assets held by the partnerships in which it owns an interest and the non-corporate subsidiaries of those partnerships, as well as stock or debt instruments held for less than one year purchased with the proceeds of an offering of shares or long-term debt of Federal Realty.</w:t>
      </w:r>
    </w:p>
    <w:p>
      <w:pPr>
        <w:spacing w:after="0" w:line="212"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25% of Federal Realty's total assets may be represented by securities, other than those in the 75% asset class.</w:t>
      </w:r>
    </w:p>
    <w:p>
      <w:pPr>
        <w:spacing w:after="0" w:line="208" w:lineRule="exact"/>
        <w:rPr>
          <w:rFonts w:ascii="Courier New" w:cs="Courier New" w:eastAsia="Courier New" w:hAnsi="Courier New"/>
          <w:sz w:val="18"/>
          <w:szCs w:val="18"/>
          <w:color w:val="auto"/>
        </w:rPr>
      </w:pPr>
    </w:p>
    <w:p>
      <w:pPr>
        <w:ind w:left="640" w:right="2519" w:hanging="421"/>
        <w:spacing w:after="0" w:line="237"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the value of any one issuer's securities owned by Federal Realty may not exceed 5% of the value of Federal Realty's total assets.</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any one issuer's outstanding voting securities.</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the total value of the outstanding securities of any one issuer.</w:t>
      </w:r>
    </w:p>
    <w:p>
      <w:pPr>
        <w:spacing w:after="0" w:line="208" w:lineRule="exact"/>
        <w:rPr>
          <w:rFonts w:ascii="Courier New" w:cs="Courier New" w:eastAsia="Courier New" w:hAnsi="Courier New"/>
          <w:sz w:val="18"/>
          <w:szCs w:val="18"/>
          <w:color w:val="auto"/>
        </w:rPr>
      </w:pPr>
    </w:p>
    <w:p>
      <w:pPr>
        <w:ind w:left="640" w:right="2099" w:hanging="421"/>
        <w:spacing w:after="0" w:line="290" w:lineRule="auto"/>
        <w:tabs>
          <w:tab w:leader="none" w:pos="6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20% of the value of Federal Realty's total assets may be represented by the securities of one or more taxable REIT subsidiaries.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767" w:gutter="0" w:footer="0" w:header="0"/>
        </w:sectPr>
      </w:pPr>
    </w:p>
    <w:bookmarkStart w:id="21" w:name="page22"/>
    <w:bookmarkEnd w:id="21"/>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currently owns non-voting stock interests in four non-controlled subsidiaries, which represent more than 10% of the total value of each non-controlled subsidiary. Federal Realty expects, however, that all of its existing non-controlled subsidiaries will elect to be treated as taxable REIT subsidiaries. So long as these subsidiaries qualify as taxable REIT subsidiaries, Federal Realty will not be subject to the 5% asset test, 10% voting securities limitation or 10% value limitation with respect to these subsidiaries. Federal Realty may acquire securities in other taxable REIT subsidiaries in the future. Federal Realty believes that the aggregate value of its taxable REIT subsidiaries will not exceed 20% of the aggregate value of its gross assets.</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 respect to each issuer in which Federal Realty currently owns an interest that does not qualify as a REIT, a qualified REIT subsidiary or a taxable REIT subsidiary, Federal Realty believes that its pro rata share of the value of the securities, including unsecured debt, of any such issuer does not exceed 5% of the total value of Federal Realty's assets and that it complies with the 10% voting securities limitation and 10% value limitation, taking into account the "straight debt" exceptions with respect to certain issuers. With respect to its compliance with each of these asset tests, however, Federal Realty cannot assure you that the Internal Revenue Service might not disagree with Federal Realty's determinations.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Securities for purposes of the asset tests may include debt securities. However, debt of an issuer will not count as a security for purposes of the 10% value test if the debt securities meet the straight debt safe harbor and (1) the issuer is an individual, (2) the only securities of the issuer that the REIT holds are straight debt or (3) if the issuer is a partnership, the REIT holds at least a 20% profits interest in the partnership.</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After initially meeting the asset tests at the close of any quarter, Federal Realty will not lose its status as a REIT if it fails to satisfy the 25%, 20% or 5% asset tests or the 10% value limitation at the end of a later quarter solely by reason of changes in the relative values of its assets. If the failure to satisfy the 25%, 20% or 5% asset tests or the 10% value limitation results from an acquisition of securities or other property during a quarter, the failure can be cured by disposition of sufficient non-qualifying assets within 30 days after the close of that quarter. Federal Realty intends to maintain adequate records of the value of its assets to ensure compliance with the asset tests and to take any available actions within 30 days after the close of any quarter as may be required to cure any noncompliance with the 25% 20%, or 5% asset tests or 10% value limitation. If Federal Realty were to fail to cure noncompliance with the asset tests within this time period, Federal Realty would cease to qualify as a REIT.</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Annual Distribution Requirements. Federal Realty, in order to qualify for taxation as a REIT, is required to make dividend distributions (other than capital gain dividends) to its shareholders each year in an amount at least equal to</w:t>
      </w:r>
    </w:p>
    <w:p>
      <w:pPr>
        <w:spacing w:after="0" w:line="202" w:lineRule="exact"/>
        <w:rPr>
          <w:sz w:val="20"/>
          <w:szCs w:val="20"/>
          <w:color w:val="auto"/>
        </w:rPr>
      </w:pPr>
    </w:p>
    <w:p>
      <w:pPr>
        <w:ind w:left="740" w:hanging="521"/>
        <w:spacing w:after="0"/>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960" w:right="2619" w:hanging="531"/>
        <w:spacing w:after="0" w:line="236" w:lineRule="auto"/>
        <w:tabs>
          <w:tab w:leader="none" w:pos="96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Federal Realty's REIT taxable income (computed without regard to the dividends paid deduction and Federal Realty's net capital gain) and</w:t>
      </w:r>
    </w:p>
    <w:p>
      <w:pPr>
        <w:spacing w:after="0" w:line="208" w:lineRule="exact"/>
        <w:rPr>
          <w:rFonts w:ascii="Courier New" w:cs="Courier New" w:eastAsia="Courier New" w:hAnsi="Courier New"/>
          <w:sz w:val="18"/>
          <w:szCs w:val="18"/>
          <w:color w:val="auto"/>
        </w:rPr>
      </w:pPr>
    </w:p>
    <w:p>
      <w:pPr>
        <w:ind w:left="960" w:right="3039" w:hanging="531"/>
        <w:spacing w:after="0" w:line="235" w:lineRule="auto"/>
        <w:tabs>
          <w:tab w:leader="none" w:pos="96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the net income (after tax), if any, from foreclosure property,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740" w:hanging="521"/>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non-cash income.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Distributions must generally be made during the taxable year to which they relate. Dividends may be paid in the following year in two circumstances. First, dividends may be declared in the following year if the dividends are declared before Federal Realty timely files its tax return for the year and if made before the first regular dividend payment made after such declaration. Second, if Federal Realty declares a dividend in October, November, or December of any year with a record date in one of these months and pays the dividend on or before January 31 of the following year, Federal Realty will be treated as having paid the dividend on December 31 of the year in which the dividend was declared. To the extent that Federal Realty does not</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362" w:gutter="0" w:footer="0" w:header="0"/>
        </w:sectPr>
      </w:pPr>
    </w:p>
    <w:bookmarkStart w:id="22" w:name="page23"/>
    <w:bookmarkEnd w:id="22"/>
    <w:p>
      <w:pPr>
        <w:ind w:right="1999"/>
        <w:spacing w:after="0" w:line="237" w:lineRule="auto"/>
        <w:rPr>
          <w:sz w:val="20"/>
          <w:szCs w:val="20"/>
          <w:color w:val="auto"/>
        </w:rPr>
      </w:pPr>
      <w:r>
        <w:rPr>
          <w:rFonts w:ascii="Courier New" w:cs="Courier New" w:eastAsia="Courier New" w:hAnsi="Courier New"/>
          <w:sz w:val="18"/>
          <w:szCs w:val="18"/>
          <w:color w:val="auto"/>
        </w:rPr>
        <w:t>distribute all of its net capital gain or distributes at least 90%, but less than 100%, of its REIT taxable income, as adjusted, it will be subject to tax on the undistributed amount at regular capital gains or ordinary corporate tax rates, as the case may be.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REIT may elect to retain rather than distribute all or a portion of its net capital gains and pay the tax on the gains. In that case, a REIT may elect to have its shareholders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w:t>
      </w:r>
    </w:p>
    <w:p>
      <w:pPr>
        <w:spacing w:after="0" w:line="211"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Federal Realty believes that it has made, and intends to continue to make, timely distributions sufficient to satisfy the annual distribution requirements. It is possible, however, that Federal Realty, from time to time, may not have sufficient cash or other liquid assets to meet the distribution requirements. In that event, Federal Realty may arrange for short-term, or possibly long-term, borrowing to permit the payments of required dividends.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some circumstances, Federal Realty may be able to rectify a failure to meet the distribution requirement for a year by paying deficiency dividends to shareholders in a later year, which may be included in Federal Realty's deduction for dividends paid for the earlier year. Thus, Federal Realty may be able to avoid being taxed on amounts distributed as deficiency dividends. However, Federal Realty will be required to pay interest based upon the amount of any deduction taken for deficiency dividends.</w:t>
      </w:r>
    </w:p>
    <w:p>
      <w:pPr>
        <w:spacing w:after="0" w:line="211" w:lineRule="exact"/>
        <w:rPr>
          <w:sz w:val="20"/>
          <w:szCs w:val="20"/>
          <w:color w:val="auto"/>
        </w:rPr>
      </w:pPr>
    </w:p>
    <w:p>
      <w:pPr>
        <w:jc w:val="both"/>
        <w:ind w:right="2519" w:firstLine="316"/>
        <w:spacing w:after="0" w:line="236" w:lineRule="auto"/>
        <w:rPr>
          <w:sz w:val="20"/>
          <w:szCs w:val="20"/>
          <w:color w:val="auto"/>
        </w:rPr>
      </w:pPr>
      <w:r>
        <w:rPr>
          <w:rFonts w:ascii="Courier New" w:cs="Courier New" w:eastAsia="Courier New" w:hAnsi="Courier New"/>
          <w:sz w:val="18"/>
          <w:szCs w:val="18"/>
          <w:color w:val="auto"/>
        </w:rPr>
        <w:t>Record-keeping Requirements. Federal Realty is required to comply with applicable record-keeping requirements. Failure to comply could result in monetary fines.</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Failure to Qualify. If Federal Realty fails to qualify for taxation as a REIT in any taxable year and the relief provisions do not apply, Federal Realty will be subject to tax, including any applicable alternative minimum tax, on its taxable income at regular corporate rates. Distributions to shareholders in any year in which Federal Realty fails to qualify will not be required and, if made, will not be deductible by Federal Realty. Unless entitled to relief under specific statutory provisions, Federal Realty also will be disqualified from taxation as a REIT for the four taxable years following the year during which qualification was lost. It is not possible to state whether in all circumstances Federal Realty would be entitled to such statutory relief.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of Federal Realty's Investments in Partnerships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General. Federal Realty holds direct or indirect interests in a number of partnerships and limited liability companies (each individually, a "partnership" and, collectively, the "partnerships"). Federal Realty believes that each of the partnerships, other than wholly owned limited liability companies, which are disregarded for tax purposes, qualifies as a partnership, as opposed to an association taxable as a corporation, for federal income tax purposes. If any of the partnerships were to be treated as an association, it would be taxable as a corporation and therefore subject to an entity-level tax on its income. In such a situation, the character of Federal Realty's assets and items of gross income would change, which could preclude Federal Realty from satisfying the asset tests and possibly the income tests and, in turn, could prevent Federal Realty from qualifying as a REIT.</w:t>
      </w:r>
    </w:p>
    <w:p>
      <w:pPr>
        <w:spacing w:after="0" w:line="18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Ownership of Partnership Interests by a REIT. A REIT that is a partner in a partnership will be deemed to own its proportionate share of the assets of the partnership and will be deemed to earn its proportionate share of the partnership's income. In addition, the assets and gross income of the partnership retain the same character in the hands of the REIT for purposes of the gross income and asset tests applicable to REITs. Thus, Federal Realty's proportionate share of the assets and items of income of the partnerships, including the partnership's share of assets and items of income of any subsidiaries that are partnerships or limited liability companies, are treated as assets and items of income of Federal Realty for purposes of applying the asset and income tests. Federal Realty has control over substantially all of the partnerships and limited liability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970" w:gutter="0" w:footer="0" w:header="0"/>
        </w:sectPr>
      </w:pPr>
    </w:p>
    <w:bookmarkStart w:id="23" w:name="page24"/>
    <w:bookmarkEnd w:id="23"/>
    <w:p>
      <w:pPr>
        <w:ind w:right="1879"/>
        <w:spacing w:after="0" w:line="236" w:lineRule="auto"/>
        <w:rPr>
          <w:sz w:val="20"/>
          <w:szCs w:val="20"/>
          <w:color w:val="auto"/>
        </w:rPr>
      </w:pPr>
      <w:r>
        <w:rPr>
          <w:rFonts w:ascii="Courier New" w:cs="Courier New" w:eastAsia="Courier New" w:hAnsi="Courier New"/>
          <w:sz w:val="18"/>
          <w:szCs w:val="18"/>
          <w:color w:val="auto"/>
        </w:rPr>
        <w:t>companies in which it holds interests and intends to operate them in a manner that is consistent with the requirements for qualification of Federal Realty as a REIT.</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Tax Allocations with Respect to the Properties. Pursuant to Section 704(c) of the Internal Revenue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and the adjusted tax basis of contributed property at the time of contribution (a "Book-Tax Difference"). Such allocations are solely for federal income tax purposes and do not affect the book capital accounts or other economic or legal arrangements among the partners. These allocations will tend to eliminate the Book-Tax Difference over the life of the partnerships. However, the special allocation rules of Section 704(c) as applied by Federal Realty do not always entirely rectify the Book-Tax Difference on an annual basis or with respect to a specific taxable transaction such as a sale. Thus, the carryover basis of the contributed assets in the hands of the Partnerships will cause Federal Realty to be allocated lower depreciation and other deductions, and possibly greater amounts of taxable income in the event of a sale of contributed assets in excess of the economic or book income allocated to it as a result of such sale. This may cause Federal Realty to recognize taxable income in excess of cash proceeds, which might adversely affect Federal Realty's ability to comply with the REIT distribution requirements.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the Properties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Realty's share of any gain realized by the sale of any dealer property generally will be treated as income from a prohibited transaction that is subject to a 100% penalty tax. Under existing law, whether property is dealer property is a question of fact that depends on all the facts and circumstances with respect to the particular transaction. Federal Realty and its partnership subsidiaries have held and intend to continue to hold the properties for investment with a view to long-term appreciation, to engage in the business of acquiring, developing, owning and operating the properties and to make such occasional sales of the properties as are consistent with Federal Realty's investment objectives. Based upon such investment objectives, Federal Realty believes that, in general, the properties should not be considered dealer property and that the amount of income from prohibited transactions, if any, will not be material.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Domestic Holders of Common Shares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used in the remainder of this discussion, the term "U.S. shareholder" means a beneficial owner of a common share of Federal Realty that is, for United States federal income tax purposes:</w:t>
      </w:r>
    </w:p>
    <w:p>
      <w:pPr>
        <w:spacing w:after="0" w:line="209" w:lineRule="exact"/>
        <w:rPr>
          <w:sz w:val="20"/>
          <w:szCs w:val="20"/>
          <w:color w:val="auto"/>
        </w:rPr>
      </w:pPr>
    </w:p>
    <w:p>
      <w:pPr>
        <w:ind w:left="540" w:right="2519" w:hanging="321"/>
        <w:spacing w:after="0" w:line="235"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as defined in Section 7701(b) of the Internal Revenue Code, of the United States;</w:t>
      </w:r>
    </w:p>
    <w:p>
      <w:pPr>
        <w:spacing w:after="0" w:line="208" w:lineRule="exact"/>
        <w:rPr>
          <w:sz w:val="20"/>
          <w:szCs w:val="20"/>
          <w:color w:val="auto"/>
        </w:rPr>
      </w:pPr>
    </w:p>
    <w:p>
      <w:pPr>
        <w:ind w:left="540" w:right="2199" w:hanging="321"/>
        <w:spacing w:after="0" w:line="237"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partnership, or other entity treated as a corporation or partnership for federal income tax purposes, created or organized in or under the laws of the United States or any state or the District of Columbia;</w:t>
      </w:r>
    </w:p>
    <w:p>
      <w:pPr>
        <w:spacing w:after="0" w:line="207" w:lineRule="exact"/>
        <w:rPr>
          <w:sz w:val="20"/>
          <w:szCs w:val="20"/>
          <w:color w:val="auto"/>
        </w:rPr>
      </w:pPr>
    </w:p>
    <w:p>
      <w:pPr>
        <w:ind w:left="540" w:right="2099" w:hanging="321"/>
        <w:spacing w:after="0" w:line="235"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United States federal income taxation regardless of its source; or</w:t>
      </w:r>
    </w:p>
    <w:p>
      <w:pPr>
        <w:spacing w:after="0" w:line="208" w:lineRule="exact"/>
        <w:rPr>
          <w:sz w:val="20"/>
          <w:szCs w:val="20"/>
          <w:color w:val="auto"/>
        </w:rPr>
      </w:pPr>
    </w:p>
    <w:p>
      <w:pPr>
        <w:jc w:val="both"/>
        <w:ind w:left="540" w:right="2739" w:hanging="321"/>
        <w:spacing w:after="0" w:line="290" w:lineRule="auto"/>
        <w:tabs>
          <w:tab w:leader="none" w:pos="5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trust subject to the primary supervision of a United States court and the control of one or more United States persons.</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 the case of a partnership that holds common shares of Federal Realty, any partner that would be a U.S. shareholder if it held the common shares directly is also a U.S. shareholder. A "non-U.S. shareholder" is a holder, including any partner in a partnership that holds common shares, that is not a U.S. shareholder.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970" w:gutter="0" w:footer="0" w:header="0"/>
        </w:sectPr>
      </w:pPr>
    </w:p>
    <w:bookmarkStart w:id="24" w:name="page25"/>
    <w:bookmarkEnd w:id="24"/>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As long as Federal Realty qualifies as a REIT, distributions made to Federal Realty's taxable U.S. shareholders out of current or accumulated earnings and profits, and not designated as capital gain dividends, will be taken into account by them as ordinary income. Corporate shareholders will not be eligible for the dividends received deduction with respect to these distributions.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Distributions in excess of current and accumulated earnings and profits will not be taxable to a U.S. shareholder to the extent that the distributions do not exceed the adjusted basis of the U.S. shareholder's common shares. Rather, such distributions will reduce the adjusted basis of such common shares. To the extent that such distributions exceed the adjusted basis of a U.S. shareholder's common shares, they will be taxable as capital gains, assuming the common shares are a capital asset in the hands of the U.S. shareholder. If Federal Realty declares a dividend in October, November or December of any year with a record date in one of these months and pays the dividend on or before January 31 of the following year, Federal Realty will be treated as having paid the dividend, and the shareholder will be treated as having received the dividend, on December 31 of the year in which the dividend was declared.</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may elect to designate distributions of its net capital gain as "capital gain dividends." Capital gain dividends are taxed to U.S. shareholders as gain from the sale or exchange of a capital asset held for more than one year. This tax treatment applies regardless of the period the shareholder has held its shares. If Federal Realty designates any portion of a dividend as a capital gain dividend, a U.S. shareholder will receive an Internal Revenue Service Form 1099-DIV indicating the amount that will be taxable to the shareholder as capital gain. Corporate shareholders, however, may be required to treat up to 20% of capital gain dividends as ordinary income.</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Federal Realty may elect to require shareholders to include Federal Realty's undistributed net capital gains in their income. If Federal Realty makes such an election, U.S. shareholders</w:t>
      </w:r>
    </w:p>
    <w:p>
      <w:pPr>
        <w:spacing w:after="0" w:line="209" w:lineRule="exact"/>
        <w:rPr>
          <w:sz w:val="20"/>
          <w:szCs w:val="20"/>
          <w:color w:val="auto"/>
        </w:rPr>
      </w:pPr>
    </w:p>
    <w:p>
      <w:pPr>
        <w:ind w:left="640" w:right="3159" w:hanging="421"/>
        <w:spacing w:after="0" w:line="290" w:lineRule="auto"/>
        <w:tabs>
          <w:tab w:leader="none" w:pos="6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include in their income as long-term capital gains their proportionate share of such undistributed capital gains and</w:t>
      </w:r>
    </w:p>
    <w:p>
      <w:pPr>
        <w:spacing w:after="0" w:line="169" w:lineRule="exact"/>
        <w:rPr>
          <w:rFonts w:ascii="Courier New" w:cs="Courier New" w:eastAsia="Courier New" w:hAnsi="Courier New"/>
          <w:sz w:val="16"/>
          <w:szCs w:val="16"/>
          <w:color w:val="auto"/>
        </w:rPr>
      </w:pPr>
    </w:p>
    <w:p>
      <w:pPr>
        <w:ind w:left="640" w:right="2319" w:hanging="421"/>
        <w:spacing w:after="0" w:line="236" w:lineRule="auto"/>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deemed to have paid their proportionate share of the tax paid by Federal Realty on such undistributed capital gains and thereby receive a credit or refund for such amount.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 U.S. shareholder will increase the basis in its common shares by the difference between the amount of capital gain included in its income and the amount of tax it is deemed to have paid. The earnings and profits of Federal Realty will be adjusted appropriately.</w:t>
      </w:r>
    </w:p>
    <w:p>
      <w:pPr>
        <w:spacing w:after="0" w:line="207" w:lineRule="exact"/>
        <w:rPr>
          <w:sz w:val="20"/>
          <w:szCs w:val="20"/>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Federal Realty will classify portions of any designated capital gain dividend as either:</w:t>
      </w:r>
    </w:p>
    <w:p>
      <w:pPr>
        <w:spacing w:after="0" w:line="208" w:lineRule="exact"/>
        <w:rPr>
          <w:sz w:val="20"/>
          <w:szCs w:val="20"/>
          <w:color w:val="auto"/>
        </w:rPr>
      </w:pPr>
    </w:p>
    <w:p>
      <w:pPr>
        <w:ind w:left="540" w:right="2419" w:hanging="321"/>
        <w:spacing w:after="0" w:line="235"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gain distribution, which would be taxable to non-corporate U.S. shareholders at a maximum rate of 20%; or</w:t>
      </w:r>
    </w:p>
    <w:p>
      <w:pPr>
        <w:spacing w:after="0" w:line="208" w:lineRule="exact"/>
        <w:rPr>
          <w:sz w:val="20"/>
          <w:szCs w:val="20"/>
          <w:color w:val="auto"/>
        </w:rPr>
      </w:pPr>
    </w:p>
    <w:p>
      <w:pPr>
        <w:ind w:left="540" w:right="2099" w:hanging="321"/>
        <w:spacing w:after="0" w:line="235"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"unrecaptured Section 1250 gain" distribution, which would be taxable to non-corporate U.S. shareholders at a maximum rate of 25%.</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Federal Realty must determine the maximum amounts that it may designate as 20% and 25% capital gain dividends by performing the computation required by the Internal Revenue Code as if the REIT were an individual whose ordinary income were subject to a marginal tax rate of at least 28%. Designations made by Federal Realty only will be effective to the extent that they comply with Revenue Ruling 89-81, which requires that distributions made to different classes of shares not be composed disproportionately of a particular type of dividends.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made by Federal Realty and gain arising from the sale or exchange by a U.S. shareholder of common shares will not be treated as passive activity income, and as a result, U.S. shareholders generally will not be able to apply any "passive losses" against this income or gain. In addition, taxable distributions from Federal Realty generally will be treated as investment income for purposes of the investment interest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767" w:gutter="0" w:footer="0" w:header="0"/>
        </w:sectPr>
      </w:pPr>
    </w:p>
    <w:bookmarkStart w:id="25" w:name="page26"/>
    <w:bookmarkEnd w:id="25"/>
    <w:p>
      <w:pPr>
        <w:ind w:right="1999"/>
        <w:spacing w:after="0" w:line="271" w:lineRule="auto"/>
        <w:rPr>
          <w:sz w:val="20"/>
          <w:szCs w:val="20"/>
          <w:color w:val="auto"/>
        </w:rPr>
      </w:pPr>
      <w:r>
        <w:rPr>
          <w:rFonts w:ascii="Courier New" w:cs="Courier New" w:eastAsia="Courier New" w:hAnsi="Courier New"/>
          <w:sz w:val="16"/>
          <w:szCs w:val="16"/>
          <w:color w:val="auto"/>
        </w:rPr>
        <w:t>limitations. A U.S. shareholder may elect to treat capital gain dividends and capital gains from the disposition of common shares as investment income for purposes of the investment interest limitation, in which case the applicable capital gains will be taxed at ordinary income rates. Federal Realty will notify shareholders regarding the portions of distributions for each year that constitute ordinary income, return of capital and capital gain. U.S. shareholders may not include in their individual income tax returns any net operating losses or capital losses of Federal Realty. Federal Realty's operating or capital losses would be carried over by Federal Realty for potential offset against future income, subject to applicable limitations.</w:t>
      </w:r>
    </w:p>
    <w:p>
      <w:pPr>
        <w:spacing w:after="0" w:line="386"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Sales of Shares. Upon any taxable sale or other disposition of common shares, a U.S. shareholder will recognize gain or loss for federal income tax purposes on the disposition in an amount equal to the difference between:</w:t>
      </w:r>
    </w:p>
    <w:p>
      <w:pPr>
        <w:spacing w:after="0" w:line="178" w:lineRule="exact"/>
        <w:rPr>
          <w:sz w:val="20"/>
          <w:szCs w:val="20"/>
          <w:color w:val="auto"/>
        </w:rPr>
      </w:pPr>
    </w:p>
    <w:p>
      <w:pPr>
        <w:ind w:left="640" w:right="2319" w:hanging="421"/>
        <w:spacing w:after="0" w:line="235"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and the fair market value of any property received on such disposition; and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adjusted basis in the common shares for tax purposes.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Gain or loss will be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Internal Revenue Service has the authority to prescribe, but has not yet prescribed, regulations that would apply a capital gain tax rate of 25%, which is generally higher than the long-term capital gain tax rates for non-corporate shareholders, to a portion of capital gain realized by a non-corporate shareholder on the sale of REIT shares that would correspond to the REIT's "unrecaptured Section 1250 gain." Shareholders are advised to consult with their own tax advisors with respect to their capital gain tax liability.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any loss recognized by a U.S. shareholder upon the sale or other disposition of shares that have been held for six months or less, after applying certain holding period rules, will be treated as a long-term capital loss, but only to the extent of distributions received by the U.S. shareholder from Federal Realty that are required to be treated by such U.S. shareholder as long-term capital gains.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Shareholders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Provided that a tax-exempt shareholder has not held its common shares as "debt financed property" within the meaning of the Internal Revenue Code, the dividend income from Federal Realty will not be unrelated business taxable income, referred to as UBTI, to a tax-exempt shareholder. Similarly, income from the sale of common shares will not constitute UBTI unless the tax-exempt shareholder has held its share as debt financed property within the meaning of the Internal Revenue Code or has used the common shares in a trade or business.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However, for tax-exempt shareholders that are social clubs, voluntary employee benefit associations, supplemental unemployment benefit trusts and qualified group legal services plans exempt from federal income taxation under Sections 501(c)(7), (c)(9), (c)(17) and (c)(20) of the Internal Revenue Code, respectively, income from an investment in Federal Realty will constitute UBTI unless the organization properly sets aside or reserves such amounts for purposes specified in the Internal Revenue Code. These tax-exempt shareholders should consult their own tax advisors concerning these "set aside" and reserve requirements.</w:t>
      </w:r>
    </w:p>
    <w:p>
      <w:pPr>
        <w:spacing w:after="0" w:line="214"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Notwithstanding the above, however, a portion of the dividends paid by a "pension-held REIT" are treated as UBTI as to any trust which is described in Section 401(a) of the Internal Revenue Code, is tax-exempt under Section 501(a) of the Internal Revenue Code, and holds more than 10%, by value, of the interests in the REIT. Tax-exempt pension funds that are described in Section 401(a) of the Internal Revenue Code are referred to below as "pension trusts."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REIT is a pension-held REIT if it meets the following two tests:</w:t>
      </w:r>
    </w:p>
    <w:p>
      <w:pPr>
        <w:spacing w:after="0" w:line="207" w:lineRule="exact"/>
        <w:rPr>
          <w:sz w:val="20"/>
          <w:szCs w:val="20"/>
          <w:color w:val="auto"/>
        </w:rPr>
      </w:pPr>
    </w:p>
    <w:p>
      <w:pPr>
        <w:ind w:left="640" w:right="2099" w:hanging="421"/>
        <w:spacing w:after="0" w:line="236" w:lineRule="auto"/>
        <w:tabs>
          <w:tab w:leader="none" w:pos="6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not have qualified as a REIT but for the provisions of Section 856(h)(3) of the Internal Revenue Code, which provide that stock owned by pension trusts will be treated, for purposes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564" w:gutter="0" w:footer="0" w:header="0"/>
        </w:sectPr>
      </w:pPr>
    </w:p>
    <w:bookmarkStart w:id="26" w:name="page27"/>
    <w:bookmarkEnd w:id="26"/>
    <w:p>
      <w:pPr>
        <w:ind w:left="540" w:right="3039"/>
        <w:spacing w:after="0" w:line="290" w:lineRule="auto"/>
        <w:rPr>
          <w:sz w:val="20"/>
          <w:szCs w:val="20"/>
          <w:color w:val="auto"/>
        </w:rPr>
      </w:pPr>
      <w:r>
        <w:rPr>
          <w:rFonts w:ascii="Courier New" w:cs="Courier New" w:eastAsia="Courier New" w:hAnsi="Courier New"/>
          <w:sz w:val="16"/>
          <w:szCs w:val="16"/>
          <w:color w:val="auto"/>
        </w:rPr>
        <w:t>determining whether the REIT is closely held, as owned by the beneficiaries of the trust rather than by the trust itself; and</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either</w:t>
      </w:r>
    </w:p>
    <w:p>
      <w:pPr>
        <w:spacing w:after="0" w:line="207" w:lineRule="exact"/>
        <w:rPr>
          <w:sz w:val="20"/>
          <w:szCs w:val="20"/>
          <w:color w:val="auto"/>
        </w:rPr>
      </w:pPr>
    </w:p>
    <w:p>
      <w:pPr>
        <w:ind w:left="960" w:right="2739" w:hanging="425"/>
        <w:spacing w:after="0" w:line="235" w:lineRule="auto"/>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pension trust holds more than 25% of the value of the interests in the REIT, or</w:t>
      </w:r>
    </w:p>
    <w:p>
      <w:pPr>
        <w:spacing w:after="0" w:line="208"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of pension trusts each individually holding more than 10% of the value of the REIT's shares, collectively owns more than 50% of the value of the REIT's shares.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percentage of any REIT dividend treated as UBTI is equal to the ratio of the UBTI earned by the REIT, treating the REIT as if it were a pension trust and therefore subject to tax on UBTI, to the total gross income of the REIT. An exception applies where the percentage is less than 5% for any year. The provisions requiring pension trusts to treat a portion of REIT distributions as UBTI will not apply if the REIT is able to satisfy the "not closely held requirement" without relying upon the "look-through" exception with respect to pension trusts. Based on both its current share ownership and the limitations on transfer and ownership of shares contained in its Declaration of Trust, Federal Realty does not expect to be classified as a pension-held REIT.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7"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Distributions by Federal Realty. Distributions by Federal Realty to a non-U.S. shareholder that are neither attributable to gain from sales or exchanges by Federal Realty of "U.S. real property interests" nor designated by Federal Realty as capital gains dividends will be treated as dividends of ordinary income to the extent that they are made out of Federal Realty's current or accumulated earnings and profits. These distributions ordinarily will be subject to U.S. federal income tax on a gross basis at a rate of 30%, or a lower rate as permitted under an applicable income tax treaty, unless the dividends are treated as effectively connected with the conduct by the non-U.S. shareholder of a U.S. trade or business. Under some treaties, however, lower tax and withholding rates generally applicable to dividends do not apply to dividends from REITs. Dividends that are effectively connected with a trade or business will be subject to tax on a net basis, that is, after allowance for deductions, at graduated rates, in the same manner as U.S. shareholders are taxed with respect to these dividends and are generally not subject to withholding. Applicable certification and disclosure requirements must be satisfied to be exempt from withholding under the effectively connected income exemption. Any dividends received by a corporate non-U.S. shareholder that is engaged in a U.S. trade or business also may be subject to an additional branch profits tax at a 30% rate, or lower applicable treaty rate. Federal Realty expects to withhold U.S. income tax at the rate of 30% on any dividend distributions, not designated as (or deemed to be) capital gain dividends, made to a non-U.S. shareholder unless:</w:t>
      </w:r>
    </w:p>
    <w:p>
      <w:pPr>
        <w:spacing w:after="0" w:line="200" w:lineRule="exact"/>
        <w:rPr>
          <w:sz w:val="20"/>
          <w:szCs w:val="20"/>
          <w:color w:val="auto"/>
        </w:rPr>
      </w:pPr>
    </w:p>
    <w:p>
      <w:pPr>
        <w:spacing w:after="0" w:line="396" w:lineRule="exact"/>
        <w:rPr>
          <w:sz w:val="20"/>
          <w:szCs w:val="20"/>
          <w:color w:val="auto"/>
        </w:rPr>
      </w:pPr>
    </w:p>
    <w:p>
      <w:pPr>
        <w:ind w:left="640" w:right="2419" w:hanging="421"/>
        <w:spacing w:after="0" w:line="236" w:lineRule="auto"/>
        <w:tabs>
          <w:tab w:leader="none" w:pos="6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lower treaty rate applies and the non-U.S. shareholder files an Internal Revenue Service Form W-8BEN evidencing eligibility for that reduced rate with Federal Realty; or</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files an Internal Revenue Service Form W-8ECI with Federal Realty claiming that the distribution is effectively connected income.</w:t>
      </w:r>
    </w:p>
    <w:p>
      <w:pPr>
        <w:spacing w:after="0" w:line="209"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Distributions in excess of Federal Realty's current or accumulated earnings and profits that do not exceed the adjusted basis of the non-U.S. shareholder in its common shares will reduce the non-U.S. shareholder's adjusted basis in its Federal Realty's common shares and will not be subject to U.S. federal income tax. Distributions in excess of current and accumulated earnings and profits of Federal Realty that do exceed the adjusted basis of the non-U.S. shareholder in its common shares will be treated as gain from the sale of its common shares, the tax treatment of which is described below. See "Taxation of Non-U.S. Shareholders--Sale of Common Shares."</w:t>
      </w:r>
    </w:p>
    <w:p>
      <w:pPr>
        <w:spacing w:after="0" w:line="18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may be required to withhold at least 10% of any distribution in excess of its current and accumulated earnings and profits, even if a lower treaty rate applies or the non-U.S. shareholder is not liable for tax on the receipt of that distribution. However, a non-U.S. shareholder may seek a refund of these amounts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362" w:gutter="0" w:footer="0" w:header="0"/>
        </w:sectPr>
      </w:pPr>
    </w:p>
    <w:bookmarkStart w:id="27" w:name="page28"/>
    <w:bookmarkEnd w:id="27"/>
    <w:p>
      <w:pPr>
        <w:ind w:right="2199"/>
        <w:spacing w:after="0" w:line="290" w:lineRule="auto"/>
        <w:rPr>
          <w:sz w:val="20"/>
          <w:szCs w:val="20"/>
          <w:color w:val="auto"/>
        </w:rPr>
      </w:pPr>
      <w:r>
        <w:rPr>
          <w:rFonts w:ascii="Courier New" w:cs="Courier New" w:eastAsia="Courier New" w:hAnsi="Courier New"/>
          <w:sz w:val="16"/>
          <w:szCs w:val="16"/>
          <w:color w:val="auto"/>
        </w:rPr>
        <w:t>from the Internal Revenue Service if the non-U.S. shareholder's U.S. tax liability with respect to the distribution is less than the amount withheld.</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Distributions to a non-U.S. shareholder that are designated by Federal Realty at the time of the distribution as capital gain dividends, other than those arising from the disposition of a U.S. real property interest, generally should not be subject to U.S. federal income taxation unless:</w:t>
      </w:r>
    </w:p>
    <w:p>
      <w:pPr>
        <w:spacing w:after="0" w:line="207" w:lineRule="exact"/>
        <w:rPr>
          <w:sz w:val="20"/>
          <w:szCs w:val="20"/>
          <w:color w:val="auto"/>
        </w:rPr>
      </w:pPr>
    </w:p>
    <w:p>
      <w:pPr>
        <w:ind w:left="540" w:right="2319" w:hanging="321"/>
        <w:spacing w:after="0" w:line="237"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the common shares is effectively connected with the non-U.S. shareholder's trade or business, in which case the non-U.S. shareholder will be subject to the same treatment as U.S. shareholders with respect to any gain, except that a shareholder that is a foreign corporation also may be subject to the 30% branch profits tax, as discussed above, or</w:t>
      </w:r>
    </w:p>
    <w:p>
      <w:pPr>
        <w:spacing w:after="0" w:line="210" w:lineRule="exact"/>
        <w:rPr>
          <w:sz w:val="20"/>
          <w:szCs w:val="20"/>
          <w:color w:val="auto"/>
        </w:rPr>
      </w:pPr>
    </w:p>
    <w:p>
      <w:pPr>
        <w:ind w:left="540" w:right="2099" w:hanging="321"/>
        <w:spacing w:after="0" w:line="275" w:lineRule="auto"/>
        <w:tabs>
          <w:tab w:leader="none" w:pos="5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is a nonresident alien individual who is present in the U.S. for 183 days or more during the taxable year and has a "tax home" in the U.S., in which case the nonresident alien individual will be subject to a 30% tax on the individual's capital gains.</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will be required to withhold and remit to the Internal Revenue Service 35% of any distributions to foreign shareholders that are designated as capital gain dividends, or, if greater, 35% of a distribution that could have been designated as a capital gain dividend. Distributions can be designated as capital gains to the extent of Federal Realty's net capital gain for the taxable year of the distribution. The amount withheld is creditable against the non-U.S. shareholder's United States federal income tax liability.</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Although the law is not clear on the matter, it appears that amounts designated by Federal Realty as undistributed capital gains in respect of the common shares held by U.S. shareholders generally should be treated with respect to non-U.S. shareholders in the same manner as actual distributions by Federal Realty of capital gain dividends. Under that approach, the non-U.S. shareholders would be able to offset as a credit against their United States federal income tax liability resulting therefrom their proportionate share of the tax paid by Federal Realty on the undistributed capital gains, and to receive from the Internal Revenue Service a refund to the extent their proportionate share of this tax paid by Federal Realty were to exceed their actual United States federal income tax liability.</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Foreign Investment in Real Property Tax Act, which is referred to as "FIRPTA," distributions to a non-U.S. shareholder that are attributable to gain from sales or exchanges by Federal Realty of U.S. real property interests, whether or not designated as a capital gain dividend, will cause the non-U.S. shareholder to be treated as recognizing gain that is income effectively connected with a U.S. trade or business. Non-U.S. shareholders will be taxed on this gain at the same rates applicable to U.S. shareholders, subject to a special alternative minimum tax in the case of nonresident alien individuals. Also, this gain may be subject to a 30% branch profits tax in the hands of a non-U.S. shareholder that is a corporation.</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Sale of Common Shares. Gain recognized by a non-U.S. shareholder upon the sale or exchange of Federal Realty common shares generally would not be subject to United States taxation unless:</w:t>
      </w:r>
    </w:p>
    <w:p>
      <w:pPr>
        <w:spacing w:after="0" w:line="209" w:lineRule="exact"/>
        <w:rPr>
          <w:sz w:val="20"/>
          <w:szCs w:val="20"/>
          <w:color w:val="auto"/>
        </w:rPr>
      </w:pPr>
    </w:p>
    <w:p>
      <w:pPr>
        <w:ind w:left="540" w:right="2199" w:hanging="321"/>
        <w:spacing w:after="0" w:line="237"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Federal Realty common shares is effectively connected with the non-U.S. shareholder's U.S. trade or business, in which case the non-U.S. shareholder will be subject to the same treatment as domestic shareholders with respect to any gain;</w:t>
      </w:r>
    </w:p>
    <w:p>
      <w:pPr>
        <w:spacing w:after="0" w:line="207" w:lineRule="exact"/>
        <w:rPr>
          <w:sz w:val="20"/>
          <w:szCs w:val="20"/>
          <w:color w:val="auto"/>
        </w:rPr>
      </w:pPr>
    </w:p>
    <w:p>
      <w:pPr>
        <w:ind w:left="540" w:right="2519" w:hanging="321"/>
        <w:spacing w:after="0" w:line="237"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is a nonresident alien individual who is present in the United States for 183 days or more during the taxable year and has a tax home in the United States, in which case the nonresident alien individual will be subject to a 30% tax on the individual's net capital gains for the taxable year; or</w:t>
      </w:r>
    </w:p>
    <w:p>
      <w:pPr>
        <w:spacing w:after="0" w:line="209" w:lineRule="exact"/>
        <w:rPr>
          <w:sz w:val="20"/>
          <w:szCs w:val="20"/>
          <w:color w:val="auto"/>
        </w:rPr>
      </w:pPr>
    </w:p>
    <w:p>
      <w:pPr>
        <w:ind w:left="540" w:right="2419" w:hanging="321"/>
        <w:spacing w:after="0" w:line="235"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common shares constitute a U.S. real property interest within the meaning of FIRPTA, as described below.</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970" w:gutter="0" w:footer="0" w:header="0"/>
        </w:sectPr>
      </w:pPr>
    </w:p>
    <w:bookmarkStart w:id="28" w:name="page29"/>
    <w:bookmarkEnd w:id="28"/>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Realty's common shares will not constitute a United States real property interest if Federal Realty is a domestically controlled REIT. Federal Realty will be a domestically controlled REIT if, at all times during a specified testing period, less than 50% in value of its stock is held directly or indirectly by non-U.S. shareholders.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believes that, currently, it is a domestically controlled REIT and, therefore, that the sale of Federal Realty's common shares would not be subject to taxation under FIRPTA. Because Federal Realty's common shares are publicly traded, however, Federal Realty cannot guarantee that it is or will continue to be a domestically controlled REIT.</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Even if Federal Realty does not qualify as a domestically controlled REIT at the time a non-U.S. shareholder sells its Federal Realty common shares, gain arising from the sale still would not be subject to FIRPTA tax if:</w:t>
      </w:r>
    </w:p>
    <w:p>
      <w:pPr>
        <w:spacing w:after="0" w:line="209" w:lineRule="exact"/>
        <w:rPr>
          <w:sz w:val="20"/>
          <w:szCs w:val="20"/>
          <w:color w:val="auto"/>
        </w:rPr>
      </w:pPr>
    </w:p>
    <w:p>
      <w:pPr>
        <w:ind w:left="540" w:right="2199" w:hanging="321"/>
        <w:spacing w:after="0" w:line="236"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of shares sold is considered regularly traded under applicable Treasury regulations on an established securities market, such as the NYSE; and</w:t>
      </w:r>
    </w:p>
    <w:p>
      <w:pPr>
        <w:spacing w:after="0" w:line="209" w:lineRule="exact"/>
        <w:rPr>
          <w:sz w:val="20"/>
          <w:szCs w:val="20"/>
          <w:color w:val="auto"/>
        </w:rPr>
      </w:pPr>
    </w:p>
    <w:p>
      <w:pPr>
        <w:ind w:left="540" w:right="2099" w:hanging="321"/>
        <w:spacing w:after="0" w:line="237"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non-U.S. shareholder owned, actually or constructively, 5% or less in value of the outstanding class or series of shares being sold throughout the five-year period ending on the date of the sale or exchange.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If gain on the sale or exchange of Federal Realty common shares were subject to taxation under FIRPTA, the non-U.S. shareholder would be subject to regular U.S. income tax with respect to any gain in the same manner as a taxable U.S. shareholder, subject to any applicable alternative minimum tax and special alternative minimum tax in the case of nonresident alien individuals.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Tax and Information Reporting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Shareholders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payments of distributions on common shares and payments of the proceeds of the sale of common shares to some shareholders, unless an exception applies. Further, the payer will be required to withhold backup withholding tax at the rate of 31% if:</w:t>
      </w:r>
    </w:p>
    <w:p>
      <w:pPr>
        <w:spacing w:after="0" w:line="209" w:lineRule="exact"/>
        <w:rPr>
          <w:sz w:val="20"/>
          <w:szCs w:val="20"/>
          <w:color w:val="auto"/>
        </w:rPr>
      </w:pPr>
    </w:p>
    <w:p>
      <w:pPr>
        <w:ind w:left="540" w:right="2199" w:hanging="321"/>
        <w:spacing w:after="0" w:line="235"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payee fails to furnish a taxpayer identification number, or TIN, to the payer or to establish an exemption from backup withholding;</w:t>
      </w:r>
    </w:p>
    <w:p>
      <w:pPr>
        <w:spacing w:after="0" w:line="208" w:lineRule="exact"/>
        <w:rPr>
          <w:sz w:val="20"/>
          <w:szCs w:val="20"/>
          <w:color w:val="auto"/>
        </w:rPr>
      </w:pPr>
    </w:p>
    <w:p>
      <w:pPr>
        <w:ind w:left="540" w:right="2319" w:hanging="321"/>
        <w:spacing w:after="0" w:line="235"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notifies the payer that the TIN furnished by the payee is incorrect;</w:t>
      </w:r>
    </w:p>
    <w:p>
      <w:pPr>
        <w:spacing w:after="0" w:line="208" w:lineRule="exact"/>
        <w:rPr>
          <w:sz w:val="20"/>
          <w:szCs w:val="20"/>
          <w:color w:val="auto"/>
        </w:rPr>
      </w:pPr>
    </w:p>
    <w:p>
      <w:pPr>
        <w:ind w:left="540" w:right="2619" w:hanging="321"/>
        <w:spacing w:after="0" w:line="236"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notified payee under reporting with respect to interest, dividends or original issue discount described in Section 3406(c) of the Internal Revenue Code; or</w:t>
      </w:r>
    </w:p>
    <w:p>
      <w:pPr>
        <w:spacing w:after="0" w:line="209" w:lineRule="exact"/>
        <w:rPr>
          <w:sz w:val="20"/>
          <w:szCs w:val="20"/>
          <w:color w:val="auto"/>
        </w:rPr>
      </w:pPr>
    </w:p>
    <w:p>
      <w:pPr>
        <w:jc w:val="both"/>
        <w:ind w:left="540" w:right="2419" w:hanging="321"/>
        <w:spacing w:after="0" w:line="236"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failure of the payee to certify under the penalty of perjury that the payee is not subject to backup withholding under the Internal Revenue Code.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Some shareholders, including corporations, will be exempt from backup withholding. Any amounts withheld under the backup withholding rules from a payment to a shareholder will be allowed as a credit against the shareholder's United States federal income tax and may entitle the shareholder to a refund, provided that the required information is furnished to the Internal Revenue Service.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Shareholders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information reporting will apply to payments of distributions on common shares, and backup withholding at a rate of 31% may apply, unless the payee certifies that it is not a U.S. person or otherwise establishes an exemption.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9" w:name="page30"/>
    <w:bookmarkEnd w:id="29"/>
    <w:p>
      <w:pPr>
        <w:ind w:right="1999" w:firstLine="316"/>
        <w:spacing w:after="0" w:line="270" w:lineRule="auto"/>
        <w:rPr>
          <w:sz w:val="20"/>
          <w:szCs w:val="20"/>
          <w:color w:val="auto"/>
        </w:rPr>
      </w:pPr>
      <w:r>
        <w:rPr>
          <w:rFonts w:ascii="Courier New" w:cs="Courier New" w:eastAsia="Courier New" w:hAnsi="Courier New"/>
          <w:sz w:val="16"/>
          <w:szCs w:val="16"/>
          <w:color w:val="auto"/>
        </w:rPr>
        <w:t>The payment of the proceeds from the disposition of common shares to or through the U.S. office of a U.S. or foreign broker will be subject to information reporting and, possibly, backup withholding unless the non-U.S. shareholder certifies as to its non-U.S. status or otherwise establishes an exemption, provided that the broker does not have actual knowledge that the shareholder is a U.S. person or that the conditions of any other exemption are not, in fact, satisfied. The proceeds of the disposition by a non-U.S. shareholder of common shares to or through a foreign office of a broker generally will not be subject to information reporting or backup withholding. However, if the broker is a U.S. person, a controlled foreign corporation for U.S. tax purposes, or a foreign person 50% or more of whose gross income from all sources for specified periods is from activities that are effectively connected with a U.S. trade or business, information reporting generally will apply unless the broker has documentary evidence as to the non-U.S. shareholder's foreign status and has no actual knowledge to the contrary.</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Applicable Treasury regulations provide presumptions regarding the status of shareholders when payments to the shareholders cannot be reliably associated with appropriate documentation provided to the payer. Under these Treasury regulations, some shareholders are required to have provided new certifications with respect to payments made after December 31, 2000. Because the application of these Treasury regulations varies depending on the shareholder's particular circumstances, you are advised to consult your tax advisor regarding the information reporting requirements applicable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 portion of the cash to be used by Federal Realty to fund distributions comes from the non-controlled subsidiaries through payment of dividends on the stock of such corporations held by Federal Realty. The non-controlled subsidiaries are regular "C corporations" and thus pay federal, state and local income taxes on their net income at normal corporate rates. Furthermore, after the effective date of an election by a non-controlled subsidiary to be a taxable REIT subsidiary of Federal Realty, such taxable REIT subsidiary may be limited in its ability to deduct interest payments made to Federal Realty. Any federal, state or local income taxes that Federal Realty's non-controlled subsidiaries or taxable REIT subsidiaries are required to pay will reduce the amounts paid as dividends to Federal Realty and, thus, will reduce the cash available for distribution by Federal Realty to its shareholders.</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and its shareholders may be subject to state or local taxation in various state or local jurisdictions, including those in which it or they transact business or reside. The state and local tax treatment of Federal Realty and its shareholders may not conform to the federal income tax consequences discussed above. Consequently, prospective shareholders should consult their own tax advisors regarding the effect of state and local tax laws on an investment in the common shares of Federal Realty.</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0" w:name="page31"/>
    <w:bookmarkEnd w:id="30"/>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Any of the selling shareholders may from time to time, in one or more transactions, sell all or a portion of the offered shares on the New York Stock Exchange, in the over-the-counter market, on any other national securities exchange on which the common shares are listed or traded, in negotiated transactions, in underwritten transactions or otherwise, at prices then prevailing or related to the then current market price or at negotiated prices. The offering price of the offered shares from time to time will be determined by the selling shareholders and, at the time of such determination, may be higher or lower than the market price of the common shares on the New York Stock Exchange. In connection with an underwritten offering, underwriters or agents may receive compensation in the form of discounts, concessions or commissions from a selling shareholder or from purchasers of the offered shares for whom they may act as agents, and underwriters may sell the offered shares to or through dealers, and such dealers may receive compensation in the form of discounts, concessions or commissions from the underwriters and/or commissions from the purchasers for whom they may act as agents. The offered shares may be sold directly or through broker-dealers acting as principal or agent or pursuant to a distribution by one or more underwriters on a firm commitment or best-efforts basis. The methods by which the offered shares may be sold include:</w:t>
      </w:r>
    </w:p>
    <w:p>
      <w:pPr>
        <w:spacing w:after="0" w:line="210" w:lineRule="exact"/>
        <w:rPr>
          <w:sz w:val="20"/>
          <w:szCs w:val="20"/>
          <w:color w:val="auto"/>
        </w:rPr>
      </w:pPr>
    </w:p>
    <w:p>
      <w:pPr>
        <w:ind w:left="540" w:right="2199" w:hanging="321"/>
        <w:spacing w:after="0" w:line="236"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a broker-dealer will attempt to sell the offered shares as agent but may position and resell a portion of the block as principal to facilitate the transaction;</w:t>
      </w:r>
    </w:p>
    <w:p>
      <w:pPr>
        <w:spacing w:after="0" w:line="209" w:lineRule="exact"/>
        <w:rPr>
          <w:sz w:val="20"/>
          <w:szCs w:val="20"/>
          <w:color w:val="auto"/>
        </w:rPr>
      </w:pPr>
    </w:p>
    <w:p>
      <w:pPr>
        <w:ind w:left="540" w:right="2619" w:hanging="321"/>
        <w:spacing w:after="0" w:line="235"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broker-dealer as principal and resale by the broker-dealer for its account pursuant to this prospectus;</w:t>
      </w:r>
    </w:p>
    <w:p>
      <w:pPr>
        <w:spacing w:after="0" w:line="208" w:lineRule="exact"/>
        <w:rPr>
          <w:sz w:val="20"/>
          <w:szCs w:val="20"/>
          <w:color w:val="auto"/>
        </w:rPr>
      </w:pPr>
    </w:p>
    <w:p>
      <w:pPr>
        <w:ind w:left="540" w:right="2519" w:hanging="321"/>
        <w:spacing w:after="0" w:line="235" w:lineRule="auto"/>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sz w:val="20"/>
          <w:szCs w:val="20"/>
          <w:color w:val="auto"/>
        </w:rPr>
      </w:pPr>
    </w:p>
    <w:p>
      <w:pPr>
        <w:ind w:left="540" w:right="2419" w:hanging="321"/>
        <w:spacing w:after="0" w:line="235" w:lineRule="auto"/>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the New York Stock Exchange;</w:t>
      </w:r>
    </w:p>
    <w:p>
      <w:pPr>
        <w:spacing w:after="0" w:line="203" w:lineRule="exact"/>
        <w:rPr>
          <w:sz w:val="20"/>
          <w:szCs w:val="20"/>
          <w:color w:val="auto"/>
        </w:rPr>
      </w:pPr>
    </w:p>
    <w:p>
      <w:pPr>
        <w:ind w:left="540" w:hanging="321"/>
        <w:spacing w:after="0"/>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writing options on the offered shares;</w:t>
      </w:r>
    </w:p>
    <w:p>
      <w:pPr>
        <w:spacing w:after="0" w:line="201" w:lineRule="exact"/>
        <w:rPr>
          <w:sz w:val="20"/>
          <w:szCs w:val="20"/>
          <w:color w:val="auto"/>
        </w:rPr>
      </w:pPr>
    </w:p>
    <w:p>
      <w:pPr>
        <w:ind w:left="540" w:hanging="321"/>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settling short sales of the offered shares;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underwritten transactions.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shareholders and any underwriters, dealers or agents participating in the distribution of the offered shares may be deemed to be "underwriters" within the meaning of the Securities Act, and any profit on the sale of the offered shares by the selling shareholders and any commissions received by an such broker-dealers may be deemed to be underwriting commissions under the Securities Act.</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a selling shareholder elects to make a particular offer of the offered shares, this prospectus and a prospectus supplement, if required, will be distributed which will identify any underwriters, dealers or agents and any discounts, commissions and other terms constituting compensation from such selling shareholder and any other required information.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offered shares may be sold only through registered or licensed brokers or dealers. In addition, in some states, the offered shares may not be sold unless they have been registered or qualified for sale in such state or an exemption from such registration or qualification requirement is available and is complied with.</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have agreed to pay all costs and expenses incurred in connection with the registration under the Securities Act of the offered shares, including, without limitation, all registration and filing fees, printing expenses and fees and disbursements of our counsel and accountants. The selling shareholders will pay any brokerage fees and commissions, fees and disbursements of legal counsel for the selling shareholders and stock transfer and other taxes attributable to the sale of the offered shares. Under agreements that may be entered into by us, underwriters, dealers and agents who participate in the distribution of the offered shares, and their respective directors, trustees, officers, partners, agents, employees and affiliates, may be entitled to</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59" w:gutter="0" w:footer="0" w:header="0"/>
        </w:sectPr>
      </w:pPr>
    </w:p>
    <w:bookmarkStart w:id="31" w:name="page32"/>
    <w:bookmarkEnd w:id="31"/>
    <w:p>
      <w:pPr>
        <w:ind w:right="1879"/>
        <w:spacing w:after="0" w:line="238" w:lineRule="auto"/>
        <w:rPr>
          <w:sz w:val="20"/>
          <w:szCs w:val="20"/>
          <w:color w:val="auto"/>
        </w:rPr>
      </w:pPr>
      <w:r>
        <w:rPr>
          <w:rFonts w:ascii="Courier New" w:cs="Courier New" w:eastAsia="Courier New" w:hAnsi="Courier New"/>
          <w:sz w:val="18"/>
          <w:szCs w:val="18"/>
          <w:color w:val="auto"/>
        </w:rPr>
        <w:t>indemnification by us against specified liabilities, including liabilities, losses, claims, damages and expenses and any actions or proceedings arising under the securities laws in connection with this offering, or to contribution with respect to payments which such underwriters, dealers or agents may be required to make in respect thereof. We also have agreed to indemnify each of the selling shareholders and each person who controls (within the meaning of the Securities Act) such selling shareholder, and their respective directors, trustees, officers, partners, agents, employees and affiliates, against specified losses, claims, damages, liabilities and expenses and any actions or proceedings arising under the securities laws in connection with this offering. Each of the selling shareholders has agreed to indemnify us, each person who controls us (within the meaning of the Securities Act), underwriters, dealers and agents, and each of our and their directors, trustees, officers, partners, agents, employees and affiliates, against specified losses, claims, damages, liabilities and expenses arising and any actions or proceedings under the securities laws in connection with this offering with respect to written information furnished to us by such selling shareholder; provided, however, that the indemnification obligation is several, not joint, as to each selling shareholder.</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year ended December 31, 1999,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balance sheet as of December 31, 1998 and the related consolidated statements of operations, shareholders' equity, and cash flows for each of the two years in the period ended December 31, 1998 appearing in our Annual Report on Form 10-K for the year ended December 31, 1999, incorporated by reference into this prospectus and elsewhere in the registration statement, have been audited by Grant Thornton LLP, independent public accountants, as indicated in their report with respect thereto, and are incorporated by reference herein in reliance upon the authority of said firm as experts in giving said report.</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validity of the offered shares and the accuracy of the discussion under "Federal Income Tax Consequences" will be passed upon for us by Hogan &amp; Hartson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2" w:name="page33"/>
    <w:bookmarkEnd w:id="32"/>
    <w:p>
      <w:pPr>
        <w:ind w:left="334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 2001</w:t>
      </w:r>
    </w:p>
    <w:p>
      <w:pPr>
        <w:sectPr>
          <w:pgSz w:w="11900" w:h="16838" w:orient="portrait"/>
          <w:cols w:equalWidth="0" w:num="1">
            <w:col w:w="9019"/>
          </w:cols>
          <w:pgMar w:left="1440" w:top="919" w:right="1440" w:bottom="1440" w:gutter="0" w:footer="0" w:header="0"/>
        </w:sectPr>
      </w:pPr>
    </w:p>
    <w:bookmarkStart w:id="33" w:name="page34"/>
    <w:bookmarkEnd w:id="33"/>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$ 1,750.00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Duplicating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Trustees and Officers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0" w:gutter="0" w:footer="0" w:header="0"/>
        </w:sectPr>
      </w:pPr>
    </w:p>
    <w:bookmarkStart w:id="34" w:name="page35"/>
    <w:bookmarkEnd w:id="34"/>
    <w:p>
      <w:pPr>
        <w:ind w:right="1879"/>
        <w:spacing w:after="0" w:line="270" w:lineRule="auto"/>
        <w:rPr>
          <w:sz w:val="20"/>
          <w:szCs w:val="20"/>
          <w:color w:val="auto"/>
        </w:rPr>
      </w:pPr>
      <w:r>
        <w:rPr>
          <w:rFonts w:ascii="Courier New" w:cs="Courier New" w:eastAsia="Courier New" w:hAnsi="Courier New"/>
          <w:sz w:val="16"/>
          <w:szCs w:val="16"/>
          <w:color w:val="auto"/>
        </w:rPr>
        <w:t>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Title 8 of the Corporations and Associations Code of the State of Maryland, as amended, permits a Maryland real estate investment trust corporation to indemnify and advance expenses to its Trustees, officers, employees and agents, and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1879" w:hanging="631"/>
        <w:spacing w:after="0" w:line="236"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740" w:right="1879"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 independent public accountants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Grant Thornton LLP, independent public accountants</w:t>
      </w:r>
    </w:p>
    <w:p>
      <w:pPr>
        <w:ind w:left="120"/>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rPr>
          <w:sz w:val="20"/>
          <w:szCs w:val="20"/>
          <w:color w:val="auto"/>
        </w:rPr>
      </w:pPr>
      <w:r>
        <w:rPr>
          <w:rFonts w:ascii="Courier New" w:cs="Courier New" w:eastAsia="Courier New" w:hAnsi="Courier New"/>
          <w:sz w:val="18"/>
          <w:szCs w:val="18"/>
          <w:color w:val="auto"/>
        </w:rPr>
        <w:t>23.4# Consent of Hogan &amp; Hartson L.L.P. (included in Exhibit 8.1)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in signature page)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7359" w:firstLine="8"/>
        <w:spacing w:after="0" w:line="536" w:lineRule="auto"/>
        <w:tabs>
          <w:tab w:leader="none" w:pos="21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Item 17. Undertakings</w:t>
      </w:r>
    </w:p>
    <w:p>
      <w:pPr>
        <w:ind w:left="740" w:hanging="416"/>
        <w:spacing w:after="0"/>
        <w:tabs>
          <w:tab w:leader="none" w:pos="74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320" w:right="1999" w:firstLine="425"/>
        <w:spacing w:after="0" w:line="235" w:lineRule="auto"/>
        <w:tabs>
          <w:tab w:leader="none" w:pos="1163" w:val="left"/>
        </w:tabs>
        <w:numPr>
          <w:ilvl w:val="2"/>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740" w:right="2199" w:firstLine="427"/>
        <w:spacing w:after="0" w:line="235" w:lineRule="auto"/>
        <w:tabs>
          <w:tab w:leader="none" w:pos="1583" w:val="left"/>
        </w:tabs>
        <w:numPr>
          <w:ilvl w:val="3"/>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35" w:name="page36"/>
    <w:bookmarkEnd w:id="35"/>
    <w:p>
      <w:pPr>
        <w:ind w:left="200" w:right="2319" w:firstLine="325"/>
        <w:spacing w:after="0" w:line="270" w:lineRule="auto"/>
        <w:tabs>
          <w:tab w:leader="none" w:pos="104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ind w:left="200" w:right="2419" w:firstLine="325"/>
        <w:spacing w:after="0" w:line="237" w:lineRule="auto"/>
        <w:tabs>
          <w:tab w:leader="none" w:pos="114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provided, however, that subparagraphs (i) and (ii) above shall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204" w:lineRule="exact"/>
        <w:rPr>
          <w:sz w:val="20"/>
          <w:szCs w:val="20"/>
          <w:color w:val="auto"/>
        </w:rPr>
      </w:pPr>
    </w:p>
    <w:p>
      <w:pPr>
        <w:ind w:left="740" w:hanging="425"/>
        <w:spacing w:after="0"/>
        <w:tabs>
          <w:tab w:leader="none" w:pos="74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ind w:right="2319" w:firstLine="315"/>
        <w:spacing w:after="0" w:line="236" w:lineRule="auto"/>
        <w:tabs>
          <w:tab w:leader="none" w:pos="737"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220" w:right="1999" w:firstLine="324"/>
        <w:spacing w:after="0" w:line="237" w:lineRule="auto"/>
        <w:tabs>
          <w:tab w:leader="none" w:pos="51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left="-220" w:right="1999" w:firstLine="324"/>
        <w:spacing w:after="0" w:line="269" w:lineRule="auto"/>
        <w:tabs>
          <w:tab w:leader="none" w:pos="517"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Trustees, officers and controlling persons of the registrant pursuant to existing provisions or arrangements whereby the Registrant may indemnify a Trustee, officer or controlling person of the registrant against liabilities arising under the Securities Act of 1933,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999"/>
          </w:cols>
          <w:pgMar w:left="460" w:top="723" w:right="1440" w:bottom="1440" w:gutter="0" w:footer="0" w:header="0"/>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12th day of March, 2001.</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tbl>
      <w:tblPr>
        <w:tblLayout w:type="fixed"/>
        <w:tblInd w:w="4440" w:type="dxa"/>
        <w:tblCellMar>
          <w:top w:w="0" w:type="dxa"/>
          <w:left w:w="0" w:type="dxa"/>
          <w:bottom w:w="0" w:type="dxa"/>
          <w:right w:w="0" w:type="dxa"/>
        </w:tblCellMar>
      </w:tblPr>
      <w:tr>
        <w:trPr>
          <w:trHeight w:val="204"/>
        </w:trPr>
        <w:tc>
          <w:tcPr>
            <w:tcW w:w="28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By:  /s/ Steven J. Guttman</w:t>
            </w:r>
          </w:p>
        </w:tc>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__________</w:t>
            </w:r>
          </w:p>
        </w:tc>
      </w:tr>
      <w:tr>
        <w:trPr>
          <w:trHeight w:val="203"/>
        </w:trPr>
        <w:tc>
          <w:tcPr>
            <w:tcW w:w="1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Steven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J. Guttman</w:t>
            </w:r>
          </w:p>
        </w:tc>
        <w:tc>
          <w:tcPr>
            <w:tcW w:w="1060" w:type="dxa"/>
            <w:vAlign w:val="bottom"/>
          </w:tcPr>
          <w:p>
            <w:pPr>
              <w:spacing w:after="0"/>
              <w:rPr>
                <w:sz w:val="17"/>
                <w:szCs w:val="17"/>
                <w:color w:val="auto"/>
              </w:rPr>
            </w:pPr>
          </w:p>
        </w:tc>
      </w:tr>
      <w:tr>
        <w:trPr>
          <w:trHeight w:val="203"/>
        </w:trPr>
        <w:tc>
          <w:tcPr>
            <w:tcW w:w="2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Title: Chairman of the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Board</w:t>
            </w:r>
          </w:p>
        </w:tc>
      </w:tr>
      <w:tr>
        <w:trPr>
          <w:trHeight w:val="203"/>
        </w:trPr>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Executive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the undersigned trustees and officers of Federal Realty Investment Trust, a Maryland real estate investment trust, do hereby constitute and appoint Steven J. Guttman and Cecily A. Ward,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39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indicated below as of March 12,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jc w:val="right"/>
              <w:ind w:right="1532"/>
              <w:spacing w:after="0"/>
              <w:rPr>
                <w:sz w:val="20"/>
                <w:szCs w:val="20"/>
                <w:color w:val="auto"/>
              </w:rPr>
            </w:pPr>
            <w:r>
              <w:rPr>
                <w:rFonts w:ascii="Courier New" w:cs="Courier New" w:eastAsia="Courier New" w:hAnsi="Courier New"/>
                <w:sz w:val="18"/>
                <w:szCs w:val="18"/>
                <w:color w:val="auto"/>
              </w:rPr>
              <w:t>Signature</w:t>
            </w:r>
          </w:p>
        </w:tc>
        <w:tc>
          <w:tcPr>
            <w:tcW w:w="4900" w:type="dxa"/>
            <w:vAlign w:val="bottom"/>
          </w:tcPr>
          <w:p>
            <w:pPr>
              <w:ind w:left="226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0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w:t>
            </w:r>
          </w:p>
        </w:tc>
        <w:tc>
          <w:tcPr>
            <w:tcW w:w="4900" w:type="dxa"/>
            <w:vAlign w:val="bottom"/>
          </w:tcPr>
          <w:p>
            <w:pPr>
              <w:ind w:left="22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/s/ Steven J. Guttman</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w w:val="97"/>
              </w:rPr>
              <w:t>Chairman of the Board, Chief Executive Officer</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Trustee (Chief Executive Officer)</w:t>
            </w:r>
          </w:p>
        </w:tc>
      </w:tr>
      <w:tr>
        <w:trPr>
          <w:trHeight w:val="203"/>
        </w:trPr>
        <w:tc>
          <w:tcPr>
            <w:tcW w:w="40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Steven J. Guttman</w:t>
            </w:r>
          </w:p>
        </w:tc>
        <w:tc>
          <w:tcPr>
            <w:tcW w:w="4900" w:type="dxa"/>
            <w:vAlign w:val="bottom"/>
          </w:tcPr>
          <w:p>
            <w:pPr>
              <w:spacing w:after="0"/>
              <w:rPr>
                <w:sz w:val="17"/>
                <w:szCs w:val="17"/>
                <w:color w:val="auto"/>
              </w:rPr>
            </w:pPr>
          </w:p>
        </w:tc>
      </w:tr>
      <w:tr>
        <w:trPr>
          <w:trHeight w:val="405"/>
        </w:trPr>
        <w:tc>
          <w:tcPr>
            <w:tcW w:w="40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/s/ Cecily A. Ward</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Vice President, Chief Financial Officer and</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 (Chief Financial and Accounting</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Cecily A. Ward</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406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/s/ Dennis L. Berman</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0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Dennis L. Berman</w:t>
            </w:r>
          </w:p>
        </w:tc>
        <w:tc>
          <w:tcPr>
            <w:tcW w:w="4900" w:type="dxa"/>
            <w:vAlign w:val="bottom"/>
          </w:tcPr>
          <w:p>
            <w:pPr>
              <w:spacing w:after="0"/>
              <w:rPr>
                <w:sz w:val="17"/>
                <w:szCs w:val="17"/>
                <w:color w:val="auto"/>
              </w:rPr>
            </w:pPr>
          </w:p>
        </w:tc>
      </w:tr>
      <w:tr>
        <w:trPr>
          <w:trHeight w:val="405"/>
        </w:trPr>
        <w:tc>
          <w:tcPr>
            <w:tcW w:w="406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/s/ Kenneth D. Brody</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0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Kenneth D. Brody</w:t>
            </w:r>
          </w:p>
        </w:tc>
        <w:tc>
          <w:tcPr>
            <w:tcW w:w="4900" w:type="dxa"/>
            <w:vAlign w:val="bottom"/>
          </w:tcPr>
          <w:p>
            <w:pPr>
              <w:spacing w:after="0"/>
              <w:rPr>
                <w:sz w:val="17"/>
                <w:szCs w:val="17"/>
                <w:color w:val="auto"/>
              </w:rPr>
            </w:pPr>
          </w:p>
        </w:tc>
      </w:tr>
      <w:tr>
        <w:trPr>
          <w:trHeight w:val="405"/>
        </w:trPr>
        <w:tc>
          <w:tcPr>
            <w:tcW w:w="40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/s/ Kristin Gamble</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00" w:type="dxa"/>
            <w:vAlign w:val="bottom"/>
          </w:tcPr>
          <w:p>
            <w:pPr>
              <w:spacing w:after="0"/>
              <w:rPr>
                <w:sz w:val="17"/>
                <w:szCs w:val="17"/>
                <w:color w:val="auto"/>
              </w:rPr>
            </w:pPr>
          </w:p>
        </w:tc>
      </w:tr>
      <w:tr>
        <w:trPr>
          <w:trHeight w:val="203"/>
        </w:trPr>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Kristin Gamble</w:t>
            </w:r>
          </w:p>
        </w:tc>
        <w:tc>
          <w:tcPr>
            <w:tcW w:w="4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37" w:name="page38"/>
    <w:bookmarkEnd w:id="37"/>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1122" w:right="1440" w:bottom="1440" w:gutter="0" w:footer="0" w:header="0"/>
        </w:sect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Walter F. Loeb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Walter F. Loeb</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Mark S. Ordan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Mark S. Ordan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122" w:right="1440" w:bottom="1440" w:gutter="0" w:footer="0" w:header="0"/>
          <w:type w:val="continuous"/>
        </w:sectPr>
      </w:pPr>
    </w:p>
    <w:bookmarkStart w:id="38" w:name="page39"/>
    <w:bookmarkEnd w:id="38"/>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1879" w:hanging="631"/>
        <w:spacing w:after="0" w:line="236"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740" w:right="1879" w:hanging="631"/>
        <w:spacing w:after="0" w:line="237" w:lineRule="auto"/>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 independent public accountants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Grant Thornton LLP, independent public accountants</w:t>
      </w:r>
    </w:p>
    <w:p>
      <w:pPr>
        <w:ind w:left="120"/>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rPr>
          <w:sz w:val="20"/>
          <w:szCs w:val="20"/>
          <w:color w:val="auto"/>
        </w:rPr>
      </w:pPr>
      <w:r>
        <w:rPr>
          <w:rFonts w:ascii="Courier New" w:cs="Courier New" w:eastAsia="Courier New" w:hAnsi="Courier New"/>
          <w:sz w:val="18"/>
          <w:szCs w:val="18"/>
          <w:color w:val="auto"/>
        </w:rPr>
        <w:t>23.4# Consent of Hogan &amp; Hartson L.L.P. (included in Exhibit 8.1)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in signature page)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To be filed by amendment.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14, 2000 included in Federal Realty Investment Trust's Form 10-K for the year ended December 31, 1999 and to all references to our Firm included in this registration statement.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38" w:lineRule="auto"/>
        <w:rPr>
          <w:sz w:val="20"/>
          <w:szCs w:val="20"/>
          <w:color w:val="auto"/>
        </w:rPr>
      </w:pPr>
      <w:r>
        <w:rPr>
          <w:rFonts w:ascii="Courier New" w:cs="Courier New" w:eastAsia="Courier New" w:hAnsi="Courier New"/>
          <w:sz w:val="18"/>
          <w:szCs w:val="18"/>
          <w:color w:val="auto"/>
        </w:rPr>
        <w:t>March 12, 2001</w:t>
      </w:r>
    </w:p>
    <w:p>
      <w:pPr>
        <w:sectPr>
          <w:pgSz w:w="11900" w:h="16838" w:orient="portrait"/>
          <w:cols w:equalWidth="0" w:num="1">
            <w:col w:w="10219"/>
          </w:cols>
          <w:pgMar w:left="240" w:top="541" w:right="1440" w:bottom="1440" w:gutter="0" w:footer="0" w:header="0"/>
        </w:sectPr>
      </w:pPr>
    </w:p>
    <w:bookmarkStart w:id="40" w:name="page41"/>
    <w:bookmarkEnd w:id="40"/>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We have issued our reports dated February 8, 1999, accompanying the consolidated balance sheet as of December 31, 1998 and the related consolidated statements of operations, shareholder's equity and cash flows for each of the two years in the period ended December 31, 1998 and 1997, and schedules incorporated by reference in the Annual Report of Federal Realty Investment Trust on Form 10-K for the year ended December 31, 1999. We hereby consent to the incorporation by reference of said reports in the Registration Statement of Federal Realty Investment Trust on Form S-3 (to be filed on or about March 12, 2001) and the use of our name as it appears under the caption "Experts."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March 9,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lvl w:ilvl="1">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decimal"/>
      <w:start w:val="1"/>
    </w:lvl>
    <w:lvl w:ilvl="1">
      <w:lvlJc w:val="left"/>
      <w:lvlText w:val="(%2)"/>
      <w:numFmt w:val="lowerLetter"/>
      <w:start w:val="1"/>
    </w:lvl>
  </w:abstractNum>
  <w:abstractNum w:abstractNumId="58">
    <w:nsid w:val="7BD3EE7B"/>
    <w:multiLevelType w:val="hybridMultilevel"/>
    <w:lvl w:ilvl="0">
      <w:lvlJc w:val="left"/>
      <w:lvlText w:val="(%1)"/>
      <w:numFmt w:val="decimal"/>
      <w:start w:val="2"/>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
      <w:numFmt w:val="bullet"/>
      <w:start w:val="1"/>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88">
    <w:nsid w:val="68EBC550"/>
    <w:multiLevelType w:val="hybridMultilevel"/>
    <w:lvl w:ilvl="0">
      <w:lvlJc w:val="left"/>
      <w:lvlText w:val="(%1)"/>
      <w:numFmt w:val="lowerRoman"/>
      <w:start w:val="2"/>
    </w:lvl>
  </w:abstractNum>
  <w:abstractNum w:abstractNumId="89">
    <w:nsid w:val="2DF6D648"/>
    <w:multiLevelType w:val="hybridMultilevel"/>
    <w:lvl w:ilvl="0">
      <w:lvlJc w:val="left"/>
      <w:lvlText w:val="%1"/>
      <w:numFmt w:val="lowerLetter"/>
      <w:start w:val="1"/>
    </w:lvl>
    <w:lvl w:ilvl="1">
      <w:lvlJc w:val="left"/>
      <w:lvlText w:val="(%2)"/>
      <w:numFmt w:val="decimal"/>
      <w:start w:val="2"/>
    </w:lvl>
  </w:abstractNum>
  <w:abstractNum w:abstractNumId="90">
    <w:nsid w:val="46B7D447"/>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2019-12-12T08:59:45Z</dcterms:created>
  <dcterms:modified xsi:type="dcterms:W3CDTF">2019-12-12T08:59:45Z</dcterms:modified>
</cp:coreProperties>
</file>