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05601d424b7.htm"/>
        <w:bookmarkStart w:id="1" w:name="ksd605601d424b7"/>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424(b)(7)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333-277767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MARCH 8, 2024) </w:t>
      </w:r>
    </w:p>
    <w:p>
      <w:pPr>
        <w:pStyle w:val="TextBody"/>
        <w:bidi w:val="0"/>
        <w:spacing w:before="0" w:after="0"/>
        <w:jc w:val="left"/>
        <w:rPr/>
      </w:pPr>
      <w:r>
        <w:rPr/>
        <w:t> </w:t>
      </w:r>
    </w:p>
    <w:p>
      <w:pPr>
        <w:pStyle w:val="TextBody"/>
        <w:bidi w:val="0"/>
        <w:spacing w:before="0" w:after="0"/>
        <w:jc w:val="center"/>
        <w:rPr/>
      </w:pPr>
      <w:r>
        <w:rPr/>
        <w:drawing>
          <wp:inline distT="0" distB="0" distL="0" distR="0">
            <wp:extent cx="24860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86025" cy="7715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Federal Realty Investment Trust </w:t>
      </w:r>
    </w:p>
    <w:p>
      <w:pPr>
        <w:pStyle w:val="TextBody"/>
        <w:bidi w:val="0"/>
        <w:spacing w:before="240" w:after="0"/>
        <w:jc w:val="center"/>
        <w:rPr>
          <w:rFonts w:ascii="Times New Roman" w:hAnsi="Times New Roman"/>
          <w:b/>
          <w:sz w:val="28"/>
        </w:rPr>
      </w:pPr>
      <w:r>
        <w:rPr>
          <w:rFonts w:ascii="Times New Roman" w:hAnsi="Times New Roman"/>
          <w:b/>
          <w:sz w:val="28"/>
        </w:rPr>
        <w:t xml:space="preserve">729,246 Common Shares of Beneficial Interest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relates to the offer and sale from time to time by the selling shareholders named in this prospectus supplement or their pledgees of up to 729,246 common shares of beneficial interest, par value $.01 per share, which we refer to as our common shares, comprised of (i) common shares issuable upon conversion of our 5.417% Series 1 Cumulative Convertible Preferred Shares of Beneficial Interest, par value $.01 per share and liquidation preference $25.00 per share, which we refer to as our preferred shares, if and to the extent that selling shareholders tender preferred shares for conversion and offer or sell any of the common shares issued in respect thereof and (ii) common shares issuable upon redemption of units of (A) NVI-Avenue, LLC, a Maryland limited liability company, (B) Route 35 Shrewsbury Limited Partnership, a New Jersey limited partnership, (C) Shrewsbury Commons L.P., a Washington limited partnership, (D) Sea Girt Limited Partnership, a Washington limited partnership, (E) 35 West, LLC, a Washington limited liability company, and (F) Federal Realty Partners L.P., a Delaware limited partnership, if and to the extent that redeeming unitholders tender such units for redemption, receive common shares for such redemption and offer or sell any of the common shares issued in respect thereof. We refer to the entities named in items (A) through (F) above as the downREIT entities and the units therein as downREIT units.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common shares by the selling shareholders or their pledgees.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preferred shares may convert their outstanding preferred shares into a number of common shares determined by dividing (i) the product obtained by multiplying (A) the number of preferred shares being converted by (B) the liquidation price of $25.00 per preferred share; by (ii) the optional conversion price (which conversion price is calculated as provided for in the Companys declaration of trust as in effect from time to time, which we refer to as the Declaration of Trust) as in effect immediately prior to the close of business on the date of conversion. Conversions are subject to (a) limitations on real estate investment trust share ownership, (b) a minimum conversion amount, (c) conversion frequency limits and (d) black-out periods after public offerings of the registrant. At any time at which the trailing 200 consecutive trading day average closing price of the common shares as reported on the New York Stock Exchange is greater than the mandatory conversion trigger price (which price is calculated as provided for in the Declaration of Trust), the registrant may convert all or any outstanding preferred shares into a number of fully paid and nonassessable common shares determined by dividing (i) the product obtained by multiplying (A) the number of preferred shares being converted by (B) the liquidation price of $25.00 per preferred share; by (ii) the optional conversion price (which conversion price is calculated as provided for in the Declaration of Trust) as in effect immediately prior to the close of business on the conversion date set by the registrant in accordance with the Declaration of Trust.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downREIT units has the right to require the applicable downREIT entity to redeem his, her or its downREIT units for cash. At our election, the downREIT units tendered for redemption may be redeemed for common shares instead of cash. </w:t>
      </w:r>
    </w:p>
    <w:p>
      <w:pPr>
        <w:pStyle w:val="TextBody"/>
        <w:bidi w:val="0"/>
        <w:spacing w:before="240" w:after="0"/>
        <w:jc w:val="left"/>
        <w:rPr>
          <w:rFonts w:ascii="Times New Roman" w:hAnsi="Times New Roman"/>
          <w:sz w:val="20"/>
        </w:rPr>
      </w:pPr>
      <w:r>
        <w:rPr>
          <w:rFonts w:ascii="Times New Roman" w:hAnsi="Times New Roman"/>
          <w:sz w:val="20"/>
        </w:rPr>
        <w:t xml:space="preserve">In some cases, we are registering the common shares being offered under this prospectus supplement pursuant to contractual obligations under registration rights agreements in order to permit the selling shareholders or their permissible transferees to offer or sell such shares without restriction, in the open market or otherwise. However, the registration of such common shares does not necessarily mean that any of the preferred shares will be tendered for conversion, that any of the downREIT units will be tendered for redemption, that any common shares will be issued upon redemption of downREIT units, or that the selling shareholders or their permissible transferees will offer or sell any common shares. </w:t>
      </w:r>
    </w:p>
    <w:p>
      <w:pPr>
        <w:pStyle w:val="TextBody"/>
        <w:bidi w:val="0"/>
        <w:spacing w:before="240" w:after="0"/>
        <w:jc w:val="left"/>
        <w:rPr>
          <w:rFonts w:ascii="Times New Roman" w:hAnsi="Times New Roman"/>
          <w:sz w:val="20"/>
        </w:rPr>
      </w:pPr>
      <w:r>
        <w:rPr>
          <w:rFonts w:ascii="Times New Roman" w:hAnsi="Times New Roman"/>
          <w:sz w:val="20"/>
        </w:rPr>
        <w:t xml:space="preserve">We will pay all expenses incident to the registration of the common shares offered herein (other than brokerage fees and sales commissions, fees and disbursements of the selling shareholders counsel, accountants and other advisors and transfer taxes, if any, relating to the sale or disposition of the offered shares). </w:t>
      </w:r>
    </w:p>
    <w:p>
      <w:pPr>
        <w:pStyle w:val="TextBody"/>
        <w:bidi w:val="0"/>
        <w:spacing w:before="240" w:after="0"/>
        <w:jc w:val="left"/>
        <w:rPr>
          <w:rFonts w:ascii="Times New Roman" w:hAnsi="Times New Roman"/>
          <w:sz w:val="20"/>
        </w:rPr>
      </w:pPr>
      <w:r>
        <w:rPr>
          <w:rFonts w:ascii="Times New Roman" w:hAnsi="Times New Roman"/>
          <w:sz w:val="20"/>
        </w:rPr>
        <w:t xml:space="preserve">Our common shares are listed on the New York Stock Exchange, or the NYSE, under the symbol FRT. On March 7, 2024, the last reported sale price of our common shares on the NYSE was $101.99 per share.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Investing in our common shares involves risks. See the information under the caption </w:t>
      </w:r>
      <w:hyperlink w:anchor="a605601_3">
        <w:r>
          <w:rPr>
            <w:rStyle w:val="InternetLink"/>
            <w:rFonts w:ascii="Times New Roman" w:hAnsi="Times New Roman"/>
            <w:b/>
            <w:sz w:val="24"/>
          </w:rPr>
          <w:t>Risk Factors</w:t>
        </w:r>
      </w:hyperlink>
      <w:r>
        <w:rPr>
          <w:rFonts w:ascii="Times New Roman" w:hAnsi="Times New Roman"/>
          <w:b/>
          <w:sz w:val="24"/>
        </w:rPr>
        <w:t> in our most recent Annual Report on Form 10-K filed with the Securities and Exchange Commission, or the SEC, and subsequent filings that we make with the SEC that are incorporated by reference herein, as well as page S-3 of this prospectus supplement.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March 8,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1"/>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6"/>
        <w:gridCol w:w="164"/>
        <w:gridCol w:w="60"/>
        <w:gridCol w:w="472"/>
        <w:gridCol w:w="63"/>
      </w:tblGrid>
      <w:tr>
        <w:trPr/>
        <w:tc>
          <w:tcPr>
            <w:tcW w:w="944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a605601_1">
              <w:r>
                <w:rPr>
                  <w:rStyle w:val="InternetLink"/>
                  <w:rFonts w:ascii="Times New Roman" w:hAnsi="Times New Roman"/>
                  <w:sz w:val="20"/>
                </w:rPr>
                <w:t>About this Prospectus Supplement</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a605601_2">
              <w:r>
                <w:rPr>
                  <w:rStyle w:val="InternetLink"/>
                  <w:rFonts w:ascii="Times New Roman" w:hAnsi="Times New Roman"/>
                  <w:sz w:val="20"/>
                </w:rPr>
                <w:t>Cautionary Statement Concerning Forward-Looking Statements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a605601_3">
              <w:r>
                <w:rPr>
                  <w:rStyle w:val="InternetLink"/>
                  <w:rFonts w:ascii="Times New Roman" w:hAnsi="Times New Roman"/>
                  <w:sz w:val="20"/>
                </w:rPr>
                <w:t>Risk Factors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a605601_4">
              <w:r>
                <w:rPr>
                  <w:rStyle w:val="InternetLink"/>
                  <w:rFonts w:ascii="Times New Roman" w:hAnsi="Times New Roman"/>
                  <w:sz w:val="20"/>
                </w:rPr>
                <w:t>The Company</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a605601_5">
              <w:r>
                <w:rPr>
                  <w:rStyle w:val="InternetLink"/>
                  <w:rFonts w:ascii="Times New Roman" w:hAnsi="Times New Roman"/>
                  <w:sz w:val="20"/>
                </w:rPr>
                <w:t>Use of Proceeds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S-4</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a605601_6">
              <w:r>
                <w:rPr>
                  <w:rStyle w:val="InternetLink"/>
                  <w:rFonts w:ascii="Times New Roman" w:hAnsi="Times New Roman"/>
                  <w:sz w:val="20"/>
                </w:rPr>
                <w:t>Selling Shareholders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S-5</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a605601_7">
              <w:r>
                <w:rPr>
                  <w:rStyle w:val="InternetLink"/>
                  <w:rFonts w:ascii="Times New Roman" w:hAnsi="Times New Roman"/>
                  <w:sz w:val="20"/>
                </w:rPr>
                <w:t>Plan of Distribution</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S-11</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a605601_8">
              <w:r>
                <w:rPr>
                  <w:rStyle w:val="InternetLink"/>
                  <w:rFonts w:ascii="Times New Roman" w:hAnsi="Times New Roman"/>
                  <w:sz w:val="20"/>
                </w:rPr>
                <w:t>Experts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S-11</w:t>
            </w:r>
          </w:p>
        </w:tc>
        <w:tc>
          <w:tcPr>
            <w:tcW w:w="63" w:type="dxa"/>
            <w:tcBorders/>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a605601_9">
              <w:r>
                <w:rPr>
                  <w:rStyle w:val="InternetLink"/>
                  <w:rFonts w:ascii="Times New Roman" w:hAnsi="Times New Roman"/>
                  <w:sz w:val="20"/>
                </w:rPr>
                <w:t>Legal Matters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S-11</w:t>
            </w:r>
          </w:p>
        </w:tc>
        <w:tc>
          <w:tcPr>
            <w:tcW w:w="63"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53"/>
        <w:gridCol w:w="264"/>
        <w:gridCol w:w="96"/>
        <w:gridCol w:w="429"/>
        <w:gridCol w:w="63"/>
      </w:tblGrid>
      <w:tr>
        <w:trPr/>
        <w:tc>
          <w:tcPr>
            <w:tcW w:w="9353"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53"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1">
              <w:r>
                <w:rPr>
                  <w:rStyle w:val="InternetLink"/>
                  <w:rFonts w:ascii="Times New Roman" w:hAnsi="Times New Roman"/>
                  <w:sz w:val="20"/>
                </w:rPr>
                <w:t>About this Prospectus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2">
              <w:r>
                <w:rPr>
                  <w:rStyle w:val="InternetLink"/>
                  <w:rFonts w:ascii="Times New Roman" w:hAnsi="Times New Roman"/>
                  <w:sz w:val="20"/>
                </w:rPr>
                <w:t>Forward-Looking Statements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3">
              <w:r>
                <w:rPr>
                  <w:rStyle w:val="InternetLink"/>
                  <w:rFonts w:ascii="Times New Roman" w:hAnsi="Times New Roman"/>
                  <w:sz w:val="20"/>
                </w:rPr>
                <w:t>Prospectus Summary</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4">
              <w:r>
                <w:rPr>
                  <w:rStyle w:val="InternetLink"/>
                  <w:rFonts w:ascii="Times New Roman" w:hAnsi="Times New Roman"/>
                  <w:sz w:val="20"/>
                </w:rPr>
                <w:t>Risk Factors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5">
              <w:r>
                <w:rPr>
                  <w:rStyle w:val="InternetLink"/>
                  <w:rFonts w:ascii="Times New Roman" w:hAnsi="Times New Roman"/>
                  <w:sz w:val="20"/>
                </w:rPr>
                <w:t>Use of Proceeds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6">
              <w:r>
                <w:rPr>
                  <w:rStyle w:val="InternetLink"/>
                  <w:rFonts w:ascii="Times New Roman" w:hAnsi="Times New Roman"/>
                  <w:sz w:val="20"/>
                </w:rPr>
                <w:t>Description of Securities that may be Offered by Federal Realty Investment Trust or a Selling Security Holder</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7">
              <w:r>
                <w:rPr>
                  <w:rStyle w:val="InternetLink"/>
                  <w:rFonts w:ascii="Times New Roman" w:hAnsi="Times New Roman"/>
                  <w:sz w:val="20"/>
                </w:rPr>
                <w:t>Description of Securities that may be Offered by Federal Realty OP LP</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8">
              <w:r>
                <w:rPr>
                  <w:rStyle w:val="InternetLink"/>
                  <w:rFonts w:ascii="Times New Roman" w:hAnsi="Times New Roman"/>
                  <w:sz w:val="20"/>
                </w:rPr>
                <w:t>Material Federal Income Tax Considerations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9">
              <w:r>
                <w:rPr>
                  <w:rStyle w:val="InternetLink"/>
                  <w:rFonts w:ascii="Times New Roman" w:hAnsi="Times New Roman"/>
                  <w:sz w:val="20"/>
                </w:rPr>
                <w:t>Selling Security Holders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10">
              <w:r>
                <w:rPr>
                  <w:rStyle w:val="InternetLink"/>
                  <w:rFonts w:ascii="Times New Roman" w:hAnsi="Times New Roman"/>
                  <w:sz w:val="20"/>
                </w:rPr>
                <w:t>Plan of Distribution</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11">
              <w:r>
                <w:rPr>
                  <w:rStyle w:val="InternetLink"/>
                  <w:rFonts w:ascii="Times New Roman" w:hAnsi="Times New Roman"/>
                  <w:sz w:val="20"/>
                </w:rPr>
                <w:t>Legal Matters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12">
              <w:r>
                <w:rPr>
                  <w:rStyle w:val="InternetLink"/>
                  <w:rFonts w:ascii="Times New Roman" w:hAnsi="Times New Roman"/>
                  <w:sz w:val="20"/>
                </w:rPr>
                <w:t>Experts</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353" w:type="dxa"/>
            <w:tcBorders/>
          </w:tcPr>
          <w:p>
            <w:pPr>
              <w:pStyle w:val="TableContents"/>
              <w:bidi w:val="0"/>
              <w:spacing w:before="0" w:after="0"/>
              <w:jc w:val="left"/>
              <w:rPr/>
            </w:pPr>
            <w:hyperlink w:anchor="tx755152_13">
              <w:r>
                <w:rPr>
                  <w:rStyle w:val="InternetLink"/>
                  <w:rFonts w:ascii="Times New Roman" w:hAnsi="Times New Roman"/>
                  <w:sz w:val="20"/>
                </w:rPr>
                <w:t>Where You Can Find More Information</w:t>
              </w:r>
            </w:hyperlink>
          </w:p>
        </w:tc>
        <w:tc>
          <w:tcPr>
            <w:tcW w:w="2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a60560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prior information incorporated by reference into the accompanying prospectus, the information in this prospectus supplement shall apply and shall supersede the inconsistent information contained in or incorporated by reference into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for you to read and consider all of the information contained in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References to we, us, our or ours refer to Federal Realty Investment Trust and its directly and indirectly owned subsidiaries, unless the context otherwise requires. The term you refers to a prospective investor. References to the Company refer to Federal Realty Investment Trust and not its subsidiaries,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into this prospectus supplement, the accompanying prospectus and any related free writing prospectus required to be filed with the SEC. We have not authorized any other person to provide you with additional or different information. If anyone provides you with additional or different information, you should not rely on it.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 </w:t>
      </w:r>
    </w:p>
    <w:p>
      <w:pPr>
        <w:pStyle w:val="TextBody"/>
        <w:bidi w:val="0"/>
        <w:spacing w:before="480" w:after="0"/>
        <w:jc w:val="center"/>
        <w:rPr>
          <w:rFonts w:ascii="Times New Roman" w:hAnsi="Times New Roman"/>
          <w:b/>
          <w:sz w:val="20"/>
        </w:rPr>
      </w:pPr>
      <w:bookmarkStart w:id="4" w:name="a605601_2"/>
      <w:bookmarkEnd w:id="4"/>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seeks, could, should, plans, intends, expects, believes, estimates, anticipates, continues, and other similar words. These statements constitute forward-looking statements within the meaning of Section 27A of the Securities Act, Section 21E of the Securities Exchange Act of 1934, as amended, or the Exchange Act, and the Private Securities Litigation Reform Act of 1995. In particular, the risk factors included in or incorporated by reference into this prospectus supplement and the accompanying prospectus describe forward-looking information. The risk factors contained herein, in our most recent Annual Report on Form 10-K filed with the Securities and Exchange Commission, or the SEC, and in subsequent filings that we make with the SEC that are incorporated by reference herein, describe risks that may affect these statements but are not exhaustive, particularly with respect to possible future events. Many things can happen that can cause actual results to be different from those we describe. These factors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our tenants will not pay rent, may vacate early or may file for bankruptcy, or that we may be unable to renew leases or re-let space at favorable rents as leases expire or to fill existing vacancies;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our growth will be limited if we cannot obtain additional capital, or if the costs of capital we obtain are significantly higher than historical levels;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general economic conditions, including inflation and local economic conditions in our geographic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of financing on terms which are acceptable to us, our ability to meet existing financial covenants and the limitations imposed on our operations by those covenants, and the possibility of increases in interest rates that would result in increased interest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a605601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shares involves risks. Before you decide to purchase our common shares, you should carefully consider the risk factors in our most recent Annual Report on Form 10-K filed with the SEC and in subsequent filings that we make with the SEC that are incorporated by reference in the accompanying prospectus. The risks and uncertainties we have described are those we believe to be the principal risks that could affect us, our business or our industry, and which could result in a material adverse impact on our financial condition, results of operation, prospects or the market price of our common shares. However, additional risks and uncertainties not currently known to us or that we currently deem immaterial may affect our business operations and the market price of our common shares. </w:t>
      </w:r>
    </w:p>
    <w:p>
      <w:pPr>
        <w:pStyle w:val="TextBody"/>
        <w:bidi w:val="0"/>
        <w:spacing w:before="480" w:after="0"/>
        <w:jc w:val="center"/>
        <w:rPr>
          <w:rFonts w:ascii="Times New Roman" w:hAnsi="Times New Roman"/>
          <w:b/>
          <w:sz w:val="20"/>
        </w:rPr>
      </w:pPr>
      <w:bookmarkStart w:id="6" w:name="a605601_4"/>
      <w:bookmarkEnd w:id="6"/>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Federal Realty Investment Trust, which we refer to as the Company, is an equity real estate investment trust, or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The Company conducts substantially all of its operations and owns substantially all of its assets through Federal Realty OP LP, which we refer to as the Partnership. The Company owns 100% of the limited liability company interests of, is the sole member of and exercises exclusive control over Federal Realty GP LLC, which is the sole general partner of the Partnership. The Company does not have substantial assets or liabilities other than through its investment in the Partnership. As of the date of this prospectus supplement, the Company owns all of the outstanding limited partnership interests in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we owned or had a majority interest in community and neighborhood shopping centers and mixed-use properties which are operated as 102 predominantly retail real estate projects comprising approximately 26.0 million commercial square feet. In total, the real estate projects were 94.2% leased and 92.2% occupied at December 31, 2023. Our revenue is primarily generated from lease agreements with tenants. We have paid quarterly dividends to our shareholders continuously since our founding in 1962 and have increased our dividends per common share for 56 consecutive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qualifies for taxation as a REIT pursuant to the Internal Revenue Code of 1986, as amended, or the Code, and we intend to operate in a manner that will allow us to maintain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909 Rose Ave., Suite 200, North Bethesda, MD 20852. Our telephone number is (301) 998-8100. Our website address is </w:t>
      </w:r>
      <w:r>
        <w:rPr>
          <w:rFonts w:ascii="Times New Roman" w:hAnsi="Times New Roman"/>
          <w:i/>
          <w:sz w:val="20"/>
        </w:rPr>
        <w:t>www.federalrealty.com</w:t>
      </w:r>
      <w:r>
        <w:rPr>
          <w:rFonts w:ascii="Times New Roman" w:hAnsi="Times New Roman"/>
          <w:sz w:val="20"/>
        </w:rPr>
        <w:t xml:space="preserve">. The information contained on our website is not a part of this prospectus supplement or the accompanying prospectus and is not incorporated herein or therein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a605601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the common shares by the selling shareholders or their pledgees. We will pay all costs and expenses incident to the registration of the offered shares, other than brokerage fees and sales commissions, fees and disbursements of the selling shareholders counsel, accountants and other advisors, and share transfer and other taxes attributable the sale of the offered shares, which will be paid by the selling shareholders. See Selling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a605601_6"/>
      <w:bookmarkEnd w:id="8"/>
      <w:r>
        <w:rPr>
          <w:rFonts w:ascii="Times New Roman" w:hAnsi="Times New Roman"/>
          <w:b/>
          <w:sz w:val="20"/>
        </w:rPr>
        <w:t xml:space="preserve">SELLING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hold an aggregate of 392,878 preferred shares and 635,431 downREIT units, which they acquired in exchange for their interests in certain entities owning real properties. We may issue the common shares to the selling shareholders or their pledgees in exchange for (i) the preferred shares if and to the extent that the selling shareholders or their pledgees tender their preferred shares for conversion or (ii) the downREIT units if and to the extent that the selling shareholders or their pledgees tender their downREIT units for redemption and the registrant elects to issue common shares in exchange for such downREIT units. The common shares offered by this prospectus may be offered from time to time by the selling shareholders named below and by any additional selling shareholders who may be named in a supplement to this prospectus. The following table sets forth the name of each selling shareholder and the number of our common shares that may be offered by each selling shareholder. The selling shareholders may pledge common shares, preferred shares or downREIT units to secure financing or for other purposes. As a result, pledgees or other permitted transferees of the selling shareholders may use this registration statement to sell common shares issued to them in connection with such pledges in the event the selling shareholder defaults. </w:t>
      </w:r>
    </w:p>
    <w:p>
      <w:pPr>
        <w:pStyle w:val="TextBody"/>
        <w:bidi w:val="0"/>
        <w:spacing w:before="240" w:after="0"/>
        <w:jc w:val="left"/>
        <w:rPr>
          <w:rFonts w:ascii="Times New Roman" w:hAnsi="Times New Roman"/>
          <w:sz w:val="20"/>
        </w:rPr>
      </w:pPr>
      <w:r>
        <w:rPr>
          <w:rFonts w:ascii="Times New Roman" w:hAnsi="Times New Roman"/>
          <w:sz w:val="20"/>
        </w:rPr>
        <w:t xml:space="preserve">None of the selling shareholders has had any position, office or other material relationship with us, or any of our predecessors or affiliates, during the past three years. Since the selling shareholders may sell all, some or none of the common shares covered by this prospectus, no estimate can be made of the number of common shares that will be sold by the selling shareholders pursuant to this prospectus or that will be owned by the selling shareholders upon completion of the offering. Assuming the conversion (upon the election of the preferred shareholders) of all outstanding preferred shares and the redemption (upon the election of the holders of downREIT units to tender their downREIT units for redemption and the election of the registrant to issue common shares in exchange for all such tendered downREIT units) of all outstanding downREIT units owned by all of the selling shareholders as of the date hereof, no selling shareholder would hold 1% or more of the total number of our common shares outstanding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Selling shareholders or their pledgees may be deemed to be underwriters in connection with the common shares they resell and any profits on the resale may be deemed to be underwriting discounts and commissions under the Securities Act. The selling shareholders or their pledgees will receive all the proceeds from the resale of our common shares. We will not receive any proceeds from resales by selling shareholders or their pledgees.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691"/>
        <w:gridCol w:w="266"/>
        <w:gridCol w:w="134"/>
        <w:gridCol w:w="1286"/>
        <w:gridCol w:w="60"/>
        <w:gridCol w:w="266"/>
        <w:gridCol w:w="91"/>
        <w:gridCol w:w="1064"/>
        <w:gridCol w:w="60"/>
        <w:gridCol w:w="266"/>
        <w:gridCol w:w="60"/>
        <w:gridCol w:w="335"/>
        <w:gridCol w:w="155"/>
        <w:gridCol w:w="241"/>
        <w:gridCol w:w="145"/>
        <w:gridCol w:w="1385"/>
        <w:gridCol w:w="67"/>
      </w:tblGrid>
      <w:tr>
        <w:trPr/>
        <w:tc>
          <w:tcPr>
            <w:tcW w:w="2691"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91" w:type="dxa"/>
            <w:tcBorders/>
            <w:vAlign w:val="bottom"/>
          </w:tcPr>
          <w:p>
            <w:pPr>
              <w:pStyle w:val="TableContents"/>
              <w:bidi w:val="0"/>
              <w:spacing w:before="0" w:after="283"/>
              <w:jc w:val="left"/>
              <w:rPr>
                <w:b/>
              </w:rPr>
            </w:pPr>
            <w:r>
              <w:rPr>
                <w:b/>
              </w:rPr>
              <w:t>Name of Selling Shareholder</w:t>
            </w:r>
          </w:p>
        </w:tc>
        <w:tc>
          <w:tcPr>
            <w:tcW w:w="266"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Common</w:t>
              <w:br/>
              <w:t>Shares</w:t>
              <w:br/>
              <w:t>Beneficially</w:t>
              <w:br/>
              <w:t>Owned Prior</w:t>
              <w:br/>
              <w:t>to Offering (1)</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Common</w:t>
              <w:br/>
              <w:t>Shares</w:t>
              <w:br/>
              <w:t>Being</w:t>
              <w:br/>
              <w:t>Offered (2)</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3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Common</w:t>
              <w:br/>
              <w:t>Shares</w:t>
              <w:br/>
              <w:t>Beneficially</w:t>
              <w:br/>
              <w:t>Owned After</w:t>
              <w:br/>
              <w:t>the Offering (3)</w:t>
            </w:r>
          </w:p>
        </w:tc>
        <w:tc>
          <w:tcPr>
            <w:tcW w:w="67" w:type="dxa"/>
            <w:tcBorders/>
            <w:vAlign w:val="bottom"/>
          </w:tcPr>
          <w:p>
            <w:pPr>
              <w:pStyle w:val="TableContents"/>
              <w:bidi w:val="0"/>
              <w:spacing w:before="0" w:after="283"/>
              <w:jc w:val="left"/>
              <w:rPr/>
            </w:pPr>
            <w:r>
              <w:rPr/>
              <w:t> </w:t>
            </w:r>
          </w:p>
        </w:tc>
      </w:tr>
      <w:tr>
        <w:trPr/>
        <w:tc>
          <w:tcPr>
            <w:tcW w:w="2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Thomas Campbell</w:t>
            </w:r>
          </w:p>
        </w:tc>
        <w:tc>
          <w:tcPr>
            <w:tcW w:w="266"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7,189</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0</w:t>
            </w:r>
          </w:p>
        </w:tc>
        <w:tc>
          <w:tcPr>
            <w:tcW w:w="67" w:type="dxa"/>
            <w:tcBorders/>
            <w:shd w:fill="CCEEFF" w:val="clear"/>
            <w:vAlign w:val="bottom"/>
          </w:tcPr>
          <w:p>
            <w:pPr>
              <w:pStyle w:val="TableContents"/>
              <w:bidi w:val="0"/>
              <w:spacing w:before="0" w:after="283"/>
              <w:jc w:val="left"/>
              <w:rPr/>
            </w:pPr>
            <w:r>
              <w:rPr/>
              <w:t> </w:t>
            </w:r>
          </w:p>
        </w:tc>
      </w:tr>
      <w:tr>
        <w:trPr/>
        <w:tc>
          <w:tcPr>
            <w:tcW w:w="2691" w:type="dxa"/>
            <w:tcBorders/>
          </w:tcPr>
          <w:p>
            <w:pPr>
              <w:pStyle w:val="TableContents"/>
              <w:bidi w:val="0"/>
              <w:spacing w:before="0" w:after="0"/>
              <w:jc w:val="left"/>
              <w:rPr>
                <w:rFonts w:ascii="Times New Roman" w:hAnsi="Times New Roman"/>
                <w:sz w:val="20"/>
              </w:rPr>
            </w:pPr>
            <w:r>
              <w:rPr>
                <w:rFonts w:ascii="Times New Roman" w:hAnsi="Times New Roman"/>
                <w:sz w:val="20"/>
              </w:rPr>
              <w:t>Bruce S. Campbell, III</w:t>
            </w:r>
          </w:p>
        </w:tc>
        <w:tc>
          <w:tcPr>
            <w:tcW w:w="26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16,780</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0</w:t>
            </w:r>
          </w:p>
        </w:tc>
        <w:tc>
          <w:tcPr>
            <w:tcW w:w="67" w:type="dxa"/>
            <w:tcBorders/>
            <w:vAlign w:val="bottom"/>
          </w:tcPr>
          <w:p>
            <w:pPr>
              <w:pStyle w:val="TableContents"/>
              <w:bidi w:val="0"/>
              <w:spacing w:before="0" w:after="283"/>
              <w:jc w:val="left"/>
              <w:rPr/>
            </w:pPr>
            <w:r>
              <w:rPr/>
              <w:t> </w:t>
            </w:r>
          </w:p>
        </w:tc>
      </w:tr>
      <w:tr>
        <w:trPr/>
        <w:tc>
          <w:tcPr>
            <w:tcW w:w="2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Bruce S. Campbell, IV</w:t>
            </w:r>
          </w:p>
        </w:tc>
        <w:tc>
          <w:tcPr>
            <w:tcW w:w="266"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1,025</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0</w:t>
            </w:r>
          </w:p>
        </w:tc>
        <w:tc>
          <w:tcPr>
            <w:tcW w:w="67" w:type="dxa"/>
            <w:tcBorders/>
            <w:shd w:fill="CCEEFF" w:val="clear"/>
            <w:vAlign w:val="bottom"/>
          </w:tcPr>
          <w:p>
            <w:pPr>
              <w:pStyle w:val="TableContents"/>
              <w:bidi w:val="0"/>
              <w:spacing w:before="0" w:after="283"/>
              <w:jc w:val="left"/>
              <w:rPr/>
            </w:pPr>
            <w:r>
              <w:rPr/>
              <w:t> </w:t>
            </w:r>
          </w:p>
        </w:tc>
      </w:tr>
      <w:tr>
        <w:trPr/>
        <w:tc>
          <w:tcPr>
            <w:tcW w:w="2691" w:type="dxa"/>
            <w:tcBorders/>
          </w:tcPr>
          <w:p>
            <w:pPr>
              <w:pStyle w:val="TableContents"/>
              <w:bidi w:val="0"/>
              <w:spacing w:before="0" w:after="0"/>
              <w:jc w:val="left"/>
              <w:rPr>
                <w:rFonts w:ascii="Times New Roman" w:hAnsi="Times New Roman"/>
                <w:sz w:val="20"/>
              </w:rPr>
            </w:pPr>
            <w:r>
              <w:rPr>
                <w:rFonts w:ascii="Times New Roman" w:hAnsi="Times New Roman"/>
                <w:sz w:val="20"/>
              </w:rPr>
              <w:t>Carol C. Haislip</w:t>
            </w:r>
          </w:p>
        </w:tc>
        <w:tc>
          <w:tcPr>
            <w:tcW w:w="26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5,306</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0</w:t>
            </w:r>
          </w:p>
        </w:tc>
        <w:tc>
          <w:tcPr>
            <w:tcW w:w="67" w:type="dxa"/>
            <w:tcBorders/>
            <w:vAlign w:val="bottom"/>
          </w:tcPr>
          <w:p>
            <w:pPr>
              <w:pStyle w:val="TableContents"/>
              <w:bidi w:val="0"/>
              <w:spacing w:before="0" w:after="283"/>
              <w:jc w:val="left"/>
              <w:rPr/>
            </w:pPr>
            <w:r>
              <w:rPr/>
              <w:t> </w:t>
            </w:r>
          </w:p>
        </w:tc>
      </w:tr>
      <w:tr>
        <w:trPr/>
        <w:tc>
          <w:tcPr>
            <w:tcW w:w="2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Caroline Campbell Hill</w:t>
            </w:r>
          </w:p>
        </w:tc>
        <w:tc>
          <w:tcPr>
            <w:tcW w:w="266"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656</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0</w:t>
            </w:r>
          </w:p>
        </w:tc>
        <w:tc>
          <w:tcPr>
            <w:tcW w:w="67" w:type="dxa"/>
            <w:tcBorders/>
            <w:shd w:fill="CCEEFF" w:val="clear"/>
            <w:vAlign w:val="bottom"/>
          </w:tcPr>
          <w:p>
            <w:pPr>
              <w:pStyle w:val="TableContents"/>
              <w:bidi w:val="0"/>
              <w:spacing w:before="0" w:after="283"/>
              <w:jc w:val="left"/>
              <w:rPr/>
            </w:pPr>
            <w:r>
              <w:rPr/>
              <w:t> </w:t>
            </w:r>
          </w:p>
        </w:tc>
      </w:tr>
      <w:tr>
        <w:trPr/>
        <w:tc>
          <w:tcPr>
            <w:tcW w:w="2691" w:type="dxa"/>
            <w:tcBorders/>
          </w:tcPr>
          <w:p>
            <w:pPr>
              <w:pStyle w:val="TableContents"/>
              <w:bidi w:val="0"/>
              <w:spacing w:before="0" w:after="0"/>
              <w:jc w:val="left"/>
              <w:rPr>
                <w:rFonts w:ascii="Times New Roman" w:hAnsi="Times New Roman"/>
                <w:sz w:val="20"/>
              </w:rPr>
            </w:pPr>
            <w:r>
              <w:rPr>
                <w:rFonts w:ascii="Times New Roman" w:hAnsi="Times New Roman"/>
                <w:sz w:val="20"/>
              </w:rPr>
              <w:t>Carolyn C. Beall</w:t>
            </w:r>
          </w:p>
        </w:tc>
        <w:tc>
          <w:tcPr>
            <w:tcW w:w="26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1,672</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7,442</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1,672</w:t>
            </w:r>
          </w:p>
        </w:tc>
        <w:tc>
          <w:tcPr>
            <w:tcW w:w="67" w:type="dxa"/>
            <w:tcBorders/>
            <w:vAlign w:val="bottom"/>
          </w:tcPr>
          <w:p>
            <w:pPr>
              <w:pStyle w:val="TableContents"/>
              <w:bidi w:val="0"/>
              <w:spacing w:before="0" w:after="283"/>
              <w:jc w:val="left"/>
              <w:rPr/>
            </w:pPr>
            <w:r>
              <w:rPr/>
              <w:t> </w:t>
            </w:r>
          </w:p>
        </w:tc>
      </w:tr>
      <w:tr>
        <w:trPr/>
        <w:tc>
          <w:tcPr>
            <w:tcW w:w="2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Charlton G. Campbell Hughes</w:t>
            </w:r>
          </w:p>
        </w:tc>
        <w:tc>
          <w:tcPr>
            <w:tcW w:w="266"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33,585</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0</w:t>
            </w:r>
          </w:p>
        </w:tc>
        <w:tc>
          <w:tcPr>
            <w:tcW w:w="67" w:type="dxa"/>
            <w:tcBorders/>
            <w:shd w:fill="CCEEFF" w:val="clear"/>
            <w:vAlign w:val="bottom"/>
          </w:tcPr>
          <w:p>
            <w:pPr>
              <w:pStyle w:val="TableContents"/>
              <w:bidi w:val="0"/>
              <w:spacing w:before="0" w:after="283"/>
              <w:jc w:val="left"/>
              <w:rPr/>
            </w:pPr>
            <w:r>
              <w:rPr/>
              <w:t> </w:t>
            </w:r>
          </w:p>
        </w:tc>
      </w:tr>
      <w:tr>
        <w:trPr/>
        <w:tc>
          <w:tcPr>
            <w:tcW w:w="2691" w:type="dxa"/>
            <w:tcBorders/>
          </w:tcPr>
          <w:p>
            <w:pPr>
              <w:pStyle w:val="TableContents"/>
              <w:bidi w:val="0"/>
              <w:spacing w:before="0" w:after="0"/>
              <w:jc w:val="left"/>
              <w:rPr>
                <w:rFonts w:ascii="Times New Roman" w:hAnsi="Times New Roman"/>
                <w:sz w:val="20"/>
              </w:rPr>
            </w:pPr>
            <w:r>
              <w:rPr>
                <w:rFonts w:ascii="Times New Roman" w:hAnsi="Times New Roman"/>
                <w:sz w:val="20"/>
              </w:rPr>
              <w:t>Douglas Franklin Campbell</w:t>
            </w:r>
          </w:p>
        </w:tc>
        <w:tc>
          <w:tcPr>
            <w:tcW w:w="26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1,101</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6,020</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1,101</w:t>
            </w:r>
          </w:p>
        </w:tc>
        <w:tc>
          <w:tcPr>
            <w:tcW w:w="67" w:type="dxa"/>
            <w:tcBorders/>
            <w:vAlign w:val="bottom"/>
          </w:tcPr>
          <w:p>
            <w:pPr>
              <w:pStyle w:val="TableContents"/>
              <w:bidi w:val="0"/>
              <w:spacing w:before="0" w:after="283"/>
              <w:jc w:val="left"/>
              <w:rPr/>
            </w:pPr>
            <w:r>
              <w:rPr/>
              <w:t> </w:t>
            </w:r>
          </w:p>
        </w:tc>
      </w:tr>
      <w:tr>
        <w:trPr/>
        <w:tc>
          <w:tcPr>
            <w:tcW w:w="2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Gregg T. Campbell</w:t>
            </w:r>
          </w:p>
        </w:tc>
        <w:tc>
          <w:tcPr>
            <w:tcW w:w="266"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26,868</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0</w:t>
            </w:r>
          </w:p>
        </w:tc>
        <w:tc>
          <w:tcPr>
            <w:tcW w:w="67" w:type="dxa"/>
            <w:tcBorders/>
            <w:shd w:fill="CCEEFF" w:val="clear"/>
            <w:vAlign w:val="bottom"/>
          </w:tcPr>
          <w:p>
            <w:pPr>
              <w:pStyle w:val="TableContents"/>
              <w:bidi w:val="0"/>
              <w:spacing w:before="0" w:after="283"/>
              <w:jc w:val="left"/>
              <w:rPr/>
            </w:pPr>
            <w:r>
              <w:rPr/>
              <w:t> </w:t>
            </w:r>
          </w:p>
        </w:tc>
      </w:tr>
      <w:tr>
        <w:trPr/>
        <w:tc>
          <w:tcPr>
            <w:tcW w:w="2691" w:type="dxa"/>
            <w:tcBorders/>
          </w:tcPr>
          <w:p>
            <w:pPr>
              <w:pStyle w:val="TableContents"/>
              <w:bidi w:val="0"/>
              <w:spacing w:before="0" w:after="0"/>
              <w:jc w:val="left"/>
              <w:rPr>
                <w:rFonts w:ascii="Times New Roman" w:hAnsi="Times New Roman"/>
                <w:sz w:val="20"/>
              </w:rPr>
            </w:pPr>
            <w:r>
              <w:rPr>
                <w:rFonts w:ascii="Times New Roman" w:hAnsi="Times New Roman"/>
                <w:sz w:val="20"/>
              </w:rPr>
              <w:t>Judith F. Campbell</w:t>
            </w:r>
          </w:p>
        </w:tc>
        <w:tc>
          <w:tcPr>
            <w:tcW w:w="26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232</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0</w:t>
            </w:r>
          </w:p>
        </w:tc>
        <w:tc>
          <w:tcPr>
            <w:tcW w:w="67" w:type="dxa"/>
            <w:tcBorders/>
            <w:vAlign w:val="bottom"/>
          </w:tcPr>
          <w:p>
            <w:pPr>
              <w:pStyle w:val="TableContents"/>
              <w:bidi w:val="0"/>
              <w:spacing w:before="0" w:after="283"/>
              <w:jc w:val="left"/>
              <w:rPr/>
            </w:pPr>
            <w:r>
              <w:rPr/>
              <w:t> </w:t>
            </w:r>
          </w:p>
        </w:tc>
      </w:tr>
      <w:tr>
        <w:trPr/>
        <w:tc>
          <w:tcPr>
            <w:tcW w:w="2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Kathleen Campbell Ackerman</w:t>
            </w:r>
          </w:p>
        </w:tc>
        <w:tc>
          <w:tcPr>
            <w:tcW w:w="266"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656</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0</w:t>
            </w:r>
          </w:p>
        </w:tc>
        <w:tc>
          <w:tcPr>
            <w:tcW w:w="67" w:type="dxa"/>
            <w:tcBorders/>
            <w:shd w:fill="CCEEFF" w:val="clear"/>
            <w:vAlign w:val="bottom"/>
          </w:tcPr>
          <w:p>
            <w:pPr>
              <w:pStyle w:val="TableContents"/>
              <w:bidi w:val="0"/>
              <w:spacing w:before="0" w:after="283"/>
              <w:jc w:val="left"/>
              <w:rPr/>
            </w:pPr>
            <w:r>
              <w:rPr/>
              <w:t> </w:t>
            </w:r>
          </w:p>
        </w:tc>
      </w:tr>
      <w:tr>
        <w:trPr/>
        <w:tc>
          <w:tcPr>
            <w:tcW w:w="2691" w:type="dxa"/>
            <w:tcBorders/>
          </w:tcPr>
          <w:p>
            <w:pPr>
              <w:pStyle w:val="TableContents"/>
              <w:bidi w:val="0"/>
              <w:spacing w:before="0" w:after="0"/>
              <w:jc w:val="left"/>
              <w:rPr>
                <w:rFonts w:ascii="Times New Roman" w:hAnsi="Times New Roman"/>
                <w:sz w:val="20"/>
              </w:rPr>
            </w:pPr>
            <w:r>
              <w:rPr>
                <w:rFonts w:ascii="Times New Roman" w:hAnsi="Times New Roman"/>
                <w:sz w:val="20"/>
              </w:rPr>
              <w:t>Marcie C. McHale</w:t>
            </w:r>
          </w:p>
        </w:tc>
        <w:tc>
          <w:tcPr>
            <w:tcW w:w="26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6,020</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0</w:t>
            </w:r>
          </w:p>
        </w:tc>
        <w:tc>
          <w:tcPr>
            <w:tcW w:w="67" w:type="dxa"/>
            <w:tcBorders/>
            <w:vAlign w:val="bottom"/>
          </w:tcPr>
          <w:p>
            <w:pPr>
              <w:pStyle w:val="TableContents"/>
              <w:bidi w:val="0"/>
              <w:spacing w:before="0" w:after="283"/>
              <w:jc w:val="left"/>
              <w:rPr/>
            </w:pPr>
            <w:r>
              <w:rPr/>
              <w:t> </w:t>
            </w:r>
          </w:p>
        </w:tc>
      </w:tr>
      <w:tr>
        <w:trPr/>
        <w:tc>
          <w:tcPr>
            <w:tcW w:w="2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Bruce Campbell</w:t>
            </w:r>
          </w:p>
        </w:tc>
        <w:tc>
          <w:tcPr>
            <w:tcW w:w="266"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7,177</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0</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4200" w:type="pct"/>
        <w:jc w:val="center"/>
        <w:tblInd w:w="0" w:type="dxa"/>
        <w:tblLayout w:type="fixed"/>
        <w:tblCellMar>
          <w:top w:w="0" w:type="dxa"/>
          <w:left w:w="0" w:type="dxa"/>
          <w:bottom w:w="0" w:type="dxa"/>
          <w:right w:w="0" w:type="dxa"/>
        </w:tblCellMar>
      </w:tblPr>
      <w:tblGrid>
        <w:gridCol w:w="5779"/>
        <w:gridCol w:w="208"/>
        <w:gridCol w:w="60"/>
        <w:gridCol w:w="140"/>
        <w:gridCol w:w="60"/>
        <w:gridCol w:w="208"/>
        <w:gridCol w:w="60"/>
        <w:gridCol w:w="806"/>
        <w:gridCol w:w="60"/>
        <w:gridCol w:w="208"/>
        <w:gridCol w:w="60"/>
        <w:gridCol w:w="358"/>
        <w:gridCol w:w="155"/>
        <w:gridCol w:w="145"/>
        <w:gridCol w:w="60"/>
        <w:gridCol w:w="140"/>
        <w:gridCol w:w="65"/>
      </w:tblGrid>
      <w:tr>
        <w:trPr/>
        <w:tc>
          <w:tcPr>
            <w:tcW w:w="5779"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Russell Tyler Campbell</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6,020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S. James Campbell, Jr.</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5,306</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Sarah T. Campbell</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1,025</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Taber C. Hook</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2,632</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M. Campbell</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20,822</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Trustees of the Laurence Thomsen Trust u/a 10/16/67</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25,467</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D. Dollenberg, Jr.</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Jamie N. Campbell</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21,339</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Kathleen B. Dollenberg</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1,201</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Douglas F. Campbell, Custodian for Connor M. Campbell under OR-UGMA</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386</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Douglas F. Campbell, Custodian for Mitchell W. Campbell under OR-UGMA</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386</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Douglas F. Campbell, Custodian for Sarah A. Campbell under OR-UGMA</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386</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 Mills Dancy</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348</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Rebecca Beall DiSabato</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C. Alban, IV</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348</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Marcie C. McHale, Custodian for Claire J. McHale under WA-UGMA</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386</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Marcie C. McHale, Custodian for Madeline C. McHale under WA-UGMA</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386</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Marcie C. McHale, Custodian for Samuel H. McHale under WA-UGMA</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386</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Mitchell W. Hook</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348</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Natal Modica</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348</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E. Hook, IV</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174</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Russell T. Campbell, Custodian for Jessica J. Campbell under OR-UGMA</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290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Russell T. Campbell, Custodian for Kelsey N. Campbell under OR-UGMA</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290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Russell T. Campbell, Custodian for Lindsey M. Campbell under OR-UGMA</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290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Russell T. Campbell, Custodian for Tyler W. Campbell under OR-UGMA</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290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Trustees u/a dated 4/23/85 (Richard E. Hook, IV, Grantor)</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348</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Taber A. Frederick</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348</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P. Douglas Dollenberg, Sr.</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1,200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Terranomics</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3,834</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Survivors Trust Established under the Merritt &amp; Pamela Sher Living Trust</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43,323</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Sher</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(47</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Richard B. Kabat</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36,148</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VT Trust (J. Victor Fandel, Trustee)</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13,711</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James C. Castillo</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2,569</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Cori Linn</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2,377</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Kenneth A. Bloch</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4,360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Joseph D. Blum</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864</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Thomas Bomar</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864</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4200" w:type="pct"/>
        <w:jc w:val="center"/>
        <w:tblInd w:w="0" w:type="dxa"/>
        <w:tblLayout w:type="fixed"/>
        <w:tblCellMar>
          <w:top w:w="0" w:type="dxa"/>
          <w:left w:w="0" w:type="dxa"/>
          <w:bottom w:w="0" w:type="dxa"/>
          <w:right w:w="0" w:type="dxa"/>
        </w:tblCellMar>
      </w:tblPr>
      <w:tblGrid>
        <w:gridCol w:w="5784"/>
        <w:gridCol w:w="208"/>
        <w:gridCol w:w="60"/>
        <w:gridCol w:w="140"/>
        <w:gridCol w:w="60"/>
        <w:gridCol w:w="208"/>
        <w:gridCol w:w="60"/>
        <w:gridCol w:w="802"/>
        <w:gridCol w:w="60"/>
        <w:gridCol w:w="208"/>
        <w:gridCol w:w="60"/>
        <w:gridCol w:w="356"/>
        <w:gridCol w:w="155"/>
        <w:gridCol w:w="145"/>
        <w:gridCol w:w="60"/>
        <w:gridCol w:w="140"/>
        <w:gridCol w:w="66"/>
      </w:tblGrid>
      <w:tr>
        <w:trPr/>
        <w:tc>
          <w:tcPr>
            <w:tcW w:w="5784"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 Culbertson Revocable Trust (B.L. Culbertson, Trustee)</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864</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The Fazekas Living Trust (Thomas Fazekas, Trustee)</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864</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(56</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6"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 &amp; S.M. Javaras Trust (A.N. Javaras, Trustee)</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864</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Peter &amp; Sarah Morse 2016 Trust</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2,292</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6"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David Naggar Living Trust</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864</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Bruce C. Spikell Trust, UDT 9/13/10 (Bruce C. Spikell, Trustee)</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864</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(60</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6"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 &amp; P Steuart Trust dated 9/13/11 (William &amp; Pamela Steuart, Co-Trustees)</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1,836</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(61</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Sandra Williamson</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3,749</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6"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Lynne Bremer</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216</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Lacey Sher</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4,334</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6"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L. Seiler</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718</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(65</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Colton M. Rodoski</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3,048</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6"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Rebecca Wellington</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3,048</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Nigel Sher</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1,849</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6"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Gayle G. Seiler Survivors Trust Established under the Seiler Family Revocable Trust, as amended</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718</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(69</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Circe Sher</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4,334</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6"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V. Palevich and Kathleen J. Palevich Trust</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1,473</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(71</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Jeremiah E. Buck</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6"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Lindsay Buck</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2,852</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Dorothy Beer Lodato as Trustee of The Frank J. Lodato Bypass Trust created under the terms of The Frank J. Lodato Trust dated March 30, 1976, as amended</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16,769</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6"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Jane Bush Miller, Trustee of the Jane Bush Miller Trust dated August 7, 1990 as amended on December 23, 1996</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16,769</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Janet M. Gunn and Karl Isacson, Co-Trustees of the Charles H. Gunn Revocable Trust</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21,769</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6"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Elizabeth M. McCarthy, a married women, as her separate property</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11,238</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(77</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Lindley H. Miller, III, as Trustee under Declaration of Trust dated May 10, 1996</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11,238</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6"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Ernest M. Carter</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(79</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M. Frances Weiner</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30,508</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6"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Elaine Price</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2,026</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11011 Lee Highway, LLC</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102,692</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0</w:t>
            </w:r>
          </w:p>
        </w:tc>
        <w:tc>
          <w:tcPr>
            <w:tcW w:w="66" w:type="dxa"/>
            <w:tcBorders/>
            <w:vAlign w:val="bottom"/>
          </w:tcPr>
          <w:p>
            <w:pPr>
              <w:pStyle w:val="TableContents"/>
              <w:bidi w:val="0"/>
              <w:spacing w:before="0" w:after="283"/>
              <w:jc w:val="left"/>
              <w:rPr/>
            </w:pPr>
            <w:r>
              <w:rPr/>
              <w:t> </w:t>
            </w:r>
          </w:p>
        </w:tc>
      </w:tr>
      <w:tr>
        <w:trPr/>
        <w:tc>
          <w:tcPr>
            <w:tcW w:w="57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Lee Highway, LLLP</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60,630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set forth in this column is partially based on information in the records of the transfer agent and registrar for the common shares on or about March 7, 2024 with respect to the common shares held of record by certain of the selling shareholders. The amount of common shares beneficially owned by each selling shareholder is unknown and not reasonably available, and obtaining such information would require unreasonable effort.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common shares issuable upon (i) conversion (upon the election of the preferred shareholders) as of the date hereof of all outstanding preferred shares and (ii)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the sale of all of the common shares being offered under this registration statement.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7,189 downREIT units of NVI-Avenue,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9,757 common shares that are issuable to the selling shareholder upon conversion of 40,860 preferred shares, and 7,023 common shares that are issuable to the selling shareholder upon redemption of 7,023 downREIT units of NVI-Avenue,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369 common shares that are issuable to the selling shareholder upon conversion of 1,547 preferred shares, and 656 common shares that are issuable to the selling shareholder upon redemption of 656 downREIT units of NVI-Avenue,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5,306 downREIT units of NVI-Avenue,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656 downREIT units of NVI-Avenue,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7,442 downREIT units of NVI-Avenue,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33,585 common shares that are issuable to the selling shareholder upon conversion of 140,644 preferred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6,020 downREIT units of NVI-Avenue,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26,868 common shares that are issuable to the selling shareholder upon conversion of 112,515 preferred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232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656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6,020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7,177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6,020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5,306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369 common shares that are issuable to the selling shareholder upon conversion of 1,547 preferred shares, and 656 common shares that are issuable to the selling shareholder upon redemption of 656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2,632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11,175 common shares that are issuable to the selling shareholder upon conversion of 46,800 preferred shares, and 9,647 common shares that are issuable to the selling shareholder upon redemption of 9,647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25,467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1,500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11,692 common shares that are issuable to the selling shareholder upon conversion of 48,965 preferred shares, and 9,647 common shares that are issuable to the selling shareholder upon redemption of 9,647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1,201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386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386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386 downREIT units of NVI-Avenue,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348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64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348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386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386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386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348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348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174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290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290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290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290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348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348 downREIT units of NVI-Avenue,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1,200 downREIT units of NVI-Avenue,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3,834 downREIT units of Route 35 Shrewsbury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(i) 34,086 downREIT units of Route 35 Shrewsbury Limited Partnership, (ii) 8,119 downREIT units of Shrewsbury Commons L.P., and (iii) 1,118 downREIT units of 35 West,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(i) 65,433 downREIT units of Route 35 Shrewsbury Limited Partnership and (ii) 34,567 downREIT units of Sea Girt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36,148 downREIT units of Route 35 Shrewsbury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13,711 downREIT units of Route 35 Shrewsbury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2,569 downREIT units of Route 35 Shrewsbury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2,377 downREIT units of Route 35 Shrewsbury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(i) 432 downREIT units of Route 35 Shrewsbury Limited Partnership and (ii) 3,928 downREIT units of Sea Girt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864 downREIT units of Route 35 Shrewsbury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864 downREIT units of Route 35 Shrewsbury Limited Partnership.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864 downREIT units of Route 35 Shrewsbury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864 downREIT units of Route 35 Shrewsbury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864 downREIT units of Route 35 Shrewsbury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1,728 downREIT units of Route 35 Shrewsbury Limited Partnership and (ii) 564 downREIT units of Sea Girt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864 downREIT units of Route 35 Shrewsbury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864 downREIT units of Route 35 Shrewsbury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1,836 downREIT units of Route 35 Shrewsbury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(i) 432 downREIT units of Route 35 Shrewsbury Limited Partnership, (ii) 359 downREIT units of Shrewsbury Commons L.P., (iii) 1,964 downREIT units of Sea Girt Limited Partnership and (iv) 994 downREIT units of 35 West,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216 downREIT units of Route 35 Shrewsbury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(i) 897 downREIT units of Shrewsbury Commons L.P. and (ii) 3,437 downREIT units of Sea Girt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718 downREIT units of Shrewsbury Commons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(i) 359 downREIT units of Shrewsbury Commons L.P., (ii)1,199 downREIT units of Sea Girt Limited Partnership and (iii) 1,490 downREIT units of 35 West,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(i) 359 downREIT units of Shrewsbury Commons L.P., (ii) 1,199 downREIT units of Sea Girt Limited Partnership and (iii) 1,490 downREIT units of 35 West,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(i) 359 downREIT units of Shrewsbury Commons L.P. and (ii) 1,490 downREIT units of 35 West,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718 downREIT units of Shrewsbury Commons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(i) 897 downREIT units of Shrewsbury Commons L.P. and (ii) 3,437 downREIT units of Sea Girt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1,473 downREIT units of Sea Girt Limited Partnership.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500 downREIT units of Federal Realty Partners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2,852 downREIT units of Federal Realty Partners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16,769 downREIT units of Federal Realty Partners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16,769 downREIT units of Federal Realty Partners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21,769 downREIT units of Federal Realty Partners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11,238 downREIT units of Federal Realty Partners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11,238 downREIT units of Federal Realty Partners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1,000 downREIT units of Federal Realty Partners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30,508 downREIT units of Federal Realty Partners 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2,026 downREIT units of Federal Realty Partners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102,692 downREIT units of Federal Realty Partners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shares that are issuable to the selling shareholder upon redemption of 60,630 downREIT units of Federal Realty Partners L.P. </w:t>
            </w:r>
          </w:p>
        </w:tc>
      </w:tr>
    </w:tbl>
    <w:p>
      <w:pPr>
        <w:pStyle w:val="TextBody"/>
        <w:bidi w:val="0"/>
        <w:spacing w:before="480" w:after="0"/>
        <w:jc w:val="center"/>
        <w:rPr>
          <w:rFonts w:ascii="Times New Roman" w:hAnsi="Times New Roman"/>
          <w:b/>
          <w:sz w:val="20"/>
        </w:rPr>
      </w:pPr>
      <w:bookmarkStart w:id="9" w:name="a605601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relates to the offer and sale from time to time by the selling shareholders named in this prospectus supplement or their pledgees of up to 729,246 common shares of beneficial interest, par value $.01 per share, which we refer to as our common shares, comprised of (i) common shares issuable upon conversion of our preferred shares, if and to the extent that selling shareholders tender preferred shares for conversion and offer or sell any of the common shares issued in respect thereof and (ii) common shares issuable upon redemption of downREIT units.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we are registering the common shares being offered under this prospectus supplement pursuant to contractual obligations under registration rights agreements in order to permit the selling shareholders or their permissible transferees to offer or sell such shares without restriction, in the open market or otherwise. However, the registration of such common shares does not necessarily mean that any of the preferred shares will be tendered for conversion, that any of the downREIT units will be tendered for redemption, that any common shares will be issued upon redemption of downREIT units, or that the selling shareholders or their permissible transferees will offer or sell any common shares. In some cases, we have agreed to indemnify the selling shareholders against certain liabilities, including certain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will pay all expenses incident to the registration of the common shares offered herein (other than brokerage fees and sales commissions, fees and disbursements of the selling shareholders counsel, accountants and other advisors and transfer taxes, if any, relating to the sale or disposition of the offered shares). </w:t>
      </w:r>
    </w:p>
    <w:p>
      <w:pPr>
        <w:pStyle w:val="TextBody"/>
        <w:bidi w:val="0"/>
        <w:spacing w:before="240" w:after="0"/>
        <w:jc w:val="left"/>
        <w:rPr>
          <w:rFonts w:ascii="Times New Roman" w:hAnsi="Times New Roman"/>
          <w:sz w:val="20"/>
        </w:rPr>
      </w:pPr>
      <w:r>
        <w:rPr>
          <w:rFonts w:ascii="Times New Roman" w:hAnsi="Times New Roman"/>
          <w:sz w:val="20"/>
        </w:rPr>
        <w:t xml:space="preserve">Selling shareholders or their pledgees may be deemed to be underwriters in connection with the common shares they resell and any profits on the resale may be deemed to be underwriting discounts and commissions under the Securities Act. The selling shareholders or their pledgees will receive all the proceeds from the resale of our common shares. We will not receive any proceeds from resales by selling shareholders or their pledgees. </w:t>
      </w:r>
    </w:p>
    <w:p>
      <w:pPr>
        <w:pStyle w:val="TextBody"/>
        <w:bidi w:val="0"/>
        <w:spacing w:before="480" w:after="0"/>
        <w:jc w:val="center"/>
        <w:rPr>
          <w:rFonts w:ascii="Times New Roman" w:hAnsi="Times New Roman"/>
          <w:b/>
          <w:sz w:val="20"/>
        </w:rPr>
      </w:pPr>
      <w:bookmarkStart w:id="10" w:name="a605601_8"/>
      <w:bookmarkEnd w:id="1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audited consolidated financial statements, schedules and managements assessment of the effectiveness of internal control over financial reporting incorporated by reference in the accompanying prospectus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before="480" w:after="0"/>
        <w:jc w:val="center"/>
        <w:rPr>
          <w:rFonts w:ascii="Times New Roman" w:hAnsi="Times New Roman"/>
          <w:b/>
          <w:sz w:val="20"/>
        </w:rPr>
      </w:pPr>
      <w:bookmarkStart w:id="11" w:name="a605601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legality of the common shares offered by this prospectus supplement will be passed upon for us by Pillsbury Winthrop Shaw Pittman LLP, Washington, DC.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495550"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95550" cy="8096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FEDERAL REALTY INVESTMENT TRUST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Shares, Preferred Shares, Depositary Shares, Share Purchase </w:t>
      </w:r>
    </w:p>
    <w:p>
      <w:pPr>
        <w:pStyle w:val="TextBody"/>
        <w:bidi w:val="0"/>
        <w:spacing w:before="0" w:after="0"/>
        <w:jc w:val="center"/>
        <w:rPr>
          <w:rFonts w:ascii="Times New Roman" w:hAnsi="Times New Roman"/>
          <w:b/>
          <w:sz w:val="28"/>
        </w:rPr>
      </w:pPr>
      <w:r>
        <w:rPr>
          <w:rFonts w:ascii="Times New Roman" w:hAnsi="Times New Roman"/>
          <w:b/>
          <w:sz w:val="28"/>
        </w:rPr>
        <w:t xml:space="preserve">Contracts, Warrants, Guarantees and 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FEDERAL REALTY OP LP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Federal Realty Investment Trust, which we refer to as the Company, or any selling security holder, may from time to time offer, in one or more classes or series, separately or together: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shares of beneficial interest, par value $.01 per share, which we refer to as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preferred shares of beneficial interest, par value $.01 per share, which we refer to as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representing interests in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purchase contracts to purchase or sell common shares or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common shares or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guarantees of debt securities issued by Federal Realty OP LP,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consisting of two or more securities described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Federal Realty OP LP, which we refer to as the Partnership, may from time to time offer debt securities in one or more classes or series.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 holder, if applicable, will offer our securities in amounts, at prices and on terms to be determined at the time such securities are offered. We will prepare a prospectus supplement describing the offering and the terms of the class or series of securities being offered. Such terms may include limitations on direct or beneficial ownership and restrictions on transfer that we believe are appropriate to preserve the Companys status as a real estate investment trust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also contain information, where applicable, about certain United States federal income tax considerations relating to the securities covered by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 holder may offer our securities directly, through agents or to or through underwriters or dealers, on a continuous or delayed basis.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common shares and depositary shares representing interests in the Companys Series C preferred shares are listed on the New York Stock Exchange under the symbols FRT and FRT-C, respectively.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Investing in our securities involves risks. See </w:t>
      </w:r>
      <w:hyperlink w:anchor="tx755152_4">
        <w:r>
          <w:rPr>
            <w:rStyle w:val="InternetLink"/>
            <w:rFonts w:ascii="Times New Roman" w:hAnsi="Times New Roman"/>
            <w:b/>
            <w:sz w:val="24"/>
          </w:rPr>
          <w:t>Risk Factors</w:t>
        </w:r>
      </w:hyperlink>
      <w:r>
        <w:rPr>
          <w:rFonts w:ascii="Times New Roman" w:hAnsi="Times New Roman"/>
          <w:b/>
          <w:sz w:val="24"/>
        </w:rPr>
        <w:t xml:space="preserve"> on page 4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March 8,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oc"/>
      <w:bookmarkEnd w:id="1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52"/>
        <w:gridCol w:w="263"/>
        <w:gridCol w:w="96"/>
        <w:gridCol w:w="431"/>
        <w:gridCol w:w="63"/>
      </w:tblGrid>
      <w:tr>
        <w:trPr/>
        <w:tc>
          <w:tcPr>
            <w:tcW w:w="9352"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5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352" w:type="dxa"/>
            <w:tcBorders/>
            <w:vAlign w:val="center"/>
          </w:tcPr>
          <w:p>
            <w:pPr>
              <w:pStyle w:val="TableContents"/>
              <w:bidi w:val="0"/>
              <w:spacing w:before="0" w:after="283"/>
              <w:jc w:val="left"/>
              <w:rPr>
                <w:sz w:val="4"/>
                <w:szCs w:val="4"/>
              </w:rPr>
            </w:pPr>
            <w:r>
              <w:rPr>
                <w:sz w:val="4"/>
                <w:szCs w:val="4"/>
              </w:rPr>
            </w:r>
          </w:p>
        </w:tc>
        <w:tc>
          <w:tcPr>
            <w:tcW w:w="853" w:type="dxa"/>
            <w:gridSpan w:val="4"/>
            <w:tcBorders/>
            <w:vAlign w:val="center"/>
          </w:tcPr>
          <w:p>
            <w:pPr>
              <w:pStyle w:val="TableContents"/>
              <w:bidi w:val="0"/>
              <w:spacing w:before="0" w:after="283"/>
              <w:jc w:val="left"/>
              <w:rPr>
                <w:sz w:val="4"/>
                <w:szCs w:val="4"/>
              </w:rPr>
            </w:pPr>
            <w:r>
              <w:rPr>
                <w:sz w:val="4"/>
                <w:szCs w:val="4"/>
              </w:rPr>
            </w:r>
          </w:p>
        </w:tc>
      </w:tr>
      <w:tr>
        <w:trPr/>
        <w:tc>
          <w:tcPr>
            <w:tcW w:w="9352" w:type="dxa"/>
            <w:tcBorders/>
          </w:tcPr>
          <w:p>
            <w:pPr>
              <w:pStyle w:val="TableContents"/>
              <w:bidi w:val="0"/>
              <w:spacing w:before="0" w:after="0"/>
              <w:jc w:val="left"/>
              <w:rPr/>
            </w:pPr>
            <w:hyperlink w:anchor="tx755152_1">
              <w:r>
                <w:rPr>
                  <w:rStyle w:val="InternetLink"/>
                  <w:rFonts w:ascii="Times New Roman" w:hAnsi="Times New Roman"/>
                  <w:sz w:val="20"/>
                </w:rPr>
                <w:t>About this Prospectus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2">
              <w:r>
                <w:rPr>
                  <w:rStyle w:val="InternetLink"/>
                  <w:rFonts w:ascii="Times New Roman" w:hAnsi="Times New Roman"/>
                  <w:sz w:val="20"/>
                </w:rPr>
                <w:t>Forward-Looking Statements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3">
              <w:r>
                <w:rPr>
                  <w:rStyle w:val="InternetLink"/>
                  <w:rFonts w:ascii="Times New Roman" w:hAnsi="Times New Roman"/>
                  <w:sz w:val="20"/>
                </w:rPr>
                <w:t>Prospectus Summary</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4">
              <w:r>
                <w:rPr>
                  <w:rStyle w:val="InternetLink"/>
                  <w:rFonts w:ascii="Times New Roman" w:hAnsi="Times New Roman"/>
                  <w:sz w:val="20"/>
                </w:rPr>
                <w:t>Risk Factors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5">
              <w:r>
                <w:rPr>
                  <w:rStyle w:val="InternetLink"/>
                  <w:rFonts w:ascii="Times New Roman" w:hAnsi="Times New Roman"/>
                  <w:sz w:val="20"/>
                </w:rPr>
                <w:t>Use of Proceeds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6">
              <w:r>
                <w:rPr>
                  <w:rStyle w:val="InternetLink"/>
                  <w:rFonts w:ascii="Times New Roman" w:hAnsi="Times New Roman"/>
                  <w:sz w:val="20"/>
                </w:rPr>
                <w:t>Description of Securities that may be Offered by Federal Realty Investment Trust or a Selling Security Holder</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7">
              <w:r>
                <w:rPr>
                  <w:rStyle w:val="InternetLink"/>
                  <w:rFonts w:ascii="Times New Roman" w:hAnsi="Times New Roman"/>
                  <w:sz w:val="20"/>
                </w:rPr>
                <w:t>Description of Securities that may be Offered by Federal Realty OP LP</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8">
              <w:r>
                <w:rPr>
                  <w:rStyle w:val="InternetLink"/>
                  <w:rFonts w:ascii="Times New Roman" w:hAnsi="Times New Roman"/>
                  <w:sz w:val="20"/>
                </w:rPr>
                <w:t>Material Federal Income Tax Considerations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9">
              <w:r>
                <w:rPr>
                  <w:rStyle w:val="InternetLink"/>
                  <w:rFonts w:ascii="Times New Roman" w:hAnsi="Times New Roman"/>
                  <w:sz w:val="20"/>
                </w:rPr>
                <w:t>Selling Security Holders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10">
              <w:r>
                <w:rPr>
                  <w:rStyle w:val="InternetLink"/>
                  <w:rFonts w:ascii="Times New Roman" w:hAnsi="Times New Roman"/>
                  <w:sz w:val="20"/>
                </w:rPr>
                <w:t>Plan of Distribution</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11">
              <w:r>
                <w:rPr>
                  <w:rStyle w:val="InternetLink"/>
                  <w:rFonts w:ascii="Times New Roman" w:hAnsi="Times New Roman"/>
                  <w:sz w:val="20"/>
                </w:rPr>
                <w:t>Legal Matters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12">
              <w:r>
                <w:rPr>
                  <w:rStyle w:val="InternetLink"/>
                  <w:rFonts w:ascii="Times New Roman" w:hAnsi="Times New Roman"/>
                  <w:sz w:val="20"/>
                </w:rPr>
                <w:t>Experts</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352" w:type="dxa"/>
            <w:tcBorders/>
          </w:tcPr>
          <w:p>
            <w:pPr>
              <w:pStyle w:val="TableContents"/>
              <w:bidi w:val="0"/>
              <w:spacing w:before="0" w:after="0"/>
              <w:jc w:val="left"/>
              <w:rPr/>
            </w:pPr>
            <w:hyperlink w:anchor="tx755152_13">
              <w:r>
                <w:rPr>
                  <w:rStyle w:val="InternetLink"/>
                  <w:rFonts w:ascii="Times New Roman" w:hAnsi="Times New Roman"/>
                  <w:sz w:val="20"/>
                </w:rPr>
                <w:t>Where You Can Find More Information</w:t>
              </w:r>
            </w:hyperlink>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x755152_1"/>
      <w:bookmarkEnd w:id="1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or the SEC, using a shelf registration process. Under this shelf process, we or any selling security holder may sell any combination of the securities described in this prospectus either separately or in units, in one or more offerings. Our prospectus provides you with a general description of these securities. Each time we sell, or any selling security holder sells, securities, we or they will provide a prospectus supplement that will contain specific information about all of the terms of that offering. The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noted, references herein to we, us, our or ours refer to Federal Realty Investment Trust and its directly or indirectly owned subsidiaries, including Federal Realty OP LP, unless the context otherwise requires. The term you refers to a prospective investor. The term Company refers to Federal Realty Investment Trust. The term Partnership refers to Federal Realty OP LP. </w:t>
      </w:r>
    </w:p>
    <w:p>
      <w:pPr>
        <w:pStyle w:val="TextBody"/>
        <w:bidi w:val="0"/>
        <w:spacing w:before="480" w:after="0"/>
        <w:jc w:val="center"/>
        <w:rPr>
          <w:rFonts w:ascii="Times New Roman" w:hAnsi="Times New Roman"/>
          <w:b/>
          <w:sz w:val="20"/>
        </w:rPr>
      </w:pPr>
      <w:bookmarkStart w:id="14" w:name="tx755152_2"/>
      <w:bookmarkEnd w:id="1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into this prospectus contain statements that are not based on historical facts, including statements or information with words such as may, will, seeks,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in or incorporated by reference into this prospectus describe forward-looking information. The risk factors, including those in our Annual Report on Form 10-K for the year ended December 31, 2023, filed with the SEC on February 12, 2024, describe risks that may affect these statements but are not exhaustive, particularly with respect to possible future events. Many things can happen that can cause actual results to be different from those we describe. These factors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our tenants will not pay rent, may vacate early or may file for bankruptcy, or that we may be unable to renew leases or re-let space at favorable rents as leases expire or to fill existing vacancies;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our growth will be limited if we cannot obtain additional capital, or if the costs of capital we obtain are significantly higher than historical levels;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general economic conditions, including inflation and local economic conditions in our geographic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of financing on terms which are acceptable to us, our ability to meet existing financial covenants and the limitations imposed on our operations by those covenants, and the possibility of increases in interest rates that would result in increased interest expense;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5" w:name="tx755152_3"/>
      <w:bookmarkEnd w:id="1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is qualified in its entirety by the more detailed information and consolidated financial statements and notes thereto contained elsewhere in or incorporated by reference into this prospectus.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Federal Realty Investment Trust and Federal Realty OP LP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Federal Realty Investment Trust, which we refer to as the Company, is an equity real estate investment trust, or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The Company conducts substantially all of its operations and owns substantially all of its assets through Federal Realty OP LP, which we refer to as the Partnership. The Company owns 100% of the limited liability company interests of, is the sole member of and exercises exclusive control over Federal Realty GP LLC, which is the sole general partner of the Partnership. The Company does not have substantial assets or liabilities other than through its investment in the Partnership. As of the date of this prospectus, the Company owns all of the outstanding limited partnership interests in the Partnership.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2023, we owned or had a majority interest in community and neighborhood shopping centers and mixed-use properties which are operated as 102 predominantly retail real estate projects comprising approximately 26.0 million commercial square feet. In total, the real estate projects were 94.2% leased and 92.2% occupied at December 31, 2023. Our revenue is primarily generated from lease agreements with tenants. We have paid quarterly dividends to our shareholders continuously since our founding in 1962 and have increased our dividends per common share for 56 consecutive years.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qualifies for taxation as a REIT pursuant to the Internal Revenue Code of 1986, as amended, or the Code, and we intend to operate in a manner that will allow us to maintain such qualification.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principal executive offices are located at 909 Rose Ave., Suite 200, North Bethesda, MD 20852. Our telephone number is (301) 998-8100. Our website address is </w:t>
      </w:r>
      <w:r>
        <w:rPr>
          <w:rFonts w:ascii="Times New Roman" w:hAnsi="Times New Roman"/>
          <w:i/>
          <w:sz w:val="20"/>
          <w:bdr w:val="single" w:sz="8" w:space="1" w:color="000000"/>
        </w:rPr>
        <w:t>www.federalrealty.com</w:t>
      </w:r>
      <w:r>
        <w:rPr>
          <w:rFonts w:ascii="Times New Roman" w:hAnsi="Times New Roman"/>
          <w:sz w:val="20"/>
          <w:bdr w:val="single" w:sz="8" w:space="1" w:color="000000"/>
        </w:rPr>
        <w:t xml:space="preserve">. The information contained on our website is not a part of this prospectus and is not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x755152_4"/>
      <w:bookmarkEnd w:id="1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making an investment decision, please consider the risks described under the caption Risk Factors in our Annual Report on Form 10-K for the fiscal year ended December 31, 2023,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 </w:t>
      </w:r>
    </w:p>
    <w:p>
      <w:pPr>
        <w:pStyle w:val="TextBody"/>
        <w:bidi w:val="0"/>
        <w:spacing w:before="480" w:after="0"/>
        <w:jc w:val="center"/>
        <w:rPr>
          <w:rFonts w:ascii="Times New Roman" w:hAnsi="Times New Roman"/>
          <w:b/>
          <w:sz w:val="20"/>
        </w:rPr>
      </w:pPr>
      <w:bookmarkStart w:id="17" w:name="tx755152_5"/>
      <w:bookmarkEnd w:id="1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we will use the net proceeds from the sale of securities pursuant to this prospectus for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 of additional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funding our development and redevelopment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of preferred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and general corporate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securities by selling security holders. </w:t>
      </w:r>
    </w:p>
    <w:p>
      <w:pPr>
        <w:pStyle w:val="TextBody"/>
        <w:bidi w:val="0"/>
        <w:spacing w:before="480" w:after="0"/>
        <w:jc w:val="center"/>
        <w:rPr>
          <w:rFonts w:ascii="Times New Roman" w:hAnsi="Times New Roman"/>
          <w:b/>
          <w:sz w:val="20"/>
        </w:rPr>
      </w:pPr>
      <w:bookmarkStart w:id="18" w:name="tx755152_6"/>
      <w:bookmarkEnd w:id="18"/>
      <w:r>
        <w:rPr>
          <w:rFonts w:ascii="Times New Roman" w:hAnsi="Times New Roman"/>
          <w:b/>
          <w:sz w:val="20"/>
        </w:rPr>
        <w:t xml:space="preserve">DESCRIPTION OF SECURITIES THAT MAY BE OFFERED BY FEDERAL REALTY INVESTMENT TRUST OR A SELLING SECURITY HOLDER </w:t>
      </w:r>
    </w:p>
    <w:p>
      <w:pPr>
        <w:pStyle w:val="TextBody"/>
        <w:bidi w:val="0"/>
        <w:spacing w:before="240" w:after="0"/>
        <w:jc w:val="left"/>
        <w:rPr>
          <w:rFonts w:ascii="Times New Roman" w:hAnsi="Times New Roman"/>
          <w:i/>
          <w:sz w:val="20"/>
        </w:rPr>
      </w:pPr>
      <w:r>
        <w:rPr>
          <w:rFonts w:ascii="Times New Roman" w:hAnsi="Times New Roman"/>
          <w:i/>
          <w:sz w:val="20"/>
        </w:rPr>
        <w:t xml:space="preserve">In the following section, references to we, us, our and ours refer only to Federal Realty Investment Trust and not to the Partnership or its subsidiaries unless the context requires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Shares of Beneficial Interest of Federal Realty Investment Trust </w:t>
      </w:r>
    </w:p>
    <w:p>
      <w:pPr>
        <w:pStyle w:val="TextBody"/>
        <w:bidi w:val="0"/>
        <w:spacing w:before="240" w:after="0"/>
        <w:jc w:val="left"/>
        <w:rPr>
          <w:rFonts w:ascii="Times New Roman" w:hAnsi="Times New Roman"/>
          <w:sz w:val="20"/>
        </w:rPr>
      </w:pPr>
      <w:r>
        <w:rPr>
          <w:rFonts w:ascii="Times New Roman" w:hAnsi="Times New Roman"/>
          <w:sz w:val="20"/>
        </w:rPr>
        <w:t xml:space="preserve">We are a Maryland real estate investment trust. Your rights as a shareholder are governed by the Code of Maryland, including Title 8 of the Corporations and Associations Article, or Maryland REIT Law, our declaration of trust, which sets forth the terms of our shares of beneficial interest, and our bylaws. The following summary of the material terms, rights and preferences of the shares of beneficial interest is not complete and is subject to and qualified in its entirety by reference to the laws of the State of Maryland, including the Maryland REIT Law, our declaration of trust and our bylaws.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Shares </w:t>
      </w:r>
    </w:p>
    <w:p>
      <w:pPr>
        <w:pStyle w:val="TextBody"/>
        <w:bidi w:val="0"/>
        <w:spacing w:before="120" w:after="0"/>
        <w:jc w:val="left"/>
        <w:rPr>
          <w:rFonts w:ascii="Times New Roman" w:hAnsi="Times New Roman"/>
          <w:sz w:val="20"/>
        </w:rPr>
      </w:pPr>
      <w:r>
        <w:rPr>
          <w:rFonts w:ascii="Times New Roman" w:hAnsi="Times New Roman"/>
          <w:sz w:val="20"/>
        </w:rPr>
        <w:t xml:space="preserve">Our declaration of trust allows us to issue up to 200,000,000 common shares of beneficial interest, par value $.01 per share, and 15,000,000 preferred shares of beneficial interest, par value $.01 per share. As of December 31, 2023, we had issued and outstanding 82,775,286 common shares, 392,878 preferred shares designated as 5.417% Series 1 Cumulative Convertible Preferred Shares, which we refer to as the Series 1 preferred shares, and 6,000 preferred shares designated as 5.000% Series C Cumulative Redeemable Preferred Shares, which we refer to as the Series C preferred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Authority of the Board of Trustees Relating to Authorization and Classification of Shares.</w:t>
      </w:r>
      <w:r>
        <w:rPr>
          <w:rFonts w:ascii="Times New Roman" w:hAnsi="Times New Roman"/>
          <w:sz w:val="20"/>
        </w:rPr>
        <w:t xml:space="preserve"> Our declaration of trust allows our Board of Trustees to take the following actions without approval by any shareholder: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classify or reclassify any authorized but unissued common shares or preferred shares into one or more classes or series of shares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declaration of trust to change the total number of shares of beneficial interest authorized;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declaration of trust to change the authorized number of shares of any class or series of shares of beneficial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there are any laws or stock exchange rules which require us to obtain shareholder approval in order for us to take these actions, however, we will contact our shareholders to solicit that approval.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 </w:t>
      </w:r>
    </w:p>
    <w:p>
      <w:pPr>
        <w:pStyle w:val="TextBody"/>
        <w:bidi w:val="0"/>
        <w:spacing w:before="360" w:after="0"/>
        <w:jc w:val="left"/>
        <w:rPr>
          <w:rFonts w:ascii="Times New Roman" w:hAnsi="Times New Roman"/>
          <w:b/>
          <w:sz w:val="20"/>
        </w:rPr>
      </w:pPr>
      <w:r>
        <w:rPr>
          <w:rFonts w:ascii="Times New Roman" w:hAnsi="Times New Roman"/>
          <w:b/>
          <w:sz w:val="20"/>
        </w:rPr>
        <w:t xml:space="preserve">Common Shares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 </w:t>
      </w:r>
    </w:p>
    <w:p>
      <w:pPr>
        <w:pStyle w:val="TextBody"/>
        <w:bidi w:val="0"/>
        <w:spacing w:before="24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Each outstanding common share owned by a shareholder entitles that holder to one vote on all matters submitted to a vote of common shareholders, including the election of trustees. The right to vote is subject to the provisions of our declaration of trust regarding the restriction of the transfer of shares of beneficial interest, which we describe under  Restrictions on Ownership and Transfer of Company Shares, below. There is no cumulative voting in the election of trustees, which means that, under Maryland law and our bylaws, the holders of a majority of all of the votes cast at a meeting of shareholders duly called and at which a quorum is present can elect a trustee. The holders of the remaining shares will not be able to elect any trustees. </w:t>
      </w:r>
    </w:p>
    <w:p>
      <w:pPr>
        <w:pStyle w:val="TextBody"/>
        <w:bidi w:val="0"/>
        <w:spacing w:before="240" w:after="0"/>
        <w:jc w:val="left"/>
        <w:rPr>
          <w:rFonts w:ascii="Times New Roman" w:hAnsi="Times New Roman"/>
          <w:sz w:val="20"/>
        </w:rPr>
      </w:pPr>
      <w:r>
        <w:rPr>
          <w:rFonts w:ascii="Times New Roman" w:hAnsi="Times New Roman"/>
          <w:sz w:val="20"/>
        </w:rPr>
        <w:t xml:space="preserve">As a holder of common shares, you will not have any right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your shares into any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any funds set aside for future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repurchase your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any of our securities, if other securities are offered for sale, other than as a member of the general public.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our declaration of trust regarding the restrictions on transfer of shares of beneficial interest, each common share has the same dividend, distribution, liquidation and other rights as each other common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trustees in any election in which the number of nominees exceeds the number of trustees to be elected (which requires a plurality of all the votes cast at a meeting of our shareholders at which a quorum is present);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termination, winding up of affairs and liquidation (which requires, after approval by a majority of the entire Board of Trustees, the affirmative vote of two-thirds of all the votes entitled to be cast on the matter);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under Maryland law, our merger or consolidation with another entity or sale of all or substantially all of our property (which requires the approval of the Board of Trustees and an affirmative vote of two-thirds of all the votes entitled to be cast on the matter).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qualify as a real estate investment trust under Maryland REIT Law or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increase or decrease the authorized aggregate number of shares and number of authorized shares of any class or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 </w:t>
      </w:r>
    </w:p>
    <w:p>
      <w:pPr>
        <w:pStyle w:val="TextBody"/>
        <w:bidi w:val="0"/>
        <w:spacing w:before="240" w:after="0"/>
        <w:jc w:val="left"/>
        <w:rPr>
          <w:rFonts w:ascii="Times New Roman" w:hAnsi="Times New Roman"/>
          <w:sz w:val="20"/>
        </w:rPr>
      </w:pPr>
      <w:r>
        <w:rPr>
          <w:rFonts w:ascii="Times New Roman" w:hAnsi="Times New Roman"/>
          <w:b/>
          <w:i/>
          <w:sz w:val="20"/>
        </w:rPr>
        <w:t>Preemptive Rights.</w:t>
      </w:r>
      <w:r>
        <w:rPr>
          <w:rFonts w:ascii="Times New Roman" w:hAnsi="Times New Roman"/>
          <w:sz w:val="20"/>
        </w:rPr>
        <w:t xml:space="preserve"> Under our declaration of trust, no holder of shares of beneficial interest has any preemptive rights to subscribe to any issuance of additional shares. The Board of Trustees, in classifying or reclassifying any unissued shares of beneficial interest, however, has the right to grant holders of shares preemptive rights to purchase or subscribe for additional shares of beneficial interest or other securities. </w:t>
      </w:r>
    </w:p>
    <w:p>
      <w:pPr>
        <w:pStyle w:val="TextBody"/>
        <w:bidi w:val="0"/>
        <w:spacing w:before="240" w:after="0"/>
        <w:jc w:val="left"/>
        <w:rPr>
          <w:rFonts w:ascii="Times New Roman" w:hAnsi="Times New Roman"/>
          <w:sz w:val="20"/>
        </w:rPr>
      </w:pPr>
      <w:r>
        <w:rPr>
          <w:rFonts w:ascii="Times New Roman" w:hAnsi="Times New Roman"/>
          <w:b/>
          <w:i/>
          <w:sz w:val="20"/>
        </w:rPr>
        <w:t>Stock Exchange Listing.</w:t>
      </w:r>
      <w:r>
        <w:rPr>
          <w:rFonts w:ascii="Times New Roman" w:hAnsi="Times New Roman"/>
          <w:sz w:val="20"/>
        </w:rPr>
        <w:t xml:space="preserve"> The common shares are traded on the New York Stock Exchange under the trading symbol FRT. </w:t>
      </w:r>
    </w:p>
    <w:p>
      <w:pPr>
        <w:pStyle w:val="TextBody"/>
        <w:bidi w:val="0"/>
        <w:spacing w:before="240" w:after="0"/>
        <w:jc w:val="left"/>
        <w:rPr>
          <w:rFonts w:ascii="Times New Roman" w:hAnsi="Times New Roman"/>
          <w:sz w:val="20"/>
        </w:rPr>
      </w:pPr>
      <w:r>
        <w:rPr>
          <w:rFonts w:ascii="Times New Roman" w:hAnsi="Times New Roman"/>
          <w:b/>
          <w:i/>
          <w:sz w:val="20"/>
        </w:rPr>
        <w:t>Transfer Agent and Registrar.</w:t>
      </w:r>
      <w:r>
        <w:rPr>
          <w:rFonts w:ascii="Times New Roman" w:hAnsi="Times New Roman"/>
          <w:sz w:val="20"/>
        </w:rPr>
        <w:t xml:space="preserve"> The transfer agent and registrar for the common shares is Equiniti Trust Company, LLC, New York,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Series 1 Preferred Shares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Below is a brief description of the terms of the Series 1 preferred shares, which is subject to and qualified in its entirety by reference to our declaration of trust, which sets forth the terms of the Series 1 preferred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Rank.</w:t>
      </w:r>
      <w:r>
        <w:rPr>
          <w:rFonts w:ascii="Times New Roman" w:hAnsi="Times New Roman"/>
          <w:sz w:val="20"/>
        </w:rPr>
        <w:t xml:space="preserve"> The Series 1 preferred shares rank pari passu with the Series C preferred shares and senior to the common shares with respect to the payment 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 </w:t>
      </w:r>
    </w:p>
    <w:p>
      <w:pPr>
        <w:pStyle w:val="TextBody"/>
        <w:bidi w:val="0"/>
        <w:spacing w:before="240" w:after="0"/>
        <w:jc w:val="left"/>
        <w:rPr>
          <w:rFonts w:ascii="Times New Roman" w:hAnsi="Times New Roman"/>
          <w:sz w:val="20"/>
        </w:rPr>
      </w:pPr>
      <w:r>
        <w:rPr>
          <w:rFonts w:ascii="Times New Roman" w:hAnsi="Times New Roman"/>
          <w:b/>
          <w:i/>
          <w:sz w:val="20"/>
        </w:rPr>
        <w:t>Dividends.</w:t>
      </w:r>
      <w:r>
        <w:rPr>
          <w:rFonts w:ascii="Times New Roman" w:hAnsi="Times New Roman"/>
          <w:sz w:val="20"/>
        </w:rPr>
        <w:t xml:space="preserve"> Each Series 1 preferred share is entitled to receive, when, as and if authorized by our Board of Trustees out of funds legally available for that purpose, cumulative preferential dividends payable in cash at a rate of 5.417% of the liquidation price of $25, which is equivalent to $1.35425 per annum. </w:t>
      </w:r>
    </w:p>
    <w:p>
      <w:pPr>
        <w:pStyle w:val="TextBody"/>
        <w:bidi w:val="0"/>
        <w:spacing w:before="240" w:after="0"/>
        <w:jc w:val="left"/>
        <w:rPr>
          <w:rFonts w:ascii="Times New Roman" w:hAnsi="Times New Roman"/>
          <w:sz w:val="20"/>
        </w:rPr>
      </w:pPr>
      <w:r>
        <w:rPr>
          <w:rFonts w:ascii="Times New Roman" w:hAnsi="Times New Roman"/>
          <w:b/>
          <w:i/>
          <w:sz w:val="20"/>
        </w:rPr>
        <w:t>Liquidation Preference.</w:t>
      </w:r>
      <w:r>
        <w:rPr>
          <w:rFonts w:ascii="Times New Roman" w:hAnsi="Times New Roman"/>
          <w:sz w:val="20"/>
        </w:rPr>
        <w:t xml:space="preserve"> In the event of our liquidation, dissolution or winding up, the holders of Series 1 preferred shares shall be entitled to receive $25 per share, plus all accrued and unpaid dividends, before any distribution shall be made with respect to the common shares. </w:t>
      </w:r>
    </w:p>
    <w:p>
      <w:pPr>
        <w:pStyle w:val="TextBody"/>
        <w:bidi w:val="0"/>
        <w:spacing w:before="24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The Series 1 preferred shares shall have no voting rights. </w:t>
      </w:r>
    </w:p>
    <w:p>
      <w:pPr>
        <w:pStyle w:val="TextBody"/>
        <w:bidi w:val="0"/>
        <w:spacing w:before="240" w:after="0"/>
        <w:jc w:val="left"/>
        <w:rPr>
          <w:rFonts w:ascii="Times New Roman" w:hAnsi="Times New Roman"/>
          <w:sz w:val="20"/>
        </w:rPr>
      </w:pPr>
      <w:r>
        <w:rPr>
          <w:rFonts w:ascii="Times New Roman" w:hAnsi="Times New Roman"/>
          <w:b/>
          <w:i/>
          <w:sz w:val="20"/>
        </w:rPr>
        <w:t>Conversion Rights.</w:t>
      </w:r>
      <w:r>
        <w:rPr>
          <w:rFonts w:ascii="Times New Roman" w:hAnsi="Times New Roman"/>
          <w:sz w:val="20"/>
        </w:rPr>
        <w:t xml:space="preserve"> Subject to other applicable provisions within our declaration of trust pertaining to the Series 1 preferred shares, 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 </w:t>
      </w:r>
    </w:p>
    <w:p>
      <w:pPr>
        <w:pStyle w:val="TextBody"/>
        <w:bidi w:val="0"/>
        <w:spacing w:before="240" w:after="0"/>
        <w:jc w:val="left"/>
        <w:rPr>
          <w:rFonts w:ascii="Times New Roman" w:hAnsi="Times New Roman"/>
          <w:sz w:val="20"/>
        </w:rPr>
      </w:pPr>
      <w:r>
        <w:rPr>
          <w:rFonts w:ascii="Times New Roman" w:hAnsi="Times New Roman"/>
          <w:b/>
          <w:i/>
          <w:sz w:val="20"/>
        </w:rPr>
        <w:t>Transfer Agent and Registrar.</w:t>
      </w:r>
      <w:r>
        <w:rPr>
          <w:rFonts w:ascii="Times New Roman" w:hAnsi="Times New Roman"/>
          <w:sz w:val="20"/>
        </w:rPr>
        <w:t xml:space="preserve"> The transfer agent and registrar for the Series 1 preferred shares is Equiniti Trust Company, LLC, New York,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Series C Preferred Shares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Below is a brief description of the terms of the Series C preferred shares, which is subject to and qualified in its entirety by reference to our declaration of trust, which sets forth the terms of the Series C preferred shares. </w:t>
      </w:r>
    </w:p>
    <w:p>
      <w:pPr>
        <w:pStyle w:val="TextBody"/>
        <w:bidi w:val="0"/>
        <w:spacing w:before="240" w:after="0"/>
        <w:jc w:val="left"/>
        <w:rPr>
          <w:rFonts w:ascii="Times New Roman" w:hAnsi="Times New Roman"/>
          <w:sz w:val="20"/>
        </w:rPr>
      </w:pPr>
      <w:r>
        <w:rPr>
          <w:rFonts w:ascii="Times New Roman" w:hAnsi="Times New Roman"/>
          <w:b/>
          <w:i/>
          <w:sz w:val="20"/>
        </w:rPr>
        <w:t>Rank.</w:t>
      </w:r>
      <w:r>
        <w:rPr>
          <w:rFonts w:ascii="Times New Roman" w:hAnsi="Times New Roman"/>
          <w:sz w:val="20"/>
        </w:rPr>
        <w:t xml:space="preserve"> The Series C preferred shares rank pari passu with the Series 1 preferred shares and senior to the common shares with respect to the payment of dividends and the distribution of assets upon our liquidation, dissolution or winding up. Our declaration of trust provides that, unless full cumulative dividends on all outstanding Series C preferred shares and any Parity Shares shall have been declared and paid or declared and set apart for payment for all past dividend periods, then no dividends, other than dividends paid solely in common shares, or options, warrants or rights to subscribe for or purchase common shares, or any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Junior Shares). </w:t>
      </w:r>
    </w:p>
    <w:p>
      <w:pPr>
        <w:pStyle w:val="TextBody"/>
        <w:bidi w:val="0"/>
        <w:spacing w:before="240" w:after="0"/>
        <w:jc w:val="left"/>
        <w:rPr>
          <w:rFonts w:ascii="Times New Roman" w:hAnsi="Times New Roman"/>
          <w:sz w:val="20"/>
        </w:rPr>
      </w:pPr>
      <w:r>
        <w:rPr>
          <w:rFonts w:ascii="Times New Roman" w:hAnsi="Times New Roman"/>
          <w:b/>
          <w:i/>
          <w:sz w:val="20"/>
        </w:rPr>
        <w:t>Dividends.</w:t>
      </w:r>
      <w:r>
        <w:rPr>
          <w:rFonts w:ascii="Times New Roman" w:hAnsi="Times New Roman"/>
          <w:sz w:val="20"/>
        </w:rPr>
        <w:t xml:space="preserve"> Each Series C preferred share is entitled to receive, when, as and if authorized by our Board of Trustees out of funds legally available for that purpose, cumulative preferential dividends payable in cash at a rate of 5.000% of the liquidation price of $25,000, which is equivalent to $1,250 per annum. </w:t>
      </w:r>
    </w:p>
    <w:p>
      <w:pPr>
        <w:pStyle w:val="TextBody"/>
        <w:bidi w:val="0"/>
        <w:spacing w:before="240" w:after="0"/>
        <w:jc w:val="left"/>
        <w:rPr>
          <w:rFonts w:ascii="Times New Roman" w:hAnsi="Times New Roman"/>
          <w:sz w:val="20"/>
        </w:rPr>
      </w:pPr>
      <w:r>
        <w:rPr>
          <w:rFonts w:ascii="Times New Roman" w:hAnsi="Times New Roman"/>
          <w:b/>
          <w:i/>
          <w:sz w:val="20"/>
        </w:rPr>
        <w:t>Liquidation Preference.</w:t>
      </w:r>
      <w:r>
        <w:rPr>
          <w:rFonts w:ascii="Times New Roman" w:hAnsi="Times New Roman"/>
          <w:sz w:val="20"/>
        </w:rPr>
        <w:t xml:space="preserve"> In the event of our liquidation, dissolution or winding up, the holders of Series C preferred shares shall be entitled to receive $25,000 per share, plus all accrued and unpaid dividends, before any distribution shall be made with respect to the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The Series C preferred shares generally have no voting rights. However, if and whenever dividends payable on the Series C 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 </w:t>
      </w:r>
    </w:p>
    <w:p>
      <w:pPr>
        <w:pStyle w:val="TextBody"/>
        <w:bidi w:val="0"/>
        <w:spacing w:before="240" w:after="0"/>
        <w:jc w:val="left"/>
        <w:rPr>
          <w:rFonts w:ascii="Times New Roman" w:hAnsi="Times New Roman"/>
          <w:sz w:val="20"/>
        </w:rPr>
      </w:pPr>
      <w:r>
        <w:rPr>
          <w:rFonts w:ascii="Times New Roman" w:hAnsi="Times New Roman"/>
          <w:b/>
          <w:i/>
          <w:sz w:val="20"/>
        </w:rPr>
        <w:t>Conversion Rights.</w:t>
      </w:r>
      <w:r>
        <w:rPr>
          <w:rFonts w:ascii="Times New Roman" w:hAnsi="Times New Roman"/>
          <w:sz w:val="20"/>
        </w:rPr>
        <w:t xml:space="preserve"> The Series C preferred shares have no conversion rights. </w:t>
      </w:r>
    </w:p>
    <w:p>
      <w:pPr>
        <w:pStyle w:val="TextBody"/>
        <w:bidi w:val="0"/>
        <w:spacing w:before="240" w:after="0"/>
        <w:jc w:val="left"/>
        <w:rPr>
          <w:rFonts w:ascii="Times New Roman" w:hAnsi="Times New Roman"/>
          <w:sz w:val="20"/>
        </w:rPr>
      </w:pPr>
      <w:r>
        <w:rPr>
          <w:rFonts w:ascii="Times New Roman" w:hAnsi="Times New Roman"/>
          <w:b/>
          <w:i/>
          <w:sz w:val="20"/>
        </w:rPr>
        <w:t>Redemption by the Company.</w:t>
      </w:r>
      <w:r>
        <w:rPr>
          <w:rFonts w:ascii="Times New Roman" w:hAnsi="Times New Roman"/>
          <w:sz w:val="20"/>
        </w:rPr>
        <w:t xml:space="preserve"> The Series C preferred shares may be redeemed for cash, in whole or from time to time in part, on any date on or after September 29, 2022 at the option of the Company at a price per share equal to $25,000.00 plus accrued and unpaid dividends thereon, if any, to, but excluding, the redemption date. </w:t>
      </w:r>
    </w:p>
    <w:p>
      <w:pPr>
        <w:pStyle w:val="TextBody"/>
        <w:bidi w:val="0"/>
        <w:spacing w:before="240" w:after="0"/>
        <w:jc w:val="left"/>
        <w:rPr>
          <w:rFonts w:ascii="Times New Roman" w:hAnsi="Times New Roman"/>
          <w:sz w:val="20"/>
        </w:rPr>
      </w:pPr>
      <w:r>
        <w:rPr>
          <w:rFonts w:ascii="Times New Roman" w:hAnsi="Times New Roman"/>
          <w:b/>
          <w:i/>
          <w:sz w:val="20"/>
        </w:rPr>
        <w:t>Depositary Shares.</w:t>
      </w:r>
      <w:r>
        <w:rPr>
          <w:rFonts w:ascii="Times New Roman" w:hAnsi="Times New Roman"/>
          <w:sz w:val="20"/>
        </w:rPr>
        <w:t xml:space="preserve"> Interests in the Series C preferred shares are represented by depositary shares, which we refer to as the Series C depositary shares. Each Series C depositary share represents a 1/1000th fractional interest in a Series C preferred share. The Series C preferred shares have been deposited with Equiniti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 </w:t>
      </w:r>
    </w:p>
    <w:p>
      <w:pPr>
        <w:pStyle w:val="TextBody"/>
        <w:bidi w:val="0"/>
        <w:spacing w:before="240" w:after="0"/>
        <w:jc w:val="left"/>
        <w:rPr>
          <w:rFonts w:ascii="Times New Roman" w:hAnsi="Times New Roman"/>
          <w:sz w:val="20"/>
        </w:rPr>
      </w:pPr>
      <w:r>
        <w:rPr>
          <w:rFonts w:ascii="Times New Roman" w:hAnsi="Times New Roman"/>
          <w:b/>
          <w:i/>
          <w:sz w:val="20"/>
        </w:rPr>
        <w:t>Stock Exchange Listing.</w:t>
      </w:r>
      <w:r>
        <w:rPr>
          <w:rFonts w:ascii="Times New Roman" w:hAnsi="Times New Roman"/>
          <w:sz w:val="20"/>
        </w:rPr>
        <w:t xml:space="preserve"> The Series C depositary shares are traded on the New York Stock Exchange under the trading symbol FRT-C. </w:t>
      </w:r>
    </w:p>
    <w:p>
      <w:pPr>
        <w:pStyle w:val="TextBody"/>
        <w:bidi w:val="0"/>
        <w:spacing w:before="240" w:after="0"/>
        <w:jc w:val="left"/>
        <w:rPr>
          <w:rFonts w:ascii="Times New Roman" w:hAnsi="Times New Roman"/>
          <w:sz w:val="20"/>
        </w:rPr>
      </w:pPr>
      <w:r>
        <w:rPr>
          <w:rFonts w:ascii="Times New Roman" w:hAnsi="Times New Roman"/>
          <w:b/>
          <w:i/>
          <w:sz w:val="20"/>
        </w:rPr>
        <w:t>Transfer Agent and Registrar.</w:t>
      </w:r>
      <w:r>
        <w:rPr>
          <w:rFonts w:ascii="Times New Roman" w:hAnsi="Times New Roman"/>
          <w:sz w:val="20"/>
        </w:rPr>
        <w:t xml:space="preserve"> The transfer agent and registrar for the Series C preferred shares is Equiniti Trust Company, LLC, New York,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Shares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Preferred shares may be offered and sold from time to time, in one or more series, as authorized by the Board of Trustees. The Board of 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series of preferred shares. The offer and sale of preferred shares could have the effect of delaying or preventing a change of our control that might involve a premium price for holders of our common shares or otherwise be favorable to them. </w:t>
      </w:r>
    </w:p>
    <w:p>
      <w:pPr>
        <w:pStyle w:val="TextBody"/>
        <w:bidi w:val="0"/>
        <w:spacing w:before="240" w:after="0"/>
        <w:jc w:val="left"/>
        <w:rPr>
          <w:rFonts w:ascii="Times New Roman" w:hAnsi="Times New Roman"/>
          <w:sz w:val="20"/>
        </w:rPr>
      </w:pPr>
      <w:r>
        <w:rPr>
          <w:rFonts w:ascii="Times New Roman" w:hAnsi="Times New Roman"/>
          <w:b/>
          <w:i/>
          <w:sz w:val="20"/>
        </w:rPr>
        <w:t>Terms.</w:t>
      </w:r>
      <w:r>
        <w:rPr>
          <w:rFonts w:ascii="Times New Roman" w:hAnsi="Times New Roman"/>
          <w:sz w:val="20"/>
        </w:rPr>
        <w:t xml:space="preserve"> You should refer to the prospectus supplement relating to the offering of any preferred shares for specific terms, including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preferred shares offered and the offering price of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amounts and/or payment date(s) or method(s) of calculation of any of those terms that apply to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from which dividends on those preferred shares will accumulate,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amount of a sinking fund, if any, for the purchase or redemption of those preferred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rights, including conditions, time(s) and the redemption price(s), if applicable, of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if any, of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those preferred shares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those preferred shares will be convertible into common shares or any of our other securities, including the conversion price or rate (or manner of calculation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 of those preferred shares as to dividend rights and rights upon liquidation, dissolution or the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series of preferred shares ranking senior to or on a parity with that series of preferred shares as to dividend rights and rights upon liquidation, dissolution or the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additional federal income tax consequences applicable to those preferred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direct or beneficial ownership and restrictions on transfer in addition to those described in  Restrictions on Ownership and Transfer of Company Shares, in each case as may be appropriate to preserve our status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terms of any preferred shares we issue through this prospectus will be set forth in articles supplementary to our declaration of trust or in an amendment to our declaration of trust. We will file the articles supplementary or any such amendment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or amendment to our declaration of trust for a complete description of all of the terms. </w:t>
      </w:r>
    </w:p>
    <w:p>
      <w:pPr>
        <w:pStyle w:val="TextBody"/>
        <w:bidi w:val="0"/>
        <w:spacing w:before="240" w:after="0"/>
        <w:jc w:val="left"/>
        <w:rPr>
          <w:rFonts w:ascii="Times New Roman" w:hAnsi="Times New Roman"/>
          <w:sz w:val="20"/>
        </w:rPr>
      </w:pPr>
      <w:r>
        <w:rPr>
          <w:rFonts w:ascii="Times New Roman" w:hAnsi="Times New Roman"/>
          <w:b/>
          <w:i/>
          <w:sz w:val="20"/>
        </w:rPr>
        <w:t>Rank.</w:t>
      </w:r>
      <w:r>
        <w:rPr>
          <w:rFonts w:ascii="Times New Roman" w:hAnsi="Times New Roman"/>
          <w:sz w:val="20"/>
        </w:rPr>
        <w:t xml:space="preserve"> Unless we say otherwise in a prospectus supplement, the preferred shares offered through that supplement will, with respect to dividend rights and rights upon our liquidation, dissolution or winding up,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our common shares, and to all other equity securities ranking junior to those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of our equity securities ranking on a parity with the preferred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of our equity securities ranking senior to the preferred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description of our preferred shares, the term equity securities does not include convertible debt securities that we may offer from time to time. </w:t>
      </w:r>
    </w:p>
    <w:p>
      <w:pPr>
        <w:pStyle w:val="TextBody"/>
        <w:bidi w:val="0"/>
        <w:spacing w:before="240" w:after="0"/>
        <w:jc w:val="left"/>
        <w:rPr>
          <w:rFonts w:ascii="Times New Roman" w:hAnsi="Times New Roman"/>
          <w:sz w:val="20"/>
        </w:rPr>
      </w:pPr>
      <w:r>
        <w:rPr>
          <w:rFonts w:ascii="Times New Roman" w:hAnsi="Times New Roman"/>
          <w:b/>
          <w:i/>
          <w:sz w:val="20"/>
        </w:rPr>
        <w:t>Dividends.</w:t>
      </w:r>
      <w:r>
        <w:rPr>
          <w:rFonts w:ascii="Times New Roman" w:hAnsi="Times New Roman"/>
          <w:sz w:val="20"/>
        </w:rPr>
        <w:t xml:space="preserve"> Subject to any preferential rights of any outstanding shares or series of shares and to the provisions of our declaration of trust regarding ownership of shares in excess of the ownership limitation described below under  Restrictions on Ownership and Transfer of Company Shares, our preferred shareholders are entitled to receive dividends, when and as authorized by our Board of Trustees, out of legally available funds. </w:t>
      </w:r>
    </w:p>
    <w:p>
      <w:pPr>
        <w:pStyle w:val="TextBody"/>
        <w:bidi w:val="0"/>
        <w:spacing w:before="240" w:after="0"/>
        <w:jc w:val="left"/>
        <w:rPr>
          <w:rFonts w:ascii="Times New Roman" w:hAnsi="Times New Roman"/>
          <w:sz w:val="20"/>
        </w:rPr>
      </w:pPr>
      <w:r>
        <w:rPr>
          <w:rFonts w:ascii="Times New Roman" w:hAnsi="Times New Roman"/>
          <w:b/>
          <w:i/>
          <w:sz w:val="20"/>
        </w:rPr>
        <w:t>Redemption.</w:t>
      </w:r>
      <w:r>
        <w:rPr>
          <w:rFonts w:ascii="Times New Roman" w:hAnsi="Times New Roman"/>
          <w:sz w:val="20"/>
        </w:rPr>
        <w:t xml:space="preserve"> If we provide for a redemption right in a prospectus supplement, the preferred shares offered through that supplement will be subject to mandatory redemption or redemption at our option, in whole or in part, in each case upon the terms, at the times and at the redemption prices set forth in that supplement. </w:t>
      </w:r>
    </w:p>
    <w:p>
      <w:pPr>
        <w:pStyle w:val="TextBody"/>
        <w:bidi w:val="0"/>
        <w:spacing w:before="240" w:after="0"/>
        <w:jc w:val="left"/>
        <w:rPr>
          <w:rFonts w:ascii="Times New Roman" w:hAnsi="Times New Roman"/>
          <w:sz w:val="20"/>
        </w:rPr>
      </w:pPr>
      <w:r>
        <w:rPr>
          <w:rFonts w:ascii="Times New Roman" w:hAnsi="Times New Roman"/>
          <w:b/>
          <w:i/>
          <w:sz w:val="20"/>
        </w:rPr>
        <w:t>Liquidation Preference.</w:t>
      </w:r>
      <w:r>
        <w:rPr>
          <w:rFonts w:ascii="Times New Roman" w:hAnsi="Times New Roman"/>
          <w:sz w:val="20"/>
        </w:rPr>
        <w:t xml:space="preserve"> As to any liquidation preference applicable to preferred shares offered through this prospectus, the applicable supplement 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 </w:t>
      </w:r>
    </w:p>
    <w:p>
      <w:pPr>
        <w:pStyle w:val="TextBody"/>
        <w:bidi w:val="0"/>
        <w:spacing w:before="240" w:after="0"/>
        <w:jc w:val="left"/>
        <w:rPr>
          <w:rFonts w:ascii="Times New Roman" w:hAnsi="Times New Roman"/>
          <w:sz w:val="20"/>
        </w:rPr>
      </w:pPr>
      <w:r>
        <w:rPr>
          <w:rFonts w:ascii="Times New Roman" w:hAnsi="Times New Roman"/>
          <w:sz w:val="20"/>
        </w:rPr>
        <w:t xml:space="preserve">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 </w:t>
      </w:r>
    </w:p>
    <w:p>
      <w:pPr>
        <w:pStyle w:val="TextBody"/>
        <w:bidi w:val="0"/>
        <w:spacing w:before="24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Unless otherwise indicated in the applicable supplement, holders of preferred shares we issue in the future will not have any voting rights, except as may be required by applicable law or any applicable rules and regulations of the New York Stock Exchange. </w:t>
      </w:r>
    </w:p>
    <w:p>
      <w:pPr>
        <w:pStyle w:val="TextBody"/>
        <w:bidi w:val="0"/>
        <w:spacing w:before="240" w:after="0"/>
        <w:jc w:val="left"/>
        <w:rPr>
          <w:rFonts w:ascii="Times New Roman" w:hAnsi="Times New Roman"/>
          <w:sz w:val="20"/>
        </w:rPr>
      </w:pPr>
      <w:r>
        <w:rPr>
          <w:rFonts w:ascii="Times New Roman" w:hAnsi="Times New Roman"/>
          <w:b/>
          <w:i/>
          <w:sz w:val="20"/>
        </w:rPr>
        <w:t>Conversion Rights.</w:t>
      </w:r>
      <w:r>
        <w:rPr>
          <w:rFonts w:ascii="Times New Roman" w:hAnsi="Times New Roman"/>
          <w:sz w:val="20"/>
        </w:rPr>
        <w:t xml:space="preserve"> The terms and conditions, if any, upon which any series of preferred shares is convertible into common shares will be set forth in the prospectus supplement relating to the offering of those preferred shares. These terms typically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common shares into which the preferred shares are convertible;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or rate (or manner of calculation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whether conversion will be at the option of the holders of the preferred shares or at our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events requiring an adjustment of the conversion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in the event of the redemption of that series of preferred shares. </w:t>
            </w:r>
          </w:p>
        </w:tc>
      </w:tr>
    </w:tbl>
    <w:p>
      <w:pPr>
        <w:pStyle w:val="TextBody"/>
        <w:bidi w:val="0"/>
        <w:spacing w:before="240" w:after="0"/>
        <w:jc w:val="left"/>
        <w:rPr>
          <w:rFonts w:ascii="Times New Roman" w:hAnsi="Times New Roman"/>
          <w:sz w:val="20"/>
        </w:rPr>
      </w:pPr>
      <w:r>
        <w:rPr>
          <w:rFonts w:ascii="Times New Roman" w:hAnsi="Times New Roman"/>
          <w:b/>
          <w:i/>
          <w:sz w:val="20"/>
        </w:rPr>
        <w:t>Transfer Agent and Registrar.</w:t>
      </w:r>
      <w:r>
        <w:rPr>
          <w:rFonts w:ascii="Times New Roman" w:hAnsi="Times New Roman"/>
          <w:sz w:val="20"/>
        </w:rPr>
        <w:t xml:space="preserve"> We will identify the transfer agent and registrar for any additional series of preferred shares issued through this prospectus in a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and Transfer of Company Shares </w:t>
      </w:r>
    </w:p>
    <w:p>
      <w:pPr>
        <w:pStyle w:val="TextBody"/>
        <w:bidi w:val="0"/>
        <w:spacing w:before="120" w:after="0"/>
        <w:jc w:val="left"/>
        <w:rPr>
          <w:rFonts w:ascii="Times New Roman" w:hAnsi="Times New Roman"/>
          <w:sz w:val="20"/>
        </w:rPr>
      </w:pPr>
      <w:r>
        <w:rPr>
          <w:rFonts w:ascii="Times New Roman" w:hAnsi="Times New Roman"/>
          <w:sz w:val="20"/>
        </w:rPr>
        <w:t xml:space="preserve">Restrictions on ownership and transfer of shares are important to ensure that we meet certain conditions under the Code to qualify as a REIT. For example, the Code contains the following requirements.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REIT, or an owner of 10% or more of a REIT, is treated as owning 10% or more of a tenant of the REITs property, the rent received by the REIT from the tenant will not be qualifying income for purposes of the REIT gross income tests of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REITs shares or beneficial interests must be owned by 100 or more persons during at least 335 days of a taxable year of 12 months or during a proportionate part of a shorter taxable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shares (which includes any common shares and our preferred shares). In this prospectus, the term ownership limitation is used to describe this provision of our declaration of trust. </w:t>
      </w:r>
    </w:p>
    <w:p>
      <w:pPr>
        <w:pStyle w:val="TextBody"/>
        <w:bidi w:val="0"/>
        <w:spacing w:before="240" w:after="0"/>
        <w:jc w:val="left"/>
        <w:rPr>
          <w:rFonts w:ascii="Times New Roman" w:hAnsi="Times New Roman"/>
          <w:sz w:val="20"/>
        </w:rPr>
      </w:pPr>
      <w:r>
        <w:rPr>
          <w:rFonts w:ascii="Times New Roman" w:hAnsi="Times New Roman"/>
          <w:sz w:val="20"/>
        </w:rPr>
        <w:t xml:space="preserve">Any transfer of shares will be null and void, and the intended transferee will acquire no rights in such shares if the transfer: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in any person owning, directly or indirectly, shares in excess of the ownership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in the shares being owned by fewer than 100 persons (determined without reference to any rules of attribution);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in our being closely held (within the meaning of Section 856(h)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causes us to own, directly or constructively, 10% or more of the ownership interests in a tenant of our real property (within the meaning of Section 856(d)(2)(B) of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results in our failure to qualify as a REIT. </w:t>
            </w:r>
          </w:p>
        </w:tc>
      </w:tr>
    </w:tbl>
    <w:p>
      <w:pPr>
        <w:pStyle w:val="TextBody"/>
        <w:bidi w:val="0"/>
        <w:spacing w:before="240" w:after="0"/>
        <w:jc w:val="left"/>
        <w:rPr>
          <w:rFonts w:ascii="Times New Roman" w:hAnsi="Times New Roman"/>
          <w:sz w:val="20"/>
        </w:rPr>
      </w:pPr>
      <w:r>
        <w:rPr>
          <w:rFonts w:ascii="Times New Roman" w:hAnsi="Times New Roman"/>
          <w:b/>
          <w:i/>
          <w:sz w:val="20"/>
        </w:rPr>
        <w:t>Automatic Transfer of Shares to Trust</w:t>
      </w:r>
      <w:r>
        <w:rPr>
          <w:rFonts w:ascii="Times New Roman" w:hAnsi="Times New Roman"/>
          <w:b/>
          <w:sz w:val="20"/>
        </w:rPr>
        <w:t>.</w:t>
      </w:r>
      <w:r>
        <w:rPr>
          <w:rFonts w:ascii="Times New Roman" w:hAnsi="Times New Roman"/>
          <w:sz w:val="20"/>
        </w:rPr>
        <w:t xml:space="preserve"> With certain exceptions described below, if any purported transfer of shares would violate any of the 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 </w:t>
      </w:r>
    </w:p>
    <w:p>
      <w:pPr>
        <w:pStyle w:val="TextBody"/>
        <w:bidi w:val="0"/>
        <w:spacing w:before="240" w:after="0"/>
        <w:jc w:val="left"/>
        <w:rPr>
          <w:rFonts w:ascii="Times New Roman" w:hAnsi="Times New Roman"/>
          <w:sz w:val="20"/>
        </w:rPr>
      </w:pPr>
      <w:r>
        <w:rPr>
          <w:rFonts w:ascii="Times New Roman" w:hAnsi="Times New Roman"/>
          <w:sz w:val="20"/>
        </w:rPr>
        <w:t xml:space="preserve">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 </w:t>
      </w:r>
    </w:p>
    <w:p>
      <w:pPr>
        <w:pStyle w:val="TextBody"/>
        <w:bidi w:val="0"/>
        <w:spacing w:before="240" w:after="0"/>
        <w:jc w:val="left"/>
        <w:rPr>
          <w:rFonts w:ascii="Times New Roman" w:hAnsi="Times New Roman"/>
          <w:sz w:val="20"/>
        </w:rPr>
      </w:pPr>
      <w:r>
        <w:rPr>
          <w:rFonts w:ascii="Times New Roman" w:hAnsi="Times New Roman"/>
          <w:sz w:val="20"/>
        </w:rPr>
        <w:t xml:space="preserve">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per share, if any, paid by the record holder for the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 amount was paid for such shares (e.g., if such shares were received through a gift or devise),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per share equal to the market price (which is calculated as defined in our declaration of trust) on the date the shares were received,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per share received by the trustee from the sale of such shares-in-trust.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 </w:t>
      </w:r>
    </w:p>
    <w:p>
      <w:pPr>
        <w:pStyle w:val="TextBody"/>
        <w:bidi w:val="0"/>
        <w:spacing w:before="240" w:after="0"/>
        <w:jc w:val="left"/>
        <w:rPr>
          <w:rFonts w:ascii="Times New Roman" w:hAnsi="Times New Roman"/>
          <w:sz w:val="20"/>
        </w:rPr>
      </w:pPr>
      <w:r>
        <w:rPr>
          <w:rFonts w:ascii="Times New Roman" w:hAnsi="Times New Roman"/>
          <w:sz w:val="20"/>
        </w:rPr>
        <w:t xml:space="preserve">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 </w:t>
      </w:r>
    </w:p>
    <w:p>
      <w:pPr>
        <w:pStyle w:val="TextBody"/>
        <w:bidi w:val="0"/>
        <w:spacing w:before="240" w:after="0"/>
        <w:jc w:val="left"/>
        <w:rPr>
          <w:rFonts w:ascii="Times New Roman" w:hAnsi="Times New Roman"/>
          <w:sz w:val="20"/>
        </w:rPr>
      </w:pPr>
      <w:r>
        <w:rPr>
          <w:rFonts w:ascii="Times New Roman" w:hAnsi="Times New Roman"/>
          <w:sz w:val="20"/>
        </w:rPr>
        <w:t xml:space="preserve">If a shareholder owns more than 5% of the outstanding common shares or preferred shares, then the shareholder must notify us of its share ownership by January 30 of each year. </w:t>
      </w:r>
    </w:p>
    <w:p>
      <w:pPr>
        <w:pStyle w:val="TextBody"/>
        <w:bidi w:val="0"/>
        <w:spacing w:before="240" w:after="0"/>
        <w:jc w:val="left"/>
        <w:rPr>
          <w:rFonts w:ascii="Times New Roman" w:hAnsi="Times New Roman"/>
          <w:sz w:val="20"/>
        </w:rPr>
      </w:pPr>
      <w:r>
        <w:rPr>
          <w:rFonts w:ascii="Times New Roman" w:hAnsi="Times New Roman"/>
          <w:sz w:val="20"/>
        </w:rPr>
        <w:t xml:space="preserve">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 </w:t>
      </w:r>
    </w:p>
    <w:p>
      <w:pPr>
        <w:pStyle w:val="TextBody"/>
        <w:bidi w:val="0"/>
        <w:spacing w:before="240" w:after="0"/>
        <w:jc w:val="left"/>
        <w:rPr>
          <w:rFonts w:ascii="Times New Roman" w:hAnsi="Times New Roman"/>
          <w:sz w:val="20"/>
        </w:rPr>
      </w:pPr>
      <w:r>
        <w:rPr>
          <w:rFonts w:ascii="Times New Roman" w:hAnsi="Times New Roman"/>
          <w:sz w:val="20"/>
        </w:rPr>
        <w:t xml:space="preserve">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t>
      </w:r>
    </w:p>
    <w:p>
      <w:pPr>
        <w:pStyle w:val="TextBody"/>
        <w:bidi w:val="0"/>
        <w:spacing w:before="240" w:after="0"/>
        <w:jc w:val="left"/>
        <w:rPr>
          <w:rFonts w:ascii="Times New Roman" w:hAnsi="Times New Roman"/>
          <w:sz w:val="20"/>
        </w:rPr>
      </w:pPr>
      <w:r>
        <w:rPr>
          <w:rFonts w:ascii="Times New Roman" w:hAnsi="Times New Roman"/>
          <w:sz w:val="20"/>
        </w:rPr>
        <w:t xml:space="preserve">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Depositary Shares of the Company </w:t>
      </w:r>
    </w:p>
    <w:p>
      <w:pPr>
        <w:pStyle w:val="TextBody"/>
        <w:bidi w:val="0"/>
        <w:spacing w:before="12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We may issue depositary shares, each of which will represent a fractional interest of a share of a particular series of preferred 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December 31, 2023, we had 6,000,000 depositary shares issued and outstanding, each representing a 1/1000th fractional interest in a Series C preferred share. See Series C Preferred Shares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 </w:t>
      </w:r>
    </w:p>
    <w:p>
      <w:pPr>
        <w:pStyle w:val="TextBody"/>
        <w:bidi w:val="0"/>
        <w:spacing w:before="240" w:after="0"/>
        <w:jc w:val="left"/>
        <w:rPr>
          <w:rFonts w:ascii="Times New Roman" w:hAnsi="Times New Roman"/>
          <w:sz w:val="20"/>
        </w:rPr>
      </w:pPr>
      <w:r>
        <w:rPr>
          <w:rFonts w:ascii="Times New Roman" w:hAnsi="Times New Roman"/>
          <w:b/>
          <w:i/>
          <w:sz w:val="20"/>
        </w:rPr>
        <w:t>Dividends and Other Provisions.</w:t>
      </w:r>
      <w:r>
        <w:rPr>
          <w:rFonts w:ascii="Times New Roman" w:hAnsi="Times New Roman"/>
          <w:sz w:val="20"/>
        </w:rPr>
        <w:t xml:space="preserve"> If you are a record holder (as defined below) of depositary receipts and we pay a cash dividend or other cash 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 </w:t>
      </w:r>
    </w:p>
    <w:p>
      <w:pPr>
        <w:pStyle w:val="TextBody"/>
        <w:bidi w:val="0"/>
        <w:spacing w:before="240" w:after="0"/>
        <w:jc w:val="left"/>
        <w:rPr>
          <w:rFonts w:ascii="Times New Roman" w:hAnsi="Times New Roman"/>
          <w:sz w:val="20"/>
        </w:rPr>
      </w:pPr>
      <w:r>
        <w:rPr>
          <w:rFonts w:ascii="Times New Roman" w:hAnsi="Times New Roman"/>
          <w:sz w:val="20"/>
        </w:rPr>
        <w:t xml:space="preserve">A record holder is a person who holds depositary receipts on the record date for any dividend, distribution or other action. The record date for depositary shares will be the same as the record date for the preferred shares represented by those depositary receipts. </w:t>
      </w:r>
    </w:p>
    <w:p>
      <w:pPr>
        <w:pStyle w:val="TextBody"/>
        <w:bidi w:val="0"/>
        <w:spacing w:before="240" w:after="0"/>
        <w:jc w:val="left"/>
        <w:rPr>
          <w:rFonts w:ascii="Times New Roman" w:hAnsi="Times New Roman"/>
          <w:sz w:val="20"/>
        </w:rPr>
      </w:pPr>
      <w:r>
        <w:rPr>
          <w:rFonts w:ascii="Times New Roman" w:hAnsi="Times New Roman"/>
          <w:b/>
          <w:i/>
          <w:sz w:val="20"/>
        </w:rPr>
        <w:t>Withdrawal of Preferred Shares.</w:t>
      </w:r>
      <w:r>
        <w:rPr>
          <w:rFonts w:ascii="Times New Roman" w:hAnsi="Times New Roman"/>
          <w:sz w:val="20"/>
        </w:rPr>
        <w:t xml:space="preserve"> If you surrender your depositary receipts, the depositary will be required to deliver certificates to you 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 </w:t>
      </w:r>
    </w:p>
    <w:p>
      <w:pPr>
        <w:pStyle w:val="TextBody"/>
        <w:bidi w:val="0"/>
        <w:spacing w:before="240" w:after="0"/>
        <w:jc w:val="left"/>
        <w:rPr>
          <w:rFonts w:ascii="Times New Roman" w:hAnsi="Times New Roman"/>
          <w:sz w:val="20"/>
        </w:rPr>
      </w:pPr>
      <w:r>
        <w:rPr>
          <w:rFonts w:ascii="Times New Roman" w:hAnsi="Times New Roman"/>
          <w:b/>
          <w:i/>
          <w:sz w:val="20"/>
        </w:rPr>
        <w:t>Redemption of Depositary Shares.</w:t>
      </w:r>
      <w:r>
        <w:rPr>
          <w:rFonts w:ascii="Times New Roman" w:hAnsi="Times New Roman"/>
          <w:sz w:val="20"/>
        </w:rPr>
        <w:t xml:space="preserve"> If we redeem a series of preferred shares represented by depositary receipts, the depositary will redeem 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 </w:t>
      </w:r>
    </w:p>
    <w:p>
      <w:pPr>
        <w:pStyle w:val="TextBody"/>
        <w:bidi w:val="0"/>
        <w:spacing w:before="240" w:after="0"/>
        <w:jc w:val="left"/>
        <w:rPr>
          <w:rFonts w:ascii="Times New Roman" w:hAnsi="Times New Roman"/>
          <w:sz w:val="20"/>
        </w:rPr>
      </w:pPr>
      <w:r>
        <w:rPr>
          <w:rFonts w:ascii="Times New Roman" w:hAnsi="Times New Roman"/>
          <w:b/>
          <w:i/>
          <w:sz w:val="20"/>
        </w:rPr>
        <w:t>Voting the Preferred Shares.</w:t>
      </w:r>
      <w:r>
        <w:rPr>
          <w:rFonts w:ascii="Times New Roman" w:hAnsi="Times New Roman"/>
          <w:sz w:val="20"/>
        </w:rPr>
        <w:t xml:space="preserve"> When the depositary receives notice of any meeting at which the holders of preferred shares are entitled to vote, the depositary will mail information contained in the notice to you as a record holder of the depositary shares relating to the preferred shares. As a record holder of the depositary shares on the </w:t>
      </w:r>
    </w:p>
    <w:p>
      <w:pPr>
        <w:pStyle w:val="TextBody"/>
        <w:bidi w:val="0"/>
        <w:spacing w:before="0" w:after="0"/>
        <w:jc w:val="left"/>
        <w:rPr>
          <w:rFonts w:ascii="Times New Roman" w:hAnsi="Times New Roman"/>
          <w:sz w:val="20"/>
        </w:rPr>
      </w:pPr>
      <w:r>
        <w:rPr>
          <w:rFonts w:ascii="Times New Roman" w:hAnsi="Times New Roman"/>
          <w:sz w:val="20"/>
        </w:rPr>
        <w:t xml:space="preserve">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 </w:t>
      </w:r>
    </w:p>
    <w:p>
      <w:pPr>
        <w:pStyle w:val="TextBody"/>
        <w:bidi w:val="0"/>
        <w:spacing w:before="240" w:after="0"/>
        <w:jc w:val="left"/>
        <w:rPr>
          <w:rFonts w:ascii="Times New Roman" w:hAnsi="Times New Roman"/>
          <w:sz w:val="20"/>
        </w:rPr>
      </w:pPr>
      <w:r>
        <w:rPr>
          <w:rFonts w:ascii="Times New Roman" w:hAnsi="Times New Roman"/>
          <w:b/>
          <w:i/>
          <w:sz w:val="20"/>
        </w:rPr>
        <w:t>Liquidation Preference.</w:t>
      </w:r>
      <w:r>
        <w:rPr>
          <w:rFonts w:ascii="Times New Roman" w:hAnsi="Times New Roman"/>
          <w:sz w:val="20"/>
        </w:rPr>
        <w:t xml:space="preserve"> In the event of our liquidation, dissolution or winding up, whether voluntary or involuntary, you will be entitled, as a record holder of depositary shares, to the fraction of the liquidation preference accorded each applicable preferred share, as has been set forth in a prospectus supplement. </w:t>
      </w:r>
    </w:p>
    <w:p>
      <w:pPr>
        <w:pStyle w:val="TextBody"/>
        <w:bidi w:val="0"/>
        <w:spacing w:before="240" w:after="0"/>
        <w:jc w:val="left"/>
        <w:rPr>
          <w:rFonts w:ascii="Times New Roman" w:hAnsi="Times New Roman"/>
          <w:sz w:val="20"/>
        </w:rPr>
      </w:pPr>
      <w:r>
        <w:rPr>
          <w:rFonts w:ascii="Times New Roman" w:hAnsi="Times New Roman"/>
          <w:b/>
          <w:i/>
          <w:sz w:val="20"/>
        </w:rPr>
        <w:t>Conversion of Preferred Shares.</w:t>
      </w:r>
      <w:r>
        <w:rPr>
          <w:rFonts w:ascii="Times New Roman" w:hAnsi="Times New Roman"/>
          <w:sz w:val="20"/>
        </w:rPr>
        <w:t xml:space="preserve"> Our depositary shares, as such, are not convertible into common shares or any of our other securities or property. 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 </w:t>
      </w:r>
    </w:p>
    <w:p>
      <w:pPr>
        <w:pStyle w:val="TextBody"/>
        <w:bidi w:val="0"/>
        <w:spacing w:before="240" w:after="0"/>
        <w:jc w:val="left"/>
        <w:rPr>
          <w:rFonts w:ascii="Times New Roman" w:hAnsi="Times New Roman"/>
          <w:sz w:val="20"/>
        </w:rPr>
      </w:pPr>
      <w:r>
        <w:rPr>
          <w:rFonts w:ascii="Times New Roman" w:hAnsi="Times New Roman"/>
          <w:b/>
          <w:i/>
          <w:sz w:val="20"/>
        </w:rPr>
        <w:t>Amendment and Termination of the Deposit Agreement.</w:t>
      </w:r>
      <w:r>
        <w:rPr>
          <w:rFonts w:ascii="Times New Roman" w:hAnsi="Times New Roman"/>
          <w:sz w:val="20"/>
        </w:rPr>
        <w:t xml:space="preserve"> We and the depositary may amend the form of depositary receipt and any provision of 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redeem all outstanding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make a final distribution in respect of the preferred shares to which the depositary shares and agreement relate, including in connection with any liquidation, dissolution or winding up and the distribution has been distributed to the holders of depositary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preferred share to which the depositary shares and agreement relate shall have been converted into shares of beneficial interest not represented by depositary shares. </w:t>
            </w:r>
          </w:p>
        </w:tc>
      </w:tr>
    </w:tbl>
    <w:p>
      <w:pPr>
        <w:pStyle w:val="TextBody"/>
        <w:bidi w:val="0"/>
        <w:spacing w:before="240" w:after="0"/>
        <w:jc w:val="left"/>
        <w:rPr>
          <w:rFonts w:ascii="Times New Roman" w:hAnsi="Times New Roman"/>
          <w:sz w:val="20"/>
        </w:rPr>
      </w:pPr>
      <w:r>
        <w:rPr>
          <w:rFonts w:ascii="Times New Roman" w:hAnsi="Times New Roman"/>
          <w:b/>
          <w:i/>
          <w:sz w:val="20"/>
        </w:rPr>
        <w:t>Resignation and Removal of Depositary.</w:t>
      </w:r>
      <w:r>
        <w:rPr>
          <w:rFonts w:ascii="Times New Roman" w:hAnsi="Times New Roman"/>
          <w:sz w:val="20"/>
        </w:rPr>
        <w:t xml:space="preserve"> The depositary may resign at any time by delivering a notice to us of its election to do so. Additionally, 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 </w:t>
      </w:r>
    </w:p>
    <w:p>
      <w:pPr>
        <w:pStyle w:val="TextBody"/>
        <w:bidi w:val="0"/>
        <w:spacing w:before="240" w:after="0"/>
        <w:jc w:val="left"/>
        <w:rPr>
          <w:rFonts w:ascii="Times New Roman" w:hAnsi="Times New Roman"/>
          <w:sz w:val="20"/>
        </w:rPr>
      </w:pPr>
      <w:r>
        <w:rPr>
          <w:rFonts w:ascii="Times New Roman" w:hAnsi="Times New Roman"/>
          <w:b/>
          <w:i/>
          <w:sz w:val="20"/>
        </w:rPr>
        <w:t>Charges of Depositary.</w:t>
      </w:r>
      <w:r>
        <w:rPr>
          <w:rFonts w:ascii="Times New Roman" w:hAnsi="Times New Roman"/>
          <w:sz w:val="20"/>
        </w:rPr>
        <w:t xml:space="preserve"> We will pay all transfer and other taxes and governmental charges arising solely from the existence of the depositary 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 </w:t>
      </w:r>
    </w:p>
    <w:p>
      <w:pPr>
        <w:pStyle w:val="TextBody"/>
        <w:bidi w:val="0"/>
        <w:spacing w:before="240" w:after="0"/>
        <w:jc w:val="left"/>
        <w:rPr>
          <w:rFonts w:ascii="Times New Roman" w:hAnsi="Times New Roman"/>
          <w:sz w:val="20"/>
        </w:rPr>
      </w:pPr>
      <w:r>
        <w:rPr>
          <w:rFonts w:ascii="Times New Roman" w:hAnsi="Times New Roman"/>
          <w:b/>
          <w:i/>
          <w:sz w:val="20"/>
        </w:rPr>
        <w:t>Miscellaneous.</w:t>
      </w:r>
      <w:r>
        <w:rPr>
          <w:rFonts w:ascii="Times New Roman" w:hAnsi="Times New Roman"/>
          <w:sz w:val="20"/>
        </w:rPr>
        <w:t xml:space="preserve"> The depositary will forward to you all reports and communications from us that we are required, or otherwise determine, to furnish to the holders of the preferred shares. The holders of depositary receipts shall have the right to inspect the transfer books of the depositary and the list of holders of depositary receipts as provided in the applicable deposit agreement or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 </w:t>
      </w:r>
    </w:p>
    <w:p>
      <w:pPr>
        <w:pStyle w:val="TextBody"/>
        <w:bidi w:val="0"/>
        <w:spacing w:before="480" w:after="0"/>
        <w:jc w:val="center"/>
        <w:rPr>
          <w:rFonts w:ascii="Times New Roman" w:hAnsi="Times New Roman"/>
          <w:b/>
          <w:sz w:val="20"/>
        </w:rPr>
      </w:pPr>
      <w:r>
        <w:rPr>
          <w:rFonts w:ascii="Times New Roman" w:hAnsi="Times New Roman"/>
          <w:b/>
          <w:sz w:val="20"/>
        </w:rPr>
        <w:t xml:space="preserve">Description of Share Purchase Contracts that may be offered by Federal Realty Investment Trust </w:t>
      </w:r>
    </w:p>
    <w:p>
      <w:pPr>
        <w:pStyle w:val="TextBody"/>
        <w:bidi w:val="0"/>
        <w:spacing w:before="240" w:after="0"/>
        <w:jc w:val="left"/>
        <w:rPr>
          <w:rFonts w:ascii="Times New Roman" w:hAnsi="Times New Roman"/>
          <w:sz w:val="20"/>
        </w:rPr>
      </w:pPr>
      <w:r>
        <w:rPr>
          <w:rFonts w:ascii="Times New Roman" w:hAnsi="Times New Roman"/>
          <w:b/>
          <w:i/>
          <w:sz w:val="20"/>
        </w:rPr>
        <w:t>Share Purchase Contracts</w:t>
      </w:r>
      <w:r>
        <w:rPr>
          <w:rFonts w:ascii="Times New Roman" w:hAnsi="Times New Roman"/>
          <w:sz w:val="20"/>
        </w:rPr>
        <w:t xml:space="preserve">. We may issue share purchase contracts, which are contracts obligating holders to purchase from or sell to us, and obligating us to purchase from or sell to the holders, a specified number of our common shares of beneficial interest or preferred shares of beneficial interest at a future date or dates. If we offer share purchase contracts, we will describe the terms in a prospectus supplement. Share purchase contracts may be offered independently, together with other securities offered by any prospectus supplement, or through a dividend or other distribution to shareholders and may be attached to or separate from other securities. The price per common share of beneficial interest or preferred share of beneficial interest may be fixed at the time the share purchase contracts are issued or may be determined by reference to a specific formula contained in the share purchase contracts. We may issue share purchase contracts in such amounts and in as many distinct series as we wish.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some of the share purchase contract terms that could be described in a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 purchase contracts obligate the holder to purchase or sell, or both purchase and sell, common shares of beneficial interest or preferred shares of beneficial interest and the nature and amount of common shares of beneficial interest or preferred shares of beneficial interest, or the method of determining that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 purchase contracts are to be prepaid or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 purchase contracts are to be settled by delivery, or by reference or linkage to the value, performance or level of our common shares of beneficial interest or preferred shares of beneficial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U.S. federal income tax considerations applicable to the share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acceleration, cancellation, termination or other provisions relating to the settlement of the share purchase contracts;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 purchase contracts will be issued in fully registered or global form.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Description of Warrants that may be offered by Federal Realty Investment Trust </w:t>
      </w:r>
    </w:p>
    <w:p>
      <w:pPr>
        <w:pStyle w:val="TextBody"/>
        <w:bidi w:val="0"/>
        <w:spacing w:before="240" w:after="0"/>
        <w:jc w:val="left"/>
        <w:rPr>
          <w:rFonts w:ascii="Times New Roman" w:hAnsi="Times New Roman"/>
          <w:sz w:val="20"/>
        </w:rPr>
      </w:pPr>
      <w:r>
        <w:rPr>
          <w:rFonts w:ascii="Times New Roman" w:hAnsi="Times New Roman"/>
          <w:b/>
          <w:i/>
          <w:sz w:val="20"/>
        </w:rPr>
        <w:t>Warrants</w:t>
      </w:r>
      <w:r>
        <w:rPr>
          <w:rFonts w:ascii="Times New Roman" w:hAnsi="Times New Roman"/>
          <w:b/>
          <w:sz w:val="20"/>
        </w:rPr>
        <w:t>.</w:t>
      </w:r>
      <w:r>
        <w:rPr>
          <w:rFonts w:ascii="Times New Roman" w:hAnsi="Times New Roman"/>
          <w:sz w:val="20"/>
        </w:rPr>
        <w:t xml:space="preserve"> We may issue warrants for the purchase of common shares, preferred shares or depositary shares representing interests in preferred shares. If we offer warrants, we will describe the terms in a prospectus 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some of the warrant terms that could be described in a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warrant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number and terms of the common shares, preferred shares or depositary shares representing interests in preferred shares that may be purchased on exercise of the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warrant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each security purchasable on exercise of the warrant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purchase the securities purchasable on exercise of the warrant will begin and 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or maximum number of securities that may be purchased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anti-dilution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warrant terms, including terms relating to transferability, exchange or exercise of the warrant.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Description of Guarantees that may be offered by Federal Realty Investment Trust </w:t>
      </w:r>
    </w:p>
    <w:p>
      <w:pPr>
        <w:pStyle w:val="TextBody"/>
        <w:bidi w:val="0"/>
        <w:spacing w:before="240" w:after="0"/>
        <w:jc w:val="left"/>
        <w:rPr>
          <w:rFonts w:ascii="Times New Roman" w:hAnsi="Times New Roman"/>
          <w:sz w:val="20"/>
        </w:rPr>
      </w:pPr>
      <w:r>
        <w:rPr>
          <w:rFonts w:ascii="Times New Roman" w:hAnsi="Times New Roman"/>
          <w:sz w:val="20"/>
        </w:rPr>
        <w:t xml:space="preserve">We may guarantee (either fully or unconditionally or in a limited manner) the due and punctual payment of the principal of, and any premium and interest on, one or more classes or series of debt securities of the Partnership, whether at maturity, by acceleration, redemption, repayment or otherwise, in accordance with the terms of such guarantee and the applicable indenture. In case of the failure of the Partnership punctually to pay any principal, premium or interest on any guaranteed debt security, we will cause any such payment to be made as it becomes due and payable, whether at maturity, upon acceleration, redemption, repayment or otherwise, and as if such payment were made by the Partnership. The particular terms of the guarantee, if any, will be set forth in a prospectus supplement relating to the guaranteed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Units that may be offered by Federal Realty Investment Trust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from time to time in such amounts and in as many distinct series as we determine. We will issue each series of units under a unit agreement to be entered into between us and a unit agent to be identified in the applicable prospectus supplement. When we refer to a series of units, we mean all units issued as part of the same series under the applicable unit agreement.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two or more securities described in this prospectus. Each unit will be issued so that the holder of the unit is also the holder of each security included in the unit. Thus, the holder of a unit will have the rights and obligations of a holder of each included security. These units may be issuable as, and for a specified period of time may be transferable as, a single security only, rather than as the separate constituent securities comprising such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some of the unit terms that could be described in a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any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and the price at which we will issue, the units and any provisions for the issuance, payment, settlement, transfer or exchange of the units or of the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terms of any unit agreement to be entered into between us and a bank or trust company, as unit agent, governing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the material U.S. federal income tax considerations applicable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listed on any securities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Certain Provisions of Maryland Law and our Declaration of Trust and Bylaws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certain provisions of the Maryland General Corporation Law and our declaration of trust and bylaws is not complete. You should read the Maryland General Corporation Law and our declaration of trust and bylaws for more complete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of Company Shares and the supermajority voting rights described under  Common Shares of the Company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 </w:t>
      </w:r>
    </w:p>
    <w:p>
      <w:pPr>
        <w:pStyle w:val="TextBody"/>
        <w:bidi w:val="0"/>
        <w:spacing w:before="240" w:after="0"/>
        <w:jc w:val="left"/>
        <w:rPr>
          <w:rFonts w:ascii="Times New Roman" w:hAnsi="Times New Roman"/>
          <w:sz w:val="20"/>
        </w:rPr>
      </w:pPr>
      <w:r>
        <w:rPr>
          <w:rFonts w:ascii="Times New Roman" w:hAnsi="Times New Roman"/>
          <w:b/>
          <w:i/>
          <w:sz w:val="20"/>
        </w:rPr>
        <w:t>Business Combinations</w:t>
      </w:r>
      <w:r>
        <w:rPr>
          <w:rFonts w:ascii="Times New Roman" w:hAnsi="Times New Roman"/>
          <w:b/>
          <w:sz w:val="20"/>
        </w:rPr>
        <w:t>.</w:t>
      </w:r>
      <w:r>
        <w:rPr>
          <w:rFonts w:ascii="Times New Roman" w:hAnsi="Times New Roman"/>
          <w:sz w:val="20"/>
        </w:rPr>
        <w:t xml:space="preserve"> Applicable Maryland law, as set forth in the Maryland General Corporation Law, limits our ability to enter into business 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beneficially owns 10% or more of the voting power of our outstanding voting shares;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affiliates that beneficially owned, directly or indirectly, 10% or more of the voting power of our outstanding voting shares at any time within two years immediately prior to the applicable date in question.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business combinations with an interested shareholder if at least five years have passed since the person became an interested shareholder, but only if the transaction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recommended by our Board of Trustees;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by at least,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 of our outstanding shares entitled to vote;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two-thirds of our outstanding shares entitled to vote that are not held by the interested shareholder or any of its affiliates.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Shareholder approval will not be required if our common shareholders receive a minimum price (as defined in the statute) for their shares and our shareholders receive cash or the same form of consideration as the interested shareholder paid for its shares. </w:t>
      </w:r>
    </w:p>
    <w:p>
      <w:pPr>
        <w:pStyle w:val="TextBody"/>
        <w:bidi w:val="0"/>
        <w:spacing w:before="240" w:after="0"/>
        <w:jc w:val="left"/>
        <w:rPr>
          <w:rFonts w:ascii="Times New Roman" w:hAnsi="Times New Roman"/>
          <w:sz w:val="20"/>
        </w:rPr>
      </w:pPr>
      <w:r>
        <w:rPr>
          <w:rFonts w:ascii="Times New Roman" w:hAnsi="Times New Roman"/>
          <w:b/>
          <w:i/>
          <w:sz w:val="20"/>
        </w:rPr>
        <w:t>Control Share Acquisitions.</w:t>
      </w:r>
      <w:r>
        <w:rPr>
          <w:rFonts w:ascii="Times New Roman" w:hAnsi="Times New Roman"/>
          <w:sz w:val="20"/>
        </w:rPr>
        <w:t xml:space="preserve"> Our bylaws exempt acquisitions of our shares of beneficial interest by any person from control share acquisition 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 </w:t>
      </w:r>
    </w:p>
    <w:p>
      <w:pPr>
        <w:pStyle w:val="TextBody"/>
        <w:bidi w:val="0"/>
        <w:spacing w:before="240" w:after="0"/>
        <w:jc w:val="left"/>
        <w:rPr>
          <w:rFonts w:ascii="Times New Roman" w:hAnsi="Times New Roman"/>
          <w:sz w:val="20"/>
        </w:rPr>
      </w:pPr>
      <w:r>
        <w:rPr>
          <w:rFonts w:ascii="Times New Roman" w:hAnsi="Times New Roman"/>
          <w:sz w:val="20"/>
        </w:rPr>
        <w:t xml:space="preserve">Control Shares are shares that, if added to all other shares previously acquired, would entitle that person to exercise voting power, in electing trustees, within one of the following ranges of voting power: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one-tenth or more but less than one-third,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one-third or more but less than a majority,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or more of all voting power.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Control shares do not include shares the acquiring person is entitled to vote with shareholder approval. A control share acquisition means the acquisition of control shares,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 </w:t>
      </w:r>
    </w:p>
    <w:p>
      <w:pPr>
        <w:pStyle w:val="TextBody"/>
        <w:bidi w:val="0"/>
        <w:spacing w:before="240" w:after="0"/>
        <w:jc w:val="left"/>
        <w:rPr>
          <w:rFonts w:ascii="Times New Roman" w:hAnsi="Times New Roman"/>
          <w:sz w:val="20"/>
        </w:rPr>
      </w:pPr>
      <w:r>
        <w:rPr>
          <w:rFonts w:ascii="Times New Roman" w:hAnsi="Times New Roman"/>
          <w:sz w:val="20"/>
        </w:rPr>
        <w:t xml:space="preserve">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 </w:t>
      </w:r>
    </w:p>
    <w:p>
      <w:pPr>
        <w:pStyle w:val="TextBody"/>
        <w:bidi w:val="0"/>
        <w:spacing w:before="240" w:after="0"/>
        <w:jc w:val="left"/>
        <w:rPr>
          <w:rFonts w:ascii="Times New Roman" w:hAnsi="Times New Roman"/>
          <w:sz w:val="20"/>
        </w:rPr>
      </w:pPr>
      <w:r>
        <w:rPr>
          <w:rFonts w:ascii="Times New Roman" w:hAnsi="Times New Roman"/>
          <w:b/>
          <w:i/>
          <w:sz w:val="20"/>
        </w:rPr>
        <w:t>Duties of Trustees</w:t>
      </w:r>
      <w:r>
        <w:rPr>
          <w:rFonts w:ascii="Times New Roman" w:hAnsi="Times New Roman"/>
          <w:b/>
          <w:sz w:val="20"/>
        </w:rPr>
        <w:t>.</w:t>
      </w:r>
      <w:r>
        <w:rPr>
          <w:rFonts w:ascii="Times New Roman" w:hAnsi="Times New Roman"/>
          <w:sz w:val="20"/>
        </w:rPr>
        <w:t xml:space="preserve"> Under Maryland law, there is a presumption that the act of a trustee satisfies the required standard of care. An act of a trustee relating to or affecting an acquisition or a potential acquisition of control is not subject under Maryland law to a higher duty or greater scrutiny than is applied to any other act of a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Number of Trustees.</w:t>
      </w:r>
      <w:r>
        <w:rPr>
          <w:rFonts w:ascii="Times New Roman" w:hAnsi="Times New Roman"/>
          <w:sz w:val="20"/>
        </w:rPr>
        <w:t xml:space="preserve"> The number of trustees may be increased or decreased pursuant to the bylaws, provided that the total number of trustees may not be less than five or more than 10. Under Maryland law and our declaration of trust, trustees are elected for one-year terms. </w:t>
      </w:r>
    </w:p>
    <w:p>
      <w:pPr>
        <w:pStyle w:val="TextBody"/>
        <w:bidi w:val="0"/>
        <w:spacing w:before="240" w:after="0"/>
        <w:jc w:val="left"/>
        <w:rPr>
          <w:rFonts w:ascii="Times New Roman" w:hAnsi="Times New Roman"/>
          <w:sz w:val="20"/>
        </w:rPr>
      </w:pPr>
      <w:r>
        <w:rPr>
          <w:rFonts w:ascii="Times New Roman" w:hAnsi="Times New Roman"/>
          <w:b/>
          <w:i/>
          <w:sz w:val="20"/>
        </w:rPr>
        <w:t>Removal of Trustees</w:t>
      </w:r>
      <w:r>
        <w:rPr>
          <w:rFonts w:ascii="Times New Roman" w:hAnsi="Times New Roman"/>
          <w:b/>
          <w:sz w:val="20"/>
        </w:rPr>
        <w:t>.</w:t>
      </w:r>
      <w:r>
        <w:rPr>
          <w:rFonts w:ascii="Times New Roman" w:hAnsi="Times New Roman"/>
          <w:sz w:val="20"/>
        </w:rPr>
        <w:t xml:space="preserve"> Under the declaration of trust, and subject to the rights of any holders of preferred shares, our trustees may remove a trustee with cause, as defined in our declaration of trust, by the vote of all the other trustees or the shareholders may remove a trustee, with or without cause, at any meeting of shareholders called for that purpose, either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the holders of two-thirds of the number of shares outstanding and entitled to vote on that matter if the removal is approved or recommended by a vote of at least two-thirds of the Board of Trustees;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2"/>
        <w:gridCol w:w="9289"/>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the holders of not less than 80% of the number of shares then outstanding and entitled to vote on that matter if the removal is not approved or recommended by a vote of at least two-thirds of the Board of Trustees. </w:t>
            </w:r>
          </w:p>
        </w:tc>
      </w:tr>
    </w:tbl>
    <w:p>
      <w:pPr>
        <w:pStyle w:val="TextBody"/>
        <w:bidi w:val="0"/>
        <w:spacing w:before="240" w:after="0"/>
        <w:jc w:val="left"/>
        <w:rPr>
          <w:rFonts w:ascii="Times New Roman" w:hAnsi="Times New Roman"/>
          <w:sz w:val="20"/>
        </w:rPr>
      </w:pPr>
      <w:r>
        <w:rPr>
          <w:rFonts w:ascii="Times New Roman" w:hAnsi="Times New Roman"/>
          <w:b/>
          <w:i/>
          <w:sz w:val="20"/>
        </w:rPr>
        <w:t>Vacancies on the Board of Trustees</w:t>
      </w:r>
      <w:r>
        <w:rPr>
          <w:rFonts w:ascii="Times New Roman" w:hAnsi="Times New Roman"/>
          <w:b/>
          <w:sz w:val="20"/>
        </w:rPr>
        <w:t>.</w:t>
      </w:r>
      <w:r>
        <w:rPr>
          <w:rFonts w:ascii="Times New Roman" w:hAnsi="Times New Roman"/>
          <w:sz w:val="20"/>
        </w:rPr>
        <w:t xml:space="preserve"> The bylaws provide that, subject to the rights of any holders of preferred shares, any vacancy on the Board of 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 </w:t>
      </w:r>
    </w:p>
    <w:p>
      <w:pPr>
        <w:pStyle w:val="TextBody"/>
        <w:bidi w:val="0"/>
        <w:spacing w:before="240" w:after="0"/>
        <w:jc w:val="left"/>
        <w:rPr>
          <w:rFonts w:ascii="Times New Roman" w:hAnsi="Times New Roman"/>
          <w:sz w:val="20"/>
        </w:rPr>
      </w:pPr>
      <w:r>
        <w:rPr>
          <w:rFonts w:ascii="Times New Roman" w:hAnsi="Times New Roman"/>
          <w:b/>
          <w:i/>
          <w:sz w:val="20"/>
        </w:rPr>
        <w:t>Meetings of Shareholders</w:t>
      </w:r>
      <w:r>
        <w:rPr>
          <w:rFonts w:ascii="Times New Roman" w:hAnsi="Times New Roman"/>
          <w:b/>
          <w:sz w:val="20"/>
        </w:rPr>
        <w:t>.</w:t>
      </w:r>
      <w:r>
        <w:rPr>
          <w:rFonts w:ascii="Times New Roman" w:hAnsi="Times New Roman"/>
          <w:sz w:val="20"/>
        </w:rPr>
        <w:t xml:space="preserve"> Our bylaws provide for an annual meeting of shareholders, to be held in May after delivery of the annual report to 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 </w:t>
      </w:r>
    </w:p>
    <w:p>
      <w:pPr>
        <w:pStyle w:val="TextBody"/>
        <w:bidi w:val="0"/>
        <w:spacing w:before="240" w:after="0"/>
        <w:jc w:val="left"/>
        <w:rPr>
          <w:rFonts w:ascii="Times New Roman" w:hAnsi="Times New Roman"/>
          <w:sz w:val="20"/>
        </w:rPr>
      </w:pPr>
      <w:r>
        <w:rPr>
          <w:rFonts w:ascii="Times New Roman" w:hAnsi="Times New Roman"/>
          <w:b/>
          <w:i/>
          <w:sz w:val="20"/>
        </w:rPr>
        <w:t>Advance Notice for Shareholder Nominations and Shareholder New Business Proposals</w:t>
      </w:r>
      <w:r>
        <w:rPr>
          <w:rFonts w:ascii="Times New Roman" w:hAnsi="Times New Roman"/>
          <w:b/>
          <w:sz w:val="20"/>
        </w:rPr>
        <w:t>.</w:t>
      </w:r>
      <w:r>
        <w:rPr>
          <w:rFonts w:ascii="Times New Roman" w:hAnsi="Times New Roman"/>
          <w:sz w:val="20"/>
        </w:rPr>
        <w:t xml:space="preserve"> Our bylaws require advance written notice for 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120th day and not earlier than the 150th calendar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For a special meeting, to nominate a trustee, a shareholder must deliver notice to our Secretary not earlier that the close of business on the 120th day prior to the special meeting and not later than the close of business on the later of the 90th day prior to the special meeting or the 10th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we will include in our proxy statement for any annual meeting individuals nominated to stand for election to our Board of Trustees by any shareholder or group of up to 20 shareholders who have owned at least three percent of our outstanding common shares of beneficial interest for at least three years. The number of potential nominees shareholders can submit for any annual meeting is limited to the greater of two nominees or 20% of the total number of trustees on the board. Proxy access is subject to procedural and other conditions and requirements as described more fully in our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 </w:t>
      </w:r>
    </w:p>
    <w:p>
      <w:pPr>
        <w:pStyle w:val="TextBody"/>
        <w:bidi w:val="0"/>
        <w:spacing w:before="240" w:after="0"/>
        <w:jc w:val="left"/>
        <w:rPr>
          <w:rFonts w:ascii="Times New Roman" w:hAnsi="Times New Roman"/>
          <w:sz w:val="20"/>
        </w:rPr>
      </w:pPr>
      <w:r>
        <w:rPr>
          <w:rFonts w:ascii="Times New Roman" w:hAnsi="Times New Roman"/>
          <w:b/>
          <w:i/>
          <w:sz w:val="20"/>
        </w:rPr>
        <w:t>Shareholder Liability and Indemnification.</w:t>
      </w:r>
      <w:r>
        <w:rPr>
          <w:rFonts w:ascii="Times New Roman" w:hAnsi="Times New Roman"/>
          <w:sz w:val="20"/>
        </w:rPr>
        <w:t xml:space="preserve"> Under Maryland law, you will not be personally liable for any obligation of ours solely because you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 </w:t>
      </w:r>
    </w:p>
    <w:p>
      <w:pPr>
        <w:pStyle w:val="TextBody"/>
        <w:bidi w:val="0"/>
        <w:spacing w:before="240" w:after="0"/>
        <w:jc w:val="left"/>
        <w:rPr>
          <w:rFonts w:ascii="Times New Roman" w:hAnsi="Times New Roman"/>
          <w:sz w:val="20"/>
        </w:rPr>
      </w:pPr>
      <w:r>
        <w:rPr>
          <w:rFonts w:ascii="Times New Roman" w:hAnsi="Times New Roman"/>
          <w:sz w:val="20"/>
        </w:rPr>
        <w:t xml:space="preserve">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Limitation of Liability of Trustees and Officers. Our declaration of trust, to the maximum extent permitted under Maryland law in effect from 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proved that the trustee or officer actually received an improper benefit or profit in money, property or services;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judgment or other final adjudication adverse to the person is entered in a proceeding based on a finding that the persons action, or failure to act, was material to the cause of action adjudicated and was the result of active and deliberate dishonesty.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 </w:t>
      </w:r>
    </w:p>
    <w:p>
      <w:pPr>
        <w:pStyle w:val="TextBody"/>
        <w:bidi w:val="0"/>
        <w:spacing w:before="240" w:after="0"/>
        <w:jc w:val="left"/>
        <w:rPr>
          <w:rFonts w:ascii="Times New Roman" w:hAnsi="Times New Roman"/>
          <w:sz w:val="20"/>
        </w:rPr>
      </w:pPr>
      <w:r>
        <w:rPr>
          <w:rFonts w:ascii="Times New Roman" w:hAnsi="Times New Roman"/>
          <w:b/>
          <w:i/>
          <w:sz w:val="20"/>
        </w:rPr>
        <w:t>Indemnification of Directors and Officers.</w:t>
      </w:r>
      <w:r>
        <w:rPr>
          <w:rFonts w:ascii="Times New Roman" w:hAnsi="Times New Roman"/>
          <w:sz w:val="20"/>
        </w:rPr>
        <w:t xml:space="preserve"> Our declaration of trust permits us to indemnify and advance expenses to, to the maximum extent 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 </w:t>
      </w:r>
    </w:p>
    <w:p>
      <w:pPr>
        <w:pStyle w:val="TextBody"/>
        <w:bidi w:val="0"/>
        <w:spacing w:before="240" w:after="0"/>
        <w:jc w:val="left"/>
        <w:rPr>
          <w:rFonts w:ascii="Times New Roman" w:hAnsi="Times New Roman"/>
          <w:sz w:val="20"/>
        </w:rPr>
      </w:pPr>
      <w:r>
        <w:rPr>
          <w:rFonts w:ascii="Times New Roman" w:hAnsi="Times New Roman"/>
          <w:sz w:val="20"/>
        </w:rPr>
        <w:t xml:space="preserve">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DEBT SECURITIES THAT MAY BE OFFERED BY FEDERAL REALTY OP LP </w:t>
      </w:r>
    </w:p>
    <w:p>
      <w:pPr>
        <w:pStyle w:val="TextBody"/>
        <w:bidi w:val="0"/>
        <w:spacing w:before="240" w:after="0"/>
        <w:jc w:val="left"/>
        <w:rPr>
          <w:rFonts w:ascii="Times New Roman" w:hAnsi="Times New Roman"/>
          <w:i/>
          <w:sz w:val="20"/>
        </w:rPr>
      </w:pPr>
      <w:r>
        <w:rPr>
          <w:rFonts w:ascii="Times New Roman" w:hAnsi="Times New Roman"/>
          <w:i/>
          <w:sz w:val="20"/>
        </w:rPr>
        <w:t xml:space="preserve">References in this section to we, us, our and ours refer only to Federal Realty OP LP and not to the Company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 </w:t>
      </w:r>
    </w:p>
    <w:p>
      <w:pPr>
        <w:pStyle w:val="TextBody"/>
        <w:bidi w:val="0"/>
        <w:spacing w:before="360" w:after="0"/>
        <w:jc w:val="left"/>
        <w:rPr>
          <w:rFonts w:ascii="Times New Roman" w:hAnsi="Times New Roman"/>
          <w:b/>
          <w:sz w:val="20"/>
        </w:rPr>
      </w:pPr>
      <w:r>
        <w:rPr>
          <w:rFonts w:ascii="Times New Roman" w:hAnsi="Times New Roman"/>
          <w:b/>
          <w:sz w:val="20"/>
        </w:rPr>
        <w:t xml:space="preserve">General Terms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Unless we say otherwise in a prospectus supplement, debt securities we offer through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our general, direct and unsecured obligations;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be either senior debt securities or subordinated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incur additional debt, subject to limitations in the agreements governing our credit and other debt facilities and other notes we may have issued. </w:t>
      </w:r>
    </w:p>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we offer through this prospectus will not limit the amount of other debt that we may incur;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have any protection if we engage in a highly leveraged transaction, a restructuring, a transaction involving a change in control, or a merger or similar transaction that may adversely affect holders of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list the debt securities on any securities exchange.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Indentures </w:t>
      </w:r>
    </w:p>
    <w:p>
      <w:pPr>
        <w:pStyle w:val="TextBody"/>
        <w:bidi w:val="0"/>
        <w:spacing w:before="120" w:after="0"/>
        <w:jc w:val="left"/>
        <w:rPr>
          <w:rFonts w:ascii="Times New Roman" w:hAnsi="Times New Roman"/>
          <w:sz w:val="20"/>
        </w:rPr>
      </w:pPr>
      <w:r>
        <w:rPr>
          <w:rFonts w:ascii="Times New Roman" w:hAnsi="Times New Roman"/>
          <w:sz w:val="20"/>
        </w:rPr>
        <w:t xml:space="preserve">Any debt securities we offer through this prospectus will be issued under one or more indentures, including the senior indenture between us and U.S. Bank Trust Company,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each indenture does not or will not include all the terms of debt securities we may issue through this prospectus. If we issue debt securities through this prospectus, the Board of Trustees of the Company, or any committee thereof, will establish the additional terms for each class or series of debt securities. The additional terms will be either established pursuant to, and set forth in, a supplemental indenture, or established pursuant to a resolution of the Board of Trustees of the Company, or any committee thereof, and set forth in an officers certificate. Each indenture describes or will describe the additional terms that may be established and we summarize the additional terms that may be established under  Additional Terms of Debt Securities,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Terms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the terms of a particular class or series of debt securities we offer through this prospectus will be established by the Board of Trustees of the Company, or any committee thereof, when we issue the class or series. We will describe the terms of the class or series in a prospectus supplement. Unless we say otherwise in a prospectus supplement, each indenture provides or will provide that the terms that may be established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Title.</w:t>
            </w:r>
            <w:r>
              <w:rPr>
                <w:rFonts w:ascii="Times New Roman" w:hAnsi="Times New Roman"/>
                <w:sz w:val="20"/>
              </w:rPr>
              <w:t xml:space="preserve"> The title of the debt securities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Amount.</w:t>
            </w:r>
            <w:r>
              <w:rPr>
                <w:rFonts w:ascii="Times New Roman" w:hAnsi="Times New Roman"/>
                <w:sz w:val="20"/>
              </w:rPr>
              <w:t xml:space="preserve"> Any limit upon the total principal amount of the class or series of debt securities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Maturity.</w:t>
            </w:r>
            <w:r>
              <w:rPr>
                <w:rFonts w:ascii="Times New Roman" w:hAnsi="Times New Roman"/>
                <w:sz w:val="20"/>
              </w:rPr>
              <w:t xml:space="preserve"> The date or dates on which the principal of and premium, if any, on the offered debt securities will mature or the method of determining such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 Rate.</w:t>
            </w:r>
            <w:r>
              <w:rPr>
                <w:rFonts w:ascii="Times New Roman" w:hAnsi="Times New Roman"/>
                <w:sz w:val="20"/>
              </w:rPr>
              <w:t xml:space="preserve"> The rate or rates (which may be fixed or variable) at which the offered debt securities will bear interest, if any, or the method of calculating such rate or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 Accrual.</w:t>
            </w:r>
            <w:r>
              <w:rPr>
                <w:rFonts w:ascii="Times New Roman" w:hAnsi="Times New Roman"/>
                <w:sz w:val="20"/>
              </w:rPr>
              <w:t xml:space="preserve"> The date or dates from which interest will accrue or the method by which such date or dates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 Payment Dates.</w:t>
            </w:r>
            <w:r>
              <w:rPr>
                <w:rFonts w:ascii="Times New Roman" w:hAnsi="Times New Roman"/>
                <w:sz w:val="20"/>
              </w:rPr>
              <w:t xml:space="preserve"> The date or dates on which interest will be payable and the record date or dates to determine the persons who will receive payment, and the basis upon which interest shall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Place of Payment.</w:t>
            </w:r>
            <w:r>
              <w:rPr>
                <w:rFonts w:ascii="Times New Roman" w:hAnsi="Times New Roman"/>
                <w:sz w:val="20"/>
              </w:rPr>
              <w:t xml:space="preserve"> The place or places where principal of, premium, if any, and interest, on the offered debt securities will be payable or at which the offered debt securities may be surrendered for registration of transfer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Optional Redemption.</w:t>
            </w:r>
            <w:r>
              <w:rPr>
                <w:rFonts w:ascii="Times New Roman" w:hAnsi="Times New Roman"/>
                <w:sz w:val="20"/>
              </w:rPr>
              <w:t xml:space="preserve"> The period or periods within which, the price or prices at which, the currency or currencies (if other than in U.S. dollars), including currency unit or units, in which, and the other terms and conditions upon which, the offered debt securities may be redeemed, in whole or in part, at our option, if we have that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Mandatory Redemption.</w:t>
            </w:r>
            <w:r>
              <w:rPr>
                <w:rFonts w:ascii="Times New Roman" w:hAnsi="Times New Roman"/>
                <w:sz w:val="20"/>
              </w:rPr>
              <w:t xml:space="preserve"> The obligation, if any, we have to redeem or repurchase the offered debt securities pursuant to any sinking fund or 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Denominations.</w:t>
            </w:r>
            <w:r>
              <w:rPr>
                <w:rFonts w:ascii="Times New Roman" w:hAnsi="Times New Roman"/>
                <w:sz w:val="20"/>
              </w:rPr>
              <w:t xml:space="preserve"> The denominations in which the offered debt securities are authorized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Currency.</w:t>
            </w:r>
            <w:r>
              <w:rPr>
                <w:rFonts w:ascii="Times New Roman" w:hAnsi="Times New Roman"/>
                <w:sz w:val="20"/>
              </w:rPr>
              <w:t xml:space="preserve"> The currency or currency unit in which the offered debt securities may be denominated and/or the currency or currencies, 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Indexed Principal.</w:t>
            </w:r>
            <w:r>
              <w:rPr>
                <w:rFonts w:ascii="Times New Roman" w:hAnsi="Times New Roman"/>
                <w:sz w:val="20"/>
              </w:rPr>
              <w:t xml:space="preserve"> If the amount of principal of, or premium, if any, or interest on, the offered debt securities may be determined with reference to an index or pursuant to a formula or other method,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Payment on Acceleration.</w:t>
            </w:r>
            <w:r>
              <w:rPr>
                <w:rFonts w:ascii="Times New Roman" w:hAnsi="Times New Roman"/>
                <w:sz w:val="20"/>
              </w:rPr>
              <w:t xml:space="preserve"> If other than the principal amount, the amount which will be payable upon declaration of the acceleration of the maturity or the method by which such portion shall be determined.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Special Rights.</w:t>
            </w:r>
            <w:r>
              <w:rPr>
                <w:rFonts w:ascii="Times New Roman" w:hAnsi="Times New Roman"/>
                <w:sz w:val="20"/>
              </w:rPr>
              <w:t xml:space="preserve"> Provisions, if any, granting special rights to the holders of the offered debt securities if certain specified events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Modifications to Indentures.</w:t>
            </w:r>
            <w:r>
              <w:rPr>
                <w:rFonts w:ascii="Times New Roman" w:hAnsi="Times New Roman"/>
                <w:sz w:val="20"/>
              </w:rPr>
              <w:t xml:space="preserve"> Any addition to, or modification or deletion of, any event of default or any of the covenants specified in the indenture with respect to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Tax</w:t>
            </w:r>
            <w:r>
              <w:rPr>
                <w:rFonts w:ascii="Times New Roman" w:hAnsi="Times New Roman"/>
                <w:sz w:val="20"/>
              </w:rPr>
              <w:t> </w:t>
            </w:r>
            <w:r>
              <w:rPr>
                <w:rFonts w:ascii="Times New Roman" w:hAnsi="Times New Roman"/>
                <w:b/>
                <w:i/>
                <w:sz w:val="20"/>
              </w:rPr>
              <w:t>Gross-Up.</w:t>
            </w:r>
            <w:r>
              <w:rPr>
                <w:rFonts w:ascii="Times New Roman" w:hAnsi="Times New Roman"/>
                <w:sz w:val="20"/>
              </w:rPr>
              <w:t xml:space="preserve"> The circumstances, if any, under which we will pay additional amounts on the offered debt securities held by non-U.S. persons for taxes, assessments or similar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Registered or Bearer Form.</w:t>
            </w:r>
            <w:r>
              <w:rPr>
                <w:rFonts w:ascii="Times New Roman" w:hAnsi="Times New Roman"/>
                <w:sz w:val="20"/>
              </w:rPr>
              <w:t xml:space="preserve"> Whether the offered debt securities will be issued in registered or bearer form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Dates of Certificates.</w:t>
            </w:r>
            <w:r>
              <w:rPr>
                <w:rFonts w:ascii="Times New Roman" w:hAnsi="Times New Roman"/>
                <w:sz w:val="20"/>
              </w:rPr>
              <w:t xml:space="preserve"> The date as of which any offered debt securities in bearer form and any temporary global security representing outstanding securities are dated, if other than the original issuance date of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Forms.</w:t>
            </w:r>
            <w:r>
              <w:rPr>
                <w:rFonts w:ascii="Times New Roman" w:hAnsi="Times New Roman"/>
                <w:sz w:val="20"/>
              </w:rPr>
              <w:t xml:space="preserve"> The forms of the securities and interest coupons, if any, of the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Registrar and Paying Agent.</w:t>
            </w:r>
            <w:r>
              <w:rPr>
                <w:rFonts w:ascii="Times New Roman" w:hAnsi="Times New Roman"/>
                <w:sz w:val="20"/>
              </w:rPr>
              <w:t xml:space="preserve"> If other than the trustee under the applicable indenture, the identity of the registrar and any paying agent for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Defeasance.</w:t>
            </w:r>
            <w:r>
              <w:rPr>
                <w:rFonts w:ascii="Times New Roman" w:hAnsi="Times New Roman"/>
                <w:sz w:val="20"/>
              </w:rPr>
              <w:t xml:space="preserve"> Any means of defeasance or covenant defeasance that may be specified for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Global Securities.</w:t>
            </w:r>
            <w:r>
              <w:rPr>
                <w:rFonts w:ascii="Times New Roman" w:hAnsi="Times New Roman"/>
                <w:sz w:val="20"/>
              </w:rPr>
              <w:t xml:space="preserve"> Whether the offered debt securities are to be issued in whole or in part in the form of one or more temporary or 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Documentation.</w:t>
            </w:r>
            <w:r>
              <w:rPr>
                <w:rFonts w:ascii="Times New Roman" w:hAnsi="Times New Roman"/>
                <w:sz w:val="20"/>
              </w:rPr>
              <w:t xml:space="preserve"> If the offered debt securities may be issued or delivered, or any installment of principal or interest may be paid, only upon receipt of certain certificates or other documents or satisfaction of other conditions in addition to those specified in the applicable indenture, the form of those certificates, documents or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Payees.</w:t>
            </w:r>
            <w:r>
              <w:rPr>
                <w:rFonts w:ascii="Times New Roman" w:hAnsi="Times New Roman"/>
                <w:sz w:val="20"/>
              </w:rPr>
              <w:t xml:space="preserve"> If other than as provided in the applicable indenture, the person to whom any interest on any registered security of the class or series will be payable and the manner in which, or the person to whom, any interest on any bearer securities of the class or series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Definitions.</w:t>
            </w:r>
            <w:r>
              <w:rPr>
                <w:rFonts w:ascii="Times New Roman" w:hAnsi="Times New Roman"/>
                <w:sz w:val="20"/>
              </w:rPr>
              <w:t xml:space="preserve"> Any definitions for the offered debt securities of that class or series that are different from or in addition to the definitions included in the applicable indenture, including, without limitation, the definition of unrestricted subsidiary to be used for such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Subordination.</w:t>
            </w:r>
            <w:r>
              <w:rPr>
                <w:rFonts w:ascii="Times New Roman" w:hAnsi="Times New Roman"/>
                <w:sz w:val="20"/>
              </w:rPr>
              <w:t xml:space="preserve"> In the case of any subordinated indenture that we may enter into, the relative degree to which the offered debt securities shall be senior to or junior to other debt securities, whether currently outstanding or to be offered in the future, and to other debt, in right of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Guarantees.</w:t>
            </w:r>
            <w:r>
              <w:rPr>
                <w:rFonts w:ascii="Times New Roman" w:hAnsi="Times New Roman"/>
                <w:sz w:val="20"/>
              </w:rPr>
              <w:t xml:space="preserve"> Whether the offered debt securities are guaranteed and, if so, the identity of the guarantors and the terms of the offered guarantees (including whether and the extent to which the guarantees are subordinated to other debt of the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Conversion.</w:t>
            </w:r>
            <w:r>
              <w:rPr>
                <w:rFonts w:ascii="Times New Roman" w:hAnsi="Times New Roman"/>
                <w:sz w:val="20"/>
              </w:rPr>
              <w:t xml:space="preserve"> The terms, if any, upon which the offered debt securities may be converted or exchanged into or for the Companys common shares, preferred shares or other securities or property, including, without limitation, the initial conversion price or rate, the conversion period, any adjustment of the applicable conversion price and any requirements relative to the reservation of such shares for purposes of 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Restrictions.</w:t>
            </w:r>
            <w:r>
              <w:rPr>
                <w:rFonts w:ascii="Times New Roman" w:hAnsi="Times New Roman"/>
                <w:sz w:val="20"/>
              </w:rPr>
              <w:t xml:space="preserve"> Any restrictions on the registration, transfer or exchange of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Terms.</w:t>
            </w:r>
            <w:r>
              <w:rPr>
                <w:rFonts w:ascii="Times New Roman" w:hAnsi="Times New Roman"/>
                <w:sz w:val="20"/>
              </w:rPr>
              <w:t xml:space="preserve"> Any other terms not inconsistent with the terms of the applicable indenture pertaining to the offered debt securities or which may be required or advisable under U.S. laws or regulations or advisable, as we determine, in connection with marketing of securities of the class or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Form of Securities and Related Matters </w:t>
      </w:r>
    </w:p>
    <w:p>
      <w:pPr>
        <w:pStyle w:val="TextBody"/>
        <w:bidi w:val="0"/>
        <w:spacing w:before="120" w:after="0"/>
        <w:jc w:val="left"/>
        <w:rPr>
          <w:rFonts w:ascii="Times New Roman" w:hAnsi="Times New Roman"/>
          <w:sz w:val="20"/>
        </w:rPr>
      </w:pPr>
      <w:r>
        <w:rPr>
          <w:rFonts w:ascii="Times New Roman" w:hAnsi="Times New Roman"/>
          <w:b/>
          <w:i/>
          <w:sz w:val="20"/>
        </w:rPr>
        <w:t>Registered or Bearer Form.</w:t>
      </w:r>
      <w:r>
        <w:rPr>
          <w:rFonts w:ascii="Times New Roman" w:hAnsi="Times New Roman"/>
          <w:sz w:val="20"/>
        </w:rPr>
        <w:t xml:space="preserve"> Debt securities may be offered in either registered or bearer form.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in registered form, we may treat the person named in the register as the owner of the debt securities for all purposes, including payment, exchange and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 </w:t>
            </w:r>
          </w:p>
        </w:tc>
      </w:tr>
    </w:tbl>
    <w:p>
      <w:pPr>
        <w:pStyle w:val="TextBody"/>
        <w:bidi w:val="0"/>
        <w:spacing w:before="240" w:after="0"/>
        <w:jc w:val="left"/>
        <w:rPr>
          <w:rFonts w:ascii="Times New Roman" w:hAnsi="Times New Roman"/>
          <w:sz w:val="20"/>
        </w:rPr>
      </w:pPr>
      <w:r>
        <w:rPr>
          <w:rFonts w:ascii="Times New Roman" w:hAnsi="Times New Roman"/>
          <w:b/>
          <w:i/>
          <w:sz w:val="20"/>
        </w:rPr>
        <w:t>Denominations.</w:t>
      </w:r>
      <w:r>
        <w:rPr>
          <w:rFonts w:ascii="Times New Roman" w:hAnsi="Times New Roman"/>
          <w:sz w:val="20"/>
        </w:rPr>
        <w:t xml:space="preserve"> Unless we say otherwise in a prospectus supplement, we will issue debt securities in denominations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$1,000 (or multiples of $1,000) if we issue the debt securities in registered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$5,000 (or multiples of $5,000) if we issue debt securities in bearer form. </w:t>
            </w:r>
          </w:p>
        </w:tc>
      </w:tr>
    </w:tbl>
    <w:p>
      <w:pPr>
        <w:pStyle w:val="TextBody"/>
        <w:bidi w:val="0"/>
        <w:spacing w:before="240" w:after="0"/>
        <w:jc w:val="left"/>
        <w:rPr>
          <w:rFonts w:ascii="Times New Roman" w:hAnsi="Times New Roman"/>
          <w:sz w:val="20"/>
        </w:rPr>
      </w:pPr>
      <w:r>
        <w:rPr>
          <w:rFonts w:ascii="Times New Roman" w:hAnsi="Times New Roman"/>
          <w:b/>
          <w:i/>
          <w:sz w:val="20"/>
        </w:rPr>
        <w:t>Payment Currencies and Indexed Securities.</w:t>
      </w:r>
      <w:r>
        <w:rPr>
          <w:rFonts w:ascii="Times New Roman" w:hAnsi="Times New Roman"/>
          <w:sz w:val="20"/>
        </w:rPr>
        <w:t xml:space="preserve"> We may offer debt securities for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is payable in a currency other than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are denominated in a currency other than U.S. dollars;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or interest of, or any other amount due on, the offered debt securities in a currency other than U.S. dollars.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other currency may be a currency unit composed of various currencies. Payments on debt securities may also be based on an index. </w:t>
      </w:r>
    </w:p>
    <w:p>
      <w:pPr>
        <w:pStyle w:val="TextBody"/>
        <w:bidi w:val="0"/>
        <w:spacing w:before="240" w:after="0"/>
        <w:jc w:val="left"/>
        <w:rPr>
          <w:rFonts w:ascii="Times New Roman" w:hAnsi="Times New Roman"/>
          <w:sz w:val="20"/>
        </w:rPr>
      </w:pPr>
      <w:r>
        <w:rPr>
          <w:rFonts w:ascii="Times New Roman" w:hAnsi="Times New Roman"/>
          <w:b/>
          <w:i/>
          <w:sz w:val="20"/>
        </w:rPr>
        <w:t>Payment, Transfer and Exchange.</w:t>
      </w:r>
      <w:r>
        <w:rPr>
          <w:rFonts w:ascii="Times New Roman" w:hAnsi="Times New Roman"/>
          <w:sz w:val="20"/>
        </w:rPr>
        <w:t xml:space="preserve"> Unless we say otherwise in a prospectus supplement, the office for paying principal, interest and other amounts on the debt securities is U.S. Bank Trust Company, National Association, 214 North Tryon Street, 27th Floor, Charlotte, North Carolina 28202. We will notify you of any change in the offices location. At our option, however, we may make any interest payments on debt securities issued in registered form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mailing checks to you at the address as it appears in the applicable register for the class or series of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wire transfer of immediately available funds to an account you maintain located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we will pay interest to the person whose name is in the register at the close of business on the regular record date for such interest. </w:t>
      </w:r>
    </w:p>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payment of interest on bearer securities may be made by transfer to an account you maintain with a bank located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debt securities of a class or series in the form of one or more fully registered global securities. Each registered global security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registered in the name of a depositary or a nominee for the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deposited with the depositary or nominee or a custodian therefor;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 a legend regarding the restrictions on exchanges and registration of transfer and any such other appropriate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Global securities may be issued in either registered or bearer form and in either temporary or permanent form. The specific terms and procedures, including the specific terms of the depositary arrangement, with respect to any portion of a class or series of debt securities will be described in a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Unless we say otherwise in a prospectus supplement, each indenture contains or will contain the following covenants. Any additional material covenants applicable to any class or series of debt securities will be set forth in a prospectus supplement. </w:t>
      </w:r>
    </w:p>
    <w:p>
      <w:pPr>
        <w:pStyle w:val="TextBody"/>
        <w:bidi w:val="0"/>
        <w:spacing w:before="240" w:after="0"/>
        <w:jc w:val="left"/>
        <w:rPr>
          <w:rFonts w:ascii="Times New Roman" w:hAnsi="Times New Roman"/>
          <w:sz w:val="20"/>
        </w:rPr>
      </w:pPr>
      <w:r>
        <w:rPr>
          <w:rFonts w:ascii="Times New Roman" w:hAnsi="Times New Roman"/>
          <w:b/>
          <w:i/>
          <w:sz w:val="20"/>
        </w:rPr>
        <w:t>Existence.</w:t>
      </w:r>
      <w:r>
        <w:rPr>
          <w:rFonts w:ascii="Times New Roman" w:hAnsi="Times New Roman"/>
          <w:sz w:val="20"/>
        </w:rPr>
        <w:t xml:space="preserve"> Except as permitted under Consolidation, Merger or Sale of Assets, we will do or cause to be done all things necessary to preserve 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 </w:t>
      </w:r>
    </w:p>
    <w:p>
      <w:pPr>
        <w:pStyle w:val="TextBody"/>
        <w:bidi w:val="0"/>
        <w:spacing w:before="240" w:after="0"/>
        <w:jc w:val="left"/>
        <w:rPr>
          <w:rFonts w:ascii="Times New Roman" w:hAnsi="Times New Roman"/>
          <w:sz w:val="20"/>
        </w:rPr>
      </w:pPr>
      <w:r>
        <w:rPr>
          <w:rFonts w:ascii="Times New Roman" w:hAnsi="Times New Roman"/>
          <w:b/>
          <w:i/>
          <w:sz w:val="20"/>
        </w:rPr>
        <w:t>Maintenance of Properties.</w:t>
      </w:r>
      <w:r>
        <w:rPr>
          <w:rFonts w:ascii="Times New Roman" w:hAnsi="Times New Roman"/>
          <w:sz w:val="20"/>
        </w:rPr>
        <w:t xml:space="preserve"> We will cause all of our material properties used or useful in the conduct of our business to be maintained and kept in 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 </w:t>
      </w:r>
    </w:p>
    <w:p>
      <w:pPr>
        <w:pStyle w:val="TextBody"/>
        <w:bidi w:val="0"/>
        <w:spacing w:before="240" w:after="0"/>
        <w:jc w:val="left"/>
        <w:rPr>
          <w:rFonts w:ascii="Times New Roman" w:hAnsi="Times New Roman"/>
          <w:sz w:val="20"/>
        </w:rPr>
      </w:pPr>
      <w:r>
        <w:rPr>
          <w:rFonts w:ascii="Times New Roman" w:hAnsi="Times New Roman"/>
          <w:b/>
          <w:i/>
          <w:sz w:val="20"/>
        </w:rPr>
        <w:t>Payment of Taxes and Other Claims.</w:t>
      </w:r>
      <w:r>
        <w:rPr>
          <w:rFonts w:ascii="Times New Roman" w:hAnsi="Times New Roman"/>
          <w:sz w:val="20"/>
        </w:rPr>
        <w:t xml:space="preserve"> We will pay or discharge or cause to be paid or discharged, before they shall become delinquent: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taxes, assessments and governmental charges levied or imposed upon us or upon our income, profits or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lawful claims for labor, materials and supplies which, if unpaid, might by law become a lien upon our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however, that we shall not be required to pay or discharge or cause to be paid or discharged any such tax, assessment, charge or claim whose amount, applicability or validity is being contested in good faith. </w:t>
      </w:r>
    </w:p>
    <w:p>
      <w:pPr>
        <w:pStyle w:val="TextBody"/>
        <w:bidi w:val="0"/>
        <w:spacing w:before="240" w:after="0"/>
        <w:jc w:val="left"/>
        <w:rPr>
          <w:rFonts w:ascii="Times New Roman" w:hAnsi="Times New Roman"/>
          <w:sz w:val="20"/>
        </w:rPr>
      </w:pPr>
      <w:r>
        <w:rPr>
          <w:rFonts w:ascii="Times New Roman" w:hAnsi="Times New Roman"/>
          <w:b/>
          <w:i/>
          <w:sz w:val="20"/>
        </w:rPr>
        <w:t>Provision of Financial Information.</w:t>
      </w:r>
      <w:r>
        <w:rPr>
          <w:rFonts w:ascii="Times New Roman" w:hAnsi="Times New Roman"/>
          <w:sz w:val="20"/>
        </w:rPr>
        <w:t xml:space="preserve"> Whether or not we are subject to Section 13 or 15(d) of the Exchange Act, we will, within 15 days of each of the respective dates by which we would have been required to file annual reports, quarterly reports and other documents with the SEC if we were so subject: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with the trustee copies of the annual reports, quarterly reports and other documents that we would have been required to file with the SEC pursuant to Section 13 or 15(d) of the Exchange Act if we were subject to Section 13 or 15(d);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upon written request and payment of the reasonable cost of duplication and delivery, supply copies of those documents to any prospective holder.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be the continuing entity,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transactions, no default or event of default under the debt securities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b/>
          <w:i/>
          <w:sz w:val="20"/>
        </w:rPr>
        <w:t>Generally.</w:t>
      </w:r>
      <w:r>
        <w:rPr>
          <w:rFonts w:ascii="Times New Roman" w:hAnsi="Times New Roman"/>
          <w:sz w:val="20"/>
        </w:rPr>
        <w:t xml:space="preserve"> Unless we say otherwise in a prospectus supplement, the payment of principal, premium, if any, and interest on subordinated debt 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for money borrowed or represented by purchase-money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evidenced by notes, debentures, or bonds, or other securities issued under the provisions of an indenture, fiscal agency agreement or other instrument;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as lessee under leases of property whether made as part of any sale and leaseback transaction to which we are a party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of partnerships and joint ventures which is included in our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obligations and liabilities of others in respect of which we are liable, contingently or otherwise, for payment or advances of money or property, or as guarantor, endorser or otherwise, or which we have agreed to purchase or otherwise acquire;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binding commitment to fund any real estate investment or to fund any investment in any entity making a real estate investment, in each case other than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indebtedness, obligation or liability which is subordinated to our indebtedness to substantially the same extent as or to a greater extent than the subordinated debt securities are subordinated to our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subordinated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there will be no restrictions in any subordinated indenture upon the creation of additional senior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Payment Blockage for Payment Defaults.</w:t>
      </w:r>
      <w:r>
        <w:rPr>
          <w:rFonts w:ascii="Times New Roman" w:hAnsi="Times New Roman"/>
          <w:sz w:val="20"/>
        </w:rPr>
        <w:t xml:space="preserve"> Unless we say otherwise in a prospectus supplement, if we have defaulted in the payment of any senior debt, we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any principal, premium, if any, or interest on subordinated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redeem, defease, or otherwise acquire any subordinated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prohibition will not affect any payment we have already made to defease debt securities, as described under  Defeasance or Covenant Defeasance of Indentures, below. </w:t>
      </w:r>
    </w:p>
    <w:p>
      <w:pPr>
        <w:pStyle w:val="TextBody"/>
        <w:bidi w:val="0"/>
        <w:spacing w:before="240" w:after="0"/>
        <w:jc w:val="left"/>
        <w:rPr>
          <w:rFonts w:ascii="Times New Roman" w:hAnsi="Times New Roman"/>
          <w:sz w:val="20"/>
        </w:rPr>
      </w:pPr>
      <w:r>
        <w:rPr>
          <w:rFonts w:ascii="Times New Roman" w:hAnsi="Times New Roman"/>
          <w:sz w:val="20"/>
        </w:rPr>
        <w:t xml:space="preserve">We must resume payment on our subordinated debt securities, and make any payments we have missed, when one of the following has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senior debt has been discharged or paid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senior debt have waived payment;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default has otherwise been cured or ceased to exist. </w:t>
            </w:r>
          </w:p>
        </w:tc>
      </w:tr>
    </w:tbl>
    <w:p>
      <w:pPr>
        <w:pStyle w:val="TextBody"/>
        <w:bidi w:val="0"/>
        <w:spacing w:before="240" w:after="0"/>
        <w:jc w:val="left"/>
        <w:rPr>
          <w:rFonts w:ascii="Times New Roman" w:hAnsi="Times New Roman"/>
          <w:sz w:val="20"/>
        </w:rPr>
      </w:pPr>
      <w:r>
        <w:rPr>
          <w:rFonts w:ascii="Times New Roman" w:hAnsi="Times New Roman"/>
          <w:b/>
          <w:i/>
          <w:sz w:val="20"/>
        </w:rPr>
        <w:t>Payment Blockage for</w:t>
      </w:r>
      <w:r>
        <w:rPr>
          <w:rFonts w:ascii="Times New Roman" w:hAnsi="Times New Roman"/>
          <w:sz w:val="20"/>
        </w:rPr>
        <w:t> </w:t>
      </w:r>
      <w:r>
        <w:rPr>
          <w:rFonts w:ascii="Times New Roman" w:hAnsi="Times New Roman"/>
          <w:b/>
          <w:i/>
          <w:sz w:val="20"/>
        </w:rPr>
        <w:t>Non-Payment</w:t>
      </w:r>
      <w:r>
        <w:rPr>
          <w:rFonts w:ascii="Times New Roman" w:hAnsi="Times New Roman"/>
          <w:sz w:val="20"/>
        </w:rPr>
        <w:t> </w:t>
      </w:r>
      <w:r>
        <w:rPr>
          <w:rFonts w:ascii="Times New Roman" w:hAnsi="Times New Roman"/>
          <w:b/>
          <w:i/>
          <w:sz w:val="20"/>
        </w:rPr>
        <w:t>Defaults.</w:t>
      </w:r>
      <w:r>
        <w:rPr>
          <w:rFonts w:ascii="Times New Roman" w:hAnsi="Times New Roman"/>
          <w:sz w:val="20"/>
        </w:rPr>
        <w:t xml:space="preserve"> Unless we say otherwise in a prospectus supplement, we will also be prohibited from paying any amounts or distributing any assets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defaulted on senior debt in a way that does not involve a failure to pay amounts but accelerates payment;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trustee for the subordinated debt securities have received written notice of this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that is 179 days after receipt of notice (unless we have previously been required to pay all amounts owing on the applicable senior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the default and all other similar defaults as to which notice has been given shall have been cured, waived or shall have ceased to exist;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the applicable senior debt (and all other senior debt as to which notice has been given) shall have been discharged or paid in full;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or the trustee receives written notice from the representative of holders of senior debt or the holders of at least a majority of the senior debt terminating the blockage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 </w:t>
      </w:r>
    </w:p>
    <w:p>
      <w:pPr>
        <w:pStyle w:val="TextBody"/>
        <w:bidi w:val="0"/>
        <w:spacing w:before="360" w:after="0"/>
        <w:jc w:val="left"/>
        <w:rPr>
          <w:rFonts w:ascii="Times New Roman" w:hAnsi="Times New Roman"/>
          <w:b/>
          <w:sz w:val="20"/>
        </w:rPr>
      </w:pPr>
      <w:r>
        <w:rPr>
          <w:rFonts w:ascii="Times New Roman" w:hAnsi="Times New Roman"/>
          <w:b/>
          <w:sz w:val="20"/>
        </w:rPr>
        <w:t xml:space="preserve">Default Provisions </w:t>
      </w:r>
    </w:p>
    <w:p>
      <w:pPr>
        <w:pStyle w:val="TextBody"/>
        <w:bidi w:val="0"/>
        <w:spacing w:before="120" w:after="0"/>
        <w:jc w:val="left"/>
        <w:rPr>
          <w:rFonts w:ascii="Times New Roman" w:hAnsi="Times New Roman"/>
          <w:sz w:val="20"/>
        </w:rPr>
      </w:pPr>
      <w:r>
        <w:rPr>
          <w:rFonts w:ascii="Times New Roman" w:hAnsi="Times New Roman"/>
          <w:b/>
          <w:i/>
          <w:sz w:val="20"/>
        </w:rPr>
        <w:t>Events of Default.</w:t>
      </w:r>
      <w:r>
        <w:rPr>
          <w:rFonts w:ascii="Times New Roman" w:hAnsi="Times New Roman"/>
          <w:sz w:val="20"/>
        </w:rPr>
        <w:t xml:space="preserve"> Unless we say otherwise in a prospectus supplement, each of the following is an event of default as to any of our senior or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1. A default in the payment of any interest or any additional amounts on any debt security of that class or series or of any coupon appertaining thereto when it becomes due and payable, if the default continues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2. A default in the payment of the principal of (or premium, if any, on) any debt security of that class or series at its maturity (upon acceleration, optional or mandatory redemption, required purchase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A default in the deposit of any sinking fund payment as required by the terms of any debt security of that class or series. </w:t>
      </w:r>
    </w:p>
    <w:p>
      <w:pPr>
        <w:pStyle w:val="TextBody"/>
        <w:bidi w:val="0"/>
        <w:spacing w:before="240" w:after="0"/>
        <w:jc w:val="left"/>
        <w:rPr>
          <w:rFonts w:ascii="Times New Roman" w:hAnsi="Times New Roman"/>
          <w:sz w:val="20"/>
        </w:rPr>
      </w:pPr>
      <w:r>
        <w:rPr>
          <w:rFonts w:ascii="Times New Roman" w:hAnsi="Times New Roman"/>
          <w:sz w:val="20"/>
        </w:rPr>
        <w:t xml:space="preserve">4. 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 </w:t>
      </w:r>
    </w:p>
    <w:p>
      <w:pPr>
        <w:pStyle w:val="TextBody"/>
        <w:bidi w:val="0"/>
        <w:spacing w:before="240" w:after="0"/>
        <w:jc w:val="left"/>
        <w:rPr>
          <w:rFonts w:ascii="Times New Roman" w:hAnsi="Times New Roman"/>
          <w:sz w:val="20"/>
        </w:rPr>
      </w:pPr>
      <w:r>
        <w:rPr>
          <w:rFonts w:ascii="Times New Roman" w:hAnsi="Times New Roman"/>
          <w:sz w:val="20"/>
        </w:rPr>
        <w:t xml:space="preserve">(a) to us by the trustee; or </w:t>
      </w:r>
    </w:p>
    <w:p>
      <w:pPr>
        <w:pStyle w:val="TextBody"/>
        <w:bidi w:val="0"/>
        <w:spacing w:before="240" w:after="0"/>
        <w:jc w:val="left"/>
        <w:rPr>
          <w:rFonts w:ascii="Times New Roman" w:hAnsi="Times New Roman"/>
          <w:sz w:val="20"/>
        </w:rPr>
      </w:pPr>
      <w:r>
        <w:rPr>
          <w:rFonts w:ascii="Times New Roman" w:hAnsi="Times New Roman"/>
          <w:sz w:val="20"/>
        </w:rPr>
        <w:t xml:space="preserve">(b) to us and the trustee by the holders of at least 25% in aggregate principal amount of the outstanding debt securities of the class or series. </w:t>
      </w:r>
    </w:p>
    <w:p>
      <w:pPr>
        <w:pStyle w:val="TextBody"/>
        <w:bidi w:val="0"/>
        <w:spacing w:before="240" w:after="0"/>
        <w:jc w:val="left"/>
        <w:rPr>
          <w:rFonts w:ascii="Times New Roman" w:hAnsi="Times New Roman"/>
          <w:sz w:val="20"/>
        </w:rPr>
      </w:pPr>
      <w:r>
        <w:rPr>
          <w:rFonts w:ascii="Times New Roman" w:hAnsi="Times New Roman"/>
          <w:sz w:val="20"/>
        </w:rPr>
        <w:t xml:space="preserve">5. 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 </w:t>
      </w:r>
    </w:p>
    <w:p>
      <w:pPr>
        <w:pStyle w:val="TextBody"/>
        <w:bidi w:val="0"/>
        <w:spacing w:before="240" w:after="0"/>
        <w:jc w:val="left"/>
        <w:rPr>
          <w:rFonts w:ascii="Times New Roman" w:hAnsi="Times New Roman"/>
          <w:sz w:val="20"/>
        </w:rPr>
      </w:pPr>
      <w:r>
        <w:rPr>
          <w:rFonts w:ascii="Times New Roman" w:hAnsi="Times New Roman"/>
          <w:sz w:val="20"/>
        </w:rPr>
        <w:t xml:space="preserve">6. The entry by a court of competent jurisdiction under any applicable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(a) is for relief against us or any of our significant subsidiaries in an involuntary case, </w:t>
      </w:r>
    </w:p>
    <w:p>
      <w:pPr>
        <w:pStyle w:val="TextBody"/>
        <w:bidi w:val="0"/>
        <w:spacing w:before="240" w:after="0"/>
        <w:jc w:val="left"/>
        <w:rPr>
          <w:rFonts w:ascii="Times New Roman" w:hAnsi="Times New Roman"/>
          <w:sz w:val="20"/>
        </w:rPr>
      </w:pPr>
      <w:r>
        <w:rPr>
          <w:rFonts w:ascii="Times New Roman" w:hAnsi="Times New Roman"/>
          <w:sz w:val="20"/>
        </w:rPr>
        <w:t xml:space="preserve">(b) appoints a receiver in respect of us or any of our significant subsidiaries or for all or substantially all of the property of any of us; or </w:t>
      </w:r>
    </w:p>
    <w:p>
      <w:pPr>
        <w:pStyle w:val="TextBody"/>
        <w:bidi w:val="0"/>
        <w:spacing w:before="240" w:after="0"/>
        <w:jc w:val="left"/>
        <w:rPr>
          <w:rFonts w:ascii="Times New Roman" w:hAnsi="Times New Roman"/>
          <w:sz w:val="20"/>
        </w:rPr>
      </w:pPr>
      <w:r>
        <w:rPr>
          <w:rFonts w:ascii="Times New Roman" w:hAnsi="Times New Roman"/>
          <w:sz w:val="20"/>
        </w:rPr>
        <w:t xml:space="preserve">(c) orders our liquidation or the liquidation of any of our significant subsidiaries, and the order or decree remains unstayed and in effect for 90 days. </w:t>
      </w:r>
    </w:p>
    <w:p>
      <w:pPr>
        <w:pStyle w:val="TextBody"/>
        <w:bidi w:val="0"/>
        <w:spacing w:before="240" w:after="0"/>
        <w:jc w:val="left"/>
        <w:rPr>
          <w:rFonts w:ascii="Times New Roman" w:hAnsi="Times New Roman"/>
          <w:sz w:val="20"/>
        </w:rPr>
      </w:pPr>
      <w:r>
        <w:rPr>
          <w:rFonts w:ascii="Times New Roman" w:hAnsi="Times New Roman"/>
          <w:sz w:val="20"/>
        </w:rPr>
        <w:t xml:space="preserve">7. We or any of our significant subsidiaries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commence a voluntary case or proceeding under any applicable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(b) consent to the entry of a decree or order for relief in respect of us or any of our significant subsidiaries in an involuntary case or proceeding under any applicable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(c) consent to the appointment of a receiver in respect of us or any of our significant subsidiaries for all or substantially all of our or its property; or </w:t>
      </w:r>
    </w:p>
    <w:p>
      <w:pPr>
        <w:pStyle w:val="TextBody"/>
        <w:bidi w:val="0"/>
        <w:spacing w:before="240" w:after="0"/>
        <w:jc w:val="left"/>
        <w:rPr>
          <w:rFonts w:ascii="Times New Roman" w:hAnsi="Times New Roman"/>
          <w:sz w:val="20"/>
        </w:rPr>
      </w:pPr>
      <w:r>
        <w:rPr>
          <w:rFonts w:ascii="Times New Roman" w:hAnsi="Times New Roman"/>
          <w:sz w:val="20"/>
        </w:rPr>
        <w:t xml:space="preserve">(d) makes a general assignment for the benefit of our creditors or the creditors of any of our significant subsidiaries. </w:t>
      </w:r>
    </w:p>
    <w:p>
      <w:pPr>
        <w:pStyle w:val="TextBody"/>
        <w:bidi w:val="0"/>
        <w:spacing w:before="240" w:after="0"/>
        <w:jc w:val="left"/>
        <w:rPr>
          <w:rFonts w:ascii="Times New Roman" w:hAnsi="Times New Roman"/>
          <w:sz w:val="20"/>
        </w:rPr>
      </w:pPr>
      <w:r>
        <w:rPr>
          <w:rFonts w:ascii="Times New Roman" w:hAnsi="Times New Roman"/>
          <w:sz w:val="20"/>
        </w:rPr>
        <w:t xml:space="preserve">8. Any other event of default provided with respect to the debt securities of that class or series. </w:t>
      </w:r>
    </w:p>
    <w:p>
      <w:pPr>
        <w:pStyle w:val="TextBody"/>
        <w:bidi w:val="0"/>
        <w:spacing w:before="240" w:after="0"/>
        <w:jc w:val="left"/>
        <w:rPr>
          <w:rFonts w:ascii="Times New Roman" w:hAnsi="Times New Roman"/>
          <w:sz w:val="20"/>
        </w:rPr>
      </w:pPr>
      <w:r>
        <w:rPr>
          <w:rFonts w:ascii="Times New Roman" w:hAnsi="Times New Roman"/>
          <w:b/>
          <w:i/>
          <w:sz w:val="20"/>
        </w:rPr>
        <w:t>Waiver of Default.</w:t>
      </w:r>
      <w:r>
        <w:rPr>
          <w:rFonts w:ascii="Times New Roman" w:hAnsi="Times New Roman"/>
          <w:sz w:val="20"/>
        </w:rPr>
        <w:t xml:space="preserve"> Unless we say otherwise in a prospectus supplement, holders of not less than a majority of the debt securities of a class or series may waive any past default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payment default;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on any provision that requires the consent of all holders to modify. </w:t>
            </w:r>
          </w:p>
        </w:tc>
      </w:tr>
    </w:tbl>
    <w:p>
      <w:pPr>
        <w:pStyle w:val="TextBody"/>
        <w:bidi w:val="0"/>
        <w:spacing w:before="240" w:after="0"/>
        <w:jc w:val="left"/>
        <w:rPr>
          <w:rFonts w:ascii="Times New Roman" w:hAnsi="Times New Roman"/>
          <w:sz w:val="20"/>
        </w:rPr>
      </w:pPr>
      <w:r>
        <w:rPr>
          <w:rFonts w:ascii="Times New Roman" w:hAnsi="Times New Roman"/>
          <w:b/>
          <w:i/>
          <w:sz w:val="20"/>
        </w:rPr>
        <w:t>Acceleration of Payment.</w:t>
      </w:r>
      <w:r>
        <w:rPr>
          <w:rFonts w:ascii="Times New Roman" w:hAnsi="Times New Roman"/>
          <w:sz w:val="20"/>
        </w:rPr>
        <w:t xml:space="preserve"> Unless we say otherwise in a prospectus supplement, each indenture provides or will provide that if an event of default occurs and continues, the trustee or the holders of not less than 25% in aggregate principal amount of the debt securities of the applicable class or series outstanding may declare all unpaid principal of, premium, if any, and accrued interest on, all the debt securities of the applicable class or series to be due and payable immediately by a notice given in writing to us (and to the trustee if given by the holders of the debt securities of the applicable class or series). The trustee may, then, at its discretion, proceed to protect and enforce the rights of the holders of the applicable debt securities by appropriate judicial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Waiver of Acceleration.</w:t>
      </w:r>
      <w:r>
        <w:rPr>
          <w:rFonts w:ascii="Times New Roman" w:hAnsi="Times New Roman"/>
          <w:sz w:val="20"/>
        </w:rPr>
        <w:t xml:space="preserve"> Unless we say otherwise in a prospectus supplement, each indenture provides or will provide that, after a declaration of acceleration, but before a judgment or decree for payment of the money due has been obtained by the trustee, the holders of a majority in aggregate principal amount of the debt securities, by written notice to us and the trustee, may rescind and annul such declaration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deposited with the trustee a sum sufficient to pay: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overdue interest and any additional amounts payable on all outstanding debt securities of the applicable class or series and any related coupons,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of and premium, if any, on any debt securities of the applicable class or series which have become due other than by such declaration of acceleration, plus interest thereon at the rate borne by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payment of such interest is lawful, interest upon overdue interest at the rate borne by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sums paid or advanced by the trustee under the indenture and the reasonable compensation, expenses, disbursements and advances of the trustee, its agents and counsel;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the non-payment of principal of the debt securities which have become due solely by such declaration of acceleration, have been cured or waived. </w:t>
            </w:r>
          </w:p>
        </w:tc>
      </w:tr>
    </w:tbl>
    <w:p>
      <w:pPr>
        <w:pStyle w:val="TextBody"/>
        <w:bidi w:val="0"/>
        <w:spacing w:before="240" w:after="0"/>
        <w:jc w:val="left"/>
        <w:rPr>
          <w:rFonts w:ascii="Times New Roman" w:hAnsi="Times New Roman"/>
          <w:sz w:val="20"/>
        </w:rPr>
      </w:pPr>
      <w:r>
        <w:rPr>
          <w:rFonts w:ascii="Times New Roman" w:hAnsi="Times New Roman"/>
          <w:b/>
          <w:i/>
          <w:sz w:val="20"/>
        </w:rPr>
        <w:t>Notices of Default.</w:t>
      </w:r>
      <w:r>
        <w:rPr>
          <w:rFonts w:ascii="Times New Roman" w:hAnsi="Times New Roman"/>
          <w:sz w:val="20"/>
        </w:rPr>
        <w:t xml:space="preserve"> Unless we say otherwise in a prospectus supplement, we are required to deliver to the trustee, on or before a date not more than 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class or series of debt securities of any default with respect to such class or series (except a default in the payment of the principal of, and premium, if any, or interest on or any additional amounts with respect to any debt security of such class or series or in the payment of any sinking fund installment in respect of any debt security of such class or series) if the trustee considers such withholding to be in the interest of the holders. </w:t>
      </w:r>
    </w:p>
    <w:p>
      <w:pPr>
        <w:pStyle w:val="TextBody"/>
        <w:bidi w:val="0"/>
        <w:spacing w:before="240" w:after="0"/>
        <w:jc w:val="left"/>
        <w:rPr>
          <w:rFonts w:ascii="Times New Roman" w:hAnsi="Times New Roman"/>
          <w:sz w:val="20"/>
        </w:rPr>
      </w:pPr>
      <w:r>
        <w:rPr>
          <w:rFonts w:ascii="Times New Roman" w:hAnsi="Times New Roman"/>
          <w:b/>
          <w:i/>
          <w:sz w:val="20"/>
        </w:rPr>
        <w:t>Limitation on Suits.</w:t>
      </w:r>
      <w:r>
        <w:rPr>
          <w:rFonts w:ascii="Times New Roman" w:hAnsi="Times New Roman"/>
          <w:sz w:val="20"/>
        </w:rPr>
        <w:t xml:space="preserve"> Unless we say otherwise in a prospectus supplement, each indenture provides or will provide that no holders of debt securities of any class or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class or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class or series outstanding. This provision will not prevent, however, any holder of debt securities from instituting suit for the enforcement of payment of the principal of, and premium, if any, and interest on such debt securities at the respective due dates of the securities. </w:t>
      </w:r>
    </w:p>
    <w:p>
      <w:pPr>
        <w:pStyle w:val="TextBody"/>
        <w:bidi w:val="0"/>
        <w:spacing w:before="240" w:after="0"/>
        <w:jc w:val="left"/>
        <w:rPr>
          <w:rFonts w:ascii="Times New Roman" w:hAnsi="Times New Roman"/>
          <w:sz w:val="20"/>
        </w:rPr>
      </w:pPr>
      <w:r>
        <w:rPr>
          <w:rFonts w:ascii="Times New Roman" w:hAnsi="Times New Roman"/>
          <w:b/>
          <w:i/>
          <w:sz w:val="20"/>
        </w:rPr>
        <w:t>Obligations of Trustee.</w:t>
      </w:r>
      <w:r>
        <w:rPr>
          <w:rFonts w:ascii="Times New Roman" w:hAnsi="Times New Roman"/>
          <w:sz w:val="20"/>
        </w:rPr>
        <w:t xml:space="preserve"> Unless we say otherwise in a prospectus supplement, the trustee is under no obligation to exercise any of the rights or powers vested in it by the indenture at the request or direction of any of the holders of the debt securities unless they shall have offered to the trustee security or indemnity satisfactory to the trustee against the costs, expenses and liabilities that might be incurred thereby. </w:t>
      </w:r>
    </w:p>
    <w:p>
      <w:pPr>
        <w:pStyle w:val="TextBody"/>
        <w:bidi w:val="0"/>
        <w:spacing w:before="240" w:after="0"/>
        <w:jc w:val="left"/>
        <w:rPr>
          <w:rFonts w:ascii="Times New Roman" w:hAnsi="Times New Roman"/>
          <w:sz w:val="20"/>
        </w:rPr>
      </w:pPr>
      <w:r>
        <w:rPr>
          <w:rFonts w:ascii="Times New Roman" w:hAnsi="Times New Roman"/>
          <w:sz w:val="20"/>
        </w:rPr>
        <w:t xml:space="preserve">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regarding the acceleration of a portion of the principal amount of any original issue discount securities on the occurrence of an event of default, please read the prospectus supplement relating to the issuance of those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Defeasance or Covenant Defeasance of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class or series of debt securities that is defeased will be deemed to have been discharged,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holders of outstanding debt securities to receive, solely from funds deposited for this purpose, payments in respect of the principal of, premium, if any, and interest on those debt securities when the payments are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provisions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in order to exercise either defeasance or covenant defeasance as to the outstanding debt securities of a class or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irrevocably deposit with the trustee, in trust, for the benefit of the holders of the debt securities of the applicable class or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class or series on the stated maturity of such principal or installment of principal or interest and any mandatory sinking fund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defeasance, we will deliver to the trustee an opinion of counsel confirming that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received from, or there has been published by, the Internal Revenue Service a ruling,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execution of the indenture, there has been a change in the applicable federal income tax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effect of either being that the holders of the outstanding debt securities of the applicable class or series will not recognize income, gain or loss for federal income tax purposes as a result of such defeasance and will be subject to federal income tax on the same amounts, in the same manner and at the same times as would have been the case if such defeasance had not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we will deliver to the trustee an opinion of counsel to the effect that the holders of the debt securities of the applicable class or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or covenant defeasance shall not result in a breach or violation of, or constitute a default under, the indenture or any other material agreement or instrument to which we are a party or by which we are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deliver to the trustee an officers certificate and an opinion of counsel, each stating that all conditions precedent provided for that relate to either the defeasance or the covenant defeasance, as the case may be, have been met;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Modifications and Amendments </w:t>
      </w:r>
    </w:p>
    <w:p>
      <w:pPr>
        <w:pStyle w:val="TextBody"/>
        <w:bidi w:val="0"/>
        <w:spacing w:before="120" w:after="0"/>
        <w:jc w:val="left"/>
        <w:rPr>
          <w:rFonts w:ascii="Times New Roman" w:hAnsi="Times New Roman"/>
          <w:sz w:val="20"/>
        </w:rPr>
      </w:pPr>
      <w:r>
        <w:rPr>
          <w:rFonts w:ascii="Times New Roman" w:hAnsi="Times New Roman"/>
          <w:sz w:val="20"/>
        </w:rPr>
        <w:t xml:space="preserve">Unless we say otherwise in a prospectus supplement, we and the trustee may modify and amend either indenture with the consent of the holders of a majority in aggregate principal amount of the outstanding debt securities of all classes or series affected by the modification or amendment; provided, however, that no modification or amendment may, without the consent of the holder of each outstanding debt security of all classes or series affected by the modification or amendment: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installment of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of repayment at the option of the holder of any class or series of outstanding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of repayment where, or the currency, currency unit or composite currency in which, the principal or premium, if any, of any debt security or the interest thereon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such payment after the stated maturity of the debt security (or in the case of redemption, on or after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outstanding debt securities of any class or series for which the consent of the holders is required for any such supplemental indenture, or for any waiver of compliance with certain provisions of the indenture or certain defaults, or reduce the requirements for quorum or voting as provided in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we and the trustee may modify and amend either indenture without the consent of the holders if the modification or amendment does only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evidences the succession of another person to us and the assumption by any such successor of any covenants under the indenture and in the debt securities of any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to our covenants for the benefit of the holders of all or any class or series of debt securities or surrenders any of our rights or powers;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any additional event of default for the benefit of the holders of all or any class or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secures the debt securities of any class or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class or series of outstanding debt securities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eliminates any provision affecting only debt securities not yet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establishes the form or terms of debt securities of any class or series not yet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evidences and provides for successor trustees or adds or changes any provisions of the indenture to the extent necessary to permit or facilitate the appointment of a separate trustee or trustees for specific classes or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class or series then outstanding in any material respect;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supplements any provision of the indenture to such extent as shall be necessary to permit the facilitation of defeasance and discharge of any class or series of debt securities; provided, however, that any such action may not adversely affect the interest of holders of debt securities of any class or series then outstanding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debt securities of a class or series outstanding may waive compliance with certain restrictive covenants and provisions of either indenture with respect to that class or series. </w:t>
      </w:r>
    </w:p>
    <w:p>
      <w:pPr>
        <w:pStyle w:val="TextBody"/>
        <w:bidi w:val="0"/>
        <w:spacing w:before="360" w:after="0"/>
        <w:jc w:val="left"/>
        <w:rPr>
          <w:rFonts w:ascii="Times New Roman" w:hAnsi="Times New Roman"/>
          <w:b/>
          <w:sz w:val="20"/>
        </w:rPr>
      </w:pPr>
      <w:r>
        <w:rPr>
          <w:rFonts w:ascii="Times New Roman" w:hAnsi="Times New Roman"/>
          <w:b/>
          <w:sz w:val="20"/>
        </w:rPr>
        <w:t xml:space="preserve">Original Issue Discount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for U.S. federal income tax purposes, any debt security with a term of more than one year from the date of issuance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provide for the payment of interest prior to maturity;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subject to a de minimis exception, issued at a price lower than its stated redemption price at maturity.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Unless we say otherwise in a prospectus supplement, we will send notices to holders of debt securities by mail to the holders address as it appears in the register.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say otherwise in a prospectus supplement, each indenture and the debt securities will be governed by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x755152_8"/>
      <w:bookmarkEnd w:id="19"/>
      <w:r>
        <w:rPr>
          <w:rFonts w:ascii="Times New Roman" w:hAnsi="Times New Roman"/>
          <w:b/>
          <w:sz w:val="20"/>
        </w:rPr>
        <w:t xml:space="preserve">MATERIAL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summarizes the material federal income tax issues that you may consider relevant relating to our taxation as a REIT under the Code, and the acquisition, ownership, and disposition of our common, preferred, and depositary shares. In this section, references to the Company, we, us, our and ours refer only to Federal Realty Investment Trust and not to the Partnership or its subsidiaries unless the context requires otherwise. If we offer one or more additional series of common shares or preferred shares, depositary shares, shares pursuant to share purchase contracts or warrants to purchase equity securities, or the Partnership offers debt securities, the applicable prospectus supplement would include information about additional material U.S. federal income tax considerations relevant to holders of any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foreign (non-U.S.) governments,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based upon the Code, the regulations of the U.S. Department of Treasury (Treasury) promulgated thereunder and judicial and administrative rulings now in effect, all of which are subject to change or differing interpretations, possibly with retroactive effect.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SPECIFIC FEDERAL, STATE, LOCAL, FOREIGN AND OTHER TAX CONSEQUENCES TO THEM OF THE ACQUISITION, OWNERSHIP AND DISPOSITION OF OUR SECURITIES, OUR ELECTION TO BE TAXED AS A REIT AND THE EFFECT OF POTENTIAL CHANGES IN APPLICABLE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 </w:t>
      </w:r>
    </w:p>
    <w:p>
      <w:pPr>
        <w:pStyle w:val="TextBody"/>
        <w:bidi w:val="0"/>
        <w:spacing w:before="240" w:after="0"/>
        <w:jc w:val="left"/>
        <w:rPr>
          <w:rFonts w:ascii="Times New Roman" w:hAnsi="Times New Roman"/>
          <w:sz w:val="20"/>
        </w:rPr>
      </w:pPr>
      <w:r>
        <w:rPr>
          <w:rFonts w:ascii="Times New Roman" w:hAnsi="Times New Roman"/>
          <w:sz w:val="20"/>
        </w:rPr>
        <w:t xml:space="preserve">In the opinion of our tax counsel, Pillsbury Winthrop Shaw Pittman LLP, (i) we qualified as a REIT under Sections 856 through 860 of the Code with respect to each of our taxable years ended through December 31, 2023;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having met and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current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 </w:t>
      </w:r>
    </w:p>
    <w:p>
      <w:pPr>
        <w:pStyle w:val="TextBody"/>
        <w:bidi w:val="0"/>
        <w:spacing w:before="240" w:after="0"/>
        <w:jc w:val="left"/>
        <w:rPr>
          <w:rFonts w:ascii="Times New Roman" w:hAnsi="Times New Roman"/>
          <w:sz w:val="20"/>
        </w:rPr>
      </w:pPr>
      <w:r>
        <w:rPr>
          <w:rFonts w:ascii="Times New Roman" w:hAnsi="Times New Roman"/>
          <w:sz w:val="20"/>
        </w:rPr>
        <w:t xml:space="preserve">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pay federal income tax on taxable income (including net capital gain) that we do not distribute to our shareholders during, or within a specified time period after, the calendar year in which the income is earned;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pay income tax at the regular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pay a 100% tax on net income from certain sales or other dispositions of property (other than foreclosure property) that we hold primarily for sale to customers in the ordinary course of business (prohibited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subsidiaries that are C corporations, including our taxable REIT subsidiaries, generally will be required to pay federal corporate income tax on their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pay a 100% excise tax on transactions with a taxable REIT subsidiary that are not conducted on an arms-length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in more than a de minimis fashion, to satisfy one or more of the asset tests for any quarter of a taxable year, but nonetheless continue to qualify as a REIT because we qualify under certain relief provisions, we may be required to pay a tax equal to the greater of $50,000 or a tax computed at the regular corporate rate on the amount of net income generated by the assets causing the failure from the date of failure until the assets are disposed of or we otherwise return to compliance with the asset test;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pay monetary penalties to the IRS in certain circumstances, including if we fail to meet record-keeping requirements intended to monitor our compliance with the rules relating to the composition of a REITs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elect to retain and pay income tax on our net long-term capital gain;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regular corporate rate on the lesser of (i) the amount of gain that we recognize at the time of the sale or disposition and (ii) the amount of gain that we would have recognized if we had sold the asset at the time we acquired the asset.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Requirements for REIT Qualification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must meet the following requirements: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managed by one or more trustees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beneficial ownership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would be taxable as a domestic corporation, but for Sections 856 through 860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neither a financial institution nor an insurance company subject to certain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100 persons are beneficial owners of our shares or ownership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50% in value of our outstanding shares or ownership certificates is owned, directly or indirectly, by five or fewer individuals (as defined in the Code to include certain entities) during the last half of any taxable year (the 5/50 Rule);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elect to be a REIT (or have made such election for a previous taxable year) and satisfy all relevant filing and other administrative requirements established by the IRS that must be met to elect and maintain REIT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use a calendar year for federal income tax purposes and comply with the record keeping requirements of the Code and the related Treasury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meet certain other qualification tests, described below, regarding the nature of our income and assets and the amount of our distributions to shareholders.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profit-sharing trust under Code Section 401(a), and beneficiaries of such a trust will be treated as holding our shares in proportion to their actuarial interests in the trust for purposes of the 5/50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Shares of Beneficial Interest of Federal Realty Investment TrustRestrictions on Ownership and Transfer of Company Shares.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no direct corporate subsidiaries but may have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the capital shares of which are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Accordingly, any qualified REIT subsidiaries we could have in the future would not be subject to federal corporate income taxation, though they might be subject to state and local taxation. </w:t>
      </w:r>
    </w:p>
    <w:p>
      <w:pPr>
        <w:pStyle w:val="TextBody"/>
        <w:bidi w:val="0"/>
        <w:spacing w:before="240" w:after="0"/>
        <w:jc w:val="left"/>
        <w:rPr>
          <w:rFonts w:ascii="Times New Roman" w:hAnsi="Times New Roman"/>
          <w:sz w:val="20"/>
        </w:rPr>
      </w:pPr>
      <w:r>
        <w:rPr>
          <w:rFonts w:ascii="Times New Roman" w:hAnsi="Times New Roman"/>
          <w:sz w:val="20"/>
        </w:rPr>
        <w:t xml:space="preserve">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The Partnership has been treated as a disregarded entity for federal income tax purposes (but not necessarily for other tax purposes such as employment and excise taxation) because we have owned 100% of the interests in the Partnership, either directly or through other disregarded entities. We may in the future admit other partners to the Partnership in property contribution transactions, at which time the Partnership will become a partnership for federal income tax purposes, with the consequences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once the Partnership becomes a regarded entity and a partnership for federal income tax purposes, our proportionate share of the assets and items of income of the Partnership and any other partnership in which we have acquired or will acquire an interest, directly or indirectly (a Subsidiary Partnership), are treated as our assets and gross income for purposes of applying the various REIT qualification requirements. Generally, except where the context indicates otherwise, references to the Partnership in this discussion will include Subsidiary Partnerships, although until the Partnership becomes regarded the Partnership will follow the disregarded entity rules described in the prior paragraph while the existing Subsidiary Partnerships that are currently regarded entities will be treated as partnerships. Our proportionate share of an entity treated as a partnership is generally determined, for REIT income and asset qualification test purposes, based on our percentage interest in partnership equity capital, subject to special rules relating to the 10% asset test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have control of the Partnership and, through the Partnership, intend to control any Subsidiary Partnerships, and we intend to operate them in a manner consistent with the requirements for our qualification as a REIT. However, the Partnership may from time to time be a limited partner or non-managing member in some of the Subsidiary Partnerships. If a Subsidiary Partnership in which the Partnership owns an interest but does not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control takes or expects to take actions that could jeopardize our status as a REIT or require us to pay tax, we may be forced to have the Partnership dispose of its interest in such entity. In addition, it is possible that a Subsidiary Partnership could take an action which could cause us to fail a gross income or asset test and that we would not become aware of such action in time for the Partnership to dispose of its interest in the Subsidiary Partnership or take other corrective action on a timely basis. In that case, we could fail to qualify as a REIT unless we were able to qualify for a statutory REIT savings provision, which could require us to pay a significant penalty tax to maintain our REIT qualification. </w:t>
      </w:r>
    </w:p>
    <w:p>
      <w:pPr>
        <w:pStyle w:val="TextBody"/>
        <w:bidi w:val="0"/>
        <w:spacing w:before="240" w:after="0"/>
        <w:jc w:val="left"/>
        <w:rPr>
          <w:rFonts w:ascii="Times New Roman" w:hAnsi="Times New Roman"/>
          <w:sz w:val="20"/>
        </w:rPr>
      </w:pPr>
      <w:r>
        <w:rPr>
          <w:rFonts w:ascii="Times New Roman" w:hAnsi="Times New Roman"/>
          <w:b/>
          <w:i/>
          <w:sz w:val="20"/>
        </w:rPr>
        <w:t>Income Tests.</w:t>
      </w:r>
      <w:r>
        <w:rPr>
          <w:rFonts w:ascii="Times New Roman" w:hAnsi="Times New Roman"/>
          <w:sz w:val="20"/>
        </w:rPr>
        <w:t xml:space="preserve"> We must satisfy two gross income tests annually to maintain our qualification as a REIT: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paragraphs discuss the specific application of these tests to us. </w:t>
      </w:r>
    </w:p>
    <w:p>
      <w:pPr>
        <w:pStyle w:val="TextBody"/>
        <w:bidi w:val="0"/>
        <w:spacing w:before="240" w:after="0"/>
        <w:jc w:val="left"/>
        <w:rPr>
          <w:rFonts w:ascii="Times New Roman" w:hAnsi="Times New Roman"/>
          <w:sz w:val="20"/>
        </w:rPr>
      </w:pPr>
      <w:r>
        <w:rPr>
          <w:rFonts w:ascii="Times New Roman" w:hAnsi="Times New Roman"/>
          <w:b/>
          <w:i/>
          <w:sz w:val="20"/>
        </w:rPr>
        <w:t>Rental Income</w:t>
      </w:r>
      <w:r>
        <w:rPr>
          <w:rFonts w:ascii="Times New Roman" w:hAnsi="Times New Roman"/>
          <w:sz w:val="20"/>
        </w:rPr>
        <w:t xml:space="preserve">. The Partnerships primary source of income derives from leasing properties. There are various limitations on whether rent that the Partnership receives from real property that it owns and leases to tenants will qualify as rents from real property (which is qualifying income for purposes of the 75% and 95% gross income tests) under the REIT tax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rent is based, in whole or in part, on the income or profits of any person although, generally, rent may be based on a fixed percentage or percentages of gross receipts or sales, the rent will not qualify as rents from real property. Our leases provide for either fixed rent, sometimes with scheduled escalations, or a fixed minimum rent and a percentage of gross receipts in excess of some threshold. The Partnership has not entered into any lease based in whole or part on the net income of any person and on an ongoing basis will use its best efforts to avoid entering into such arrangements unless, in either instance, we have determined or we determine in our discretion that such arrangements will not jeopardize our status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certain limited circumstances involving taxable REIT subsidiaries, if we or someone who owns 10% or more of our shares owns 10% or more of a tenant from whom the Partnership receives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the Partnership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the Partnership has not leased property to any related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party tenant, except where it may rent to certain taxable REIT subsidiaries as described below, or where we have determined in our discretion that the rent received from such related party tenant is not material and will not jeopardize our status as a REIT. On an ongoing basis, we will use our best efforts to ensure that the Partnership does not rent any property to a related party tenant (taking into account the applicable constructive ownership rules), unless we determine in our discretion that the rent received from such related party tenant will not jeopardize our status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the Partnership by the taxable REIT subsidiary must be substantially comparable to the rents paid by such other persons for comparable space. On an ongoing basis we use and will use our best efforts to ensure that all space leased to our taxable REIT subsidiaries by the Partnership meets these conditions, unless we determine in our discretion that the related party rent received from a taxable REIT subsidiary will not jeopardize our status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the Partnership has not leased a significant amount of personal property under its current leases. If any incidental personal property has been leased, we believe that rent under each lease from the personal property has been no more than 15% of total rent from that lease, and on an ongoing basis we will use our best efforts to avoid having the Partnership lease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general, if the Partnership furnishes or renders services to its tenants, other than through a taxable REIT subsidiary or an independent contractor who is adequately compensated and from whom the Partnership does not derive revenue, the income received from the tenants may not be deemed rents from real property. In general, the Partnership may provide services directly, if the services are usually or customarily rendered in connection with the rental of space for occupancy only and are not otherwise considered to be provided for the tenants convenience. In addition, the Partnership may render directly a de minimis amount of non-customary services to the tenants of a property without disqualifying the income as rents from real property, as long as its income from the services does not exceed 1% of the income from the related property. We believe that the Partnership has not provided services to leased properties that have caused rents to be disqualified as rents from real property, and on an ongoing basis in the future, we will use our best efforts to determine in our discretion that any services provided by the Partnership will not cause rents to be disqualified as rents from real property, unless, in either instance, we have determined or we determine in our discretion that the amount of disqualified rent resulting from such services will not jeopardize our status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we believe that rent from the Partnerships leases should generally qualify as rents from real property for purposes of the 75% and 95% gross income tests, except in amounts that should not jeopardize our status as a REIT. As described above, however, the IRS may successfully assert a contrary position and, therefore, prevent us from qualifying as a REIT. </w:t>
      </w:r>
    </w:p>
    <w:p>
      <w:pPr>
        <w:pStyle w:val="TextBody"/>
        <w:bidi w:val="0"/>
        <w:spacing w:before="24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For purposes of the gross income tests, the term interest generally does not include any amount received or accrued, directly or 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gross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Partnership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the Partnership agreed to acquire the loan. </w:t>
      </w:r>
    </w:p>
    <w:p>
      <w:pPr>
        <w:pStyle w:val="TextBody"/>
        <w:bidi w:val="0"/>
        <w:spacing w:before="240" w:after="0"/>
        <w:jc w:val="left"/>
        <w:rPr>
          <w:rFonts w:ascii="Times New Roman" w:hAnsi="Times New Roman"/>
          <w:sz w:val="20"/>
        </w:rPr>
      </w:pPr>
      <w:r>
        <w:rPr>
          <w:rFonts w:ascii="Times New Roman" w:hAnsi="Times New Roman"/>
          <w:b/>
          <w:i/>
          <w:sz w:val="20"/>
        </w:rPr>
        <w:t>Dividends.</w:t>
      </w:r>
      <w:r>
        <w:rPr>
          <w:rFonts w:ascii="Times New Roman" w:hAnsi="Times New Roman"/>
          <w:sz w:val="20"/>
        </w:rPr>
        <w:t xml:space="preserve"> Our share of any dividends received from any corporation (including any taxable REIT subsidiary but excluding any REIT) in which 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 </w:t>
      </w:r>
    </w:p>
    <w:p>
      <w:pPr>
        <w:pStyle w:val="TextBody"/>
        <w:bidi w:val="0"/>
        <w:spacing w:before="240" w:after="0"/>
        <w:jc w:val="left"/>
        <w:rPr>
          <w:rFonts w:ascii="Times New Roman" w:hAnsi="Times New Roman"/>
          <w:sz w:val="20"/>
        </w:rPr>
      </w:pPr>
      <w:r>
        <w:rPr>
          <w:rFonts w:ascii="Times New Roman" w:hAnsi="Times New Roman"/>
          <w:b/>
          <w:i/>
          <w:sz w:val="20"/>
        </w:rPr>
        <w:t>Tax on Income from Property Acquired in Foreclosure.</w:t>
      </w:r>
      <w:r>
        <w:rPr>
          <w:rFonts w:ascii="Times New Roman" w:hAnsi="Times New Roman"/>
          <w:sz w:val="20"/>
        </w:rPr>
        <w:t xml:space="preserve"> We will be subject to tax at the maximum corporate rate on any income from foreclosure property (other than income that would be qualifying income for purposes of the 75% gross income test), less expenses directly connected to the production of such income. However, gross income from foreclosure property will qualify under the 75% and 95% gross income tests. </w:t>
      </w:r>
    </w:p>
    <w:p>
      <w:pPr>
        <w:pStyle w:val="TextBody"/>
        <w:bidi w:val="0"/>
        <w:spacing w:before="240" w:after="0"/>
        <w:jc w:val="left"/>
        <w:rPr>
          <w:rFonts w:ascii="Times New Roman" w:hAnsi="Times New Roman"/>
          <w:sz w:val="20"/>
        </w:rPr>
      </w:pPr>
      <w:r>
        <w:rPr>
          <w:rFonts w:ascii="Times New Roman" w:hAnsi="Times New Roman"/>
          <w:sz w:val="20"/>
        </w:rPr>
        <w:t xml:space="preserve">Foreclosure property is any real property (including interests in real property) and any personal property incident to such real property: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acquired by a REIT at a foreclosure sale, or having otherwise become the owner or in possession of the property by agreement or process of law, after a default (or imminent default) on a lease of such property or on a debt owed to the REIT secured by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which the related loan was acquired by the REIT at a time when default was not imminent or anticipated;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which the REIT makes a proper election to treat the property as foreclosure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third taxable year following the taxable year in which the REIT acquired the property (or longer if an extension is granted by the Secretary of the Treasury);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day on which any construction takes place on such property (other than completion of a building, or any other improvement, where more than 10% of the construction of such building or other improvement was completed before default became imminent);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Tax on Prohibited Transactions.</w:t>
      </w:r>
      <w:r>
        <w:rPr>
          <w:rFonts w:ascii="Times New Roman" w:hAnsi="Times New Roman"/>
          <w:sz w:val="20"/>
        </w:rPr>
        <w:t xml:space="preserve"> A REIT will incur a 100% tax on net income (taking into account foreign currency gains and losses) derived 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the Partnerships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 </w:t>
      </w:r>
    </w:p>
    <w:p>
      <w:pPr>
        <w:pStyle w:val="TextBody"/>
        <w:bidi w:val="0"/>
        <w:spacing w:before="240" w:after="0"/>
        <w:jc w:val="left"/>
        <w:rPr>
          <w:rFonts w:ascii="Times New Roman" w:hAnsi="Times New Roman"/>
          <w:sz w:val="20"/>
        </w:rPr>
      </w:pPr>
      <w:r>
        <w:rPr>
          <w:rFonts w:ascii="Times New Roman" w:hAnsi="Times New Roman"/>
          <w:sz w:val="20"/>
        </w:rPr>
        <w:t xml:space="preserve">The Code provides a safe harbor that, if met by us (including with respect to properties held by the Partnership),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 </w:t>
      </w:r>
    </w:p>
    <w:p>
      <w:pPr>
        <w:pStyle w:val="TextBody"/>
        <w:bidi w:val="0"/>
        <w:spacing w:before="240" w:after="0"/>
        <w:jc w:val="left"/>
        <w:rPr>
          <w:rFonts w:ascii="Times New Roman" w:hAnsi="Times New Roman"/>
          <w:sz w:val="20"/>
        </w:rPr>
      </w:pPr>
      <w:r>
        <w:rPr>
          <w:rFonts w:ascii="Times New Roman" w:hAnsi="Times New Roman"/>
          <w:b/>
          <w:i/>
          <w:sz w:val="20"/>
        </w:rPr>
        <w:t>Tax and Deduction Limits on Certain Transactions with Taxable REIT Subsidiaries.</w:t>
      </w:r>
      <w:r>
        <w:rPr>
          <w:rFonts w:ascii="Times New Roman" w:hAnsi="Times New Roman"/>
          <w:sz w:val="20"/>
        </w:rPr>
        <w:t xml:space="preserve"> A REIT will incur a 100% tax on certain transactions 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the Partnership has had with our taxable REIT subsidiaries will give rise to the 100% tax, but changes to the interest deduction rules may affect interest deductions of our taxable REIT subsidiaries under some circumstances. </w:t>
      </w:r>
    </w:p>
    <w:p>
      <w:pPr>
        <w:pStyle w:val="TextBody"/>
        <w:bidi w:val="0"/>
        <w:spacing w:before="240" w:after="0"/>
        <w:jc w:val="left"/>
        <w:rPr>
          <w:rFonts w:ascii="Times New Roman" w:hAnsi="Times New Roman"/>
          <w:sz w:val="20"/>
        </w:rPr>
      </w:pPr>
      <w:r>
        <w:rPr>
          <w:rFonts w:ascii="Times New Roman" w:hAnsi="Times New Roman"/>
          <w:b/>
          <w:i/>
          <w:sz w:val="20"/>
        </w:rPr>
        <w:t>Hedging Transactions.</w:t>
      </w:r>
      <w:r>
        <w:rPr>
          <w:rFonts w:ascii="Times New Roman" w:hAnsi="Times New Roman"/>
          <w:sz w:val="20"/>
        </w:rPr>
        <w:t xml:space="preserve"> Except to the extent provided by Treasury regulations, any income we derive from a hedging transaction (which may 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 </w:t>
      </w:r>
    </w:p>
    <w:p>
      <w:pPr>
        <w:pStyle w:val="TextBody"/>
        <w:bidi w:val="0"/>
        <w:spacing w:before="240" w:after="0"/>
        <w:jc w:val="left"/>
        <w:rPr>
          <w:rFonts w:ascii="Times New Roman" w:hAnsi="Times New Roman"/>
          <w:sz w:val="20"/>
        </w:rPr>
      </w:pPr>
      <w:r>
        <w:rPr>
          <w:rFonts w:ascii="Times New Roman" w:hAnsi="Times New Roman"/>
          <w:b/>
          <w:i/>
          <w:sz w:val="20"/>
        </w:rPr>
        <w:t>Like-Kind Exchanges.</w:t>
      </w:r>
      <w:r>
        <w:rPr>
          <w:rFonts w:ascii="Times New Roman" w:hAnsi="Times New Roman"/>
          <w:sz w:val="20"/>
        </w:rPr>
        <w:t xml:space="preserve"> The Partnership may dispose of properties in transactions intended to qualify as like-kind exchanges under the Code. Such like-kind 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Relief from Consequences of Failing to Meet Income Tests.</w:t>
      </w:r>
      <w:r>
        <w:rPr>
          <w:rFonts w:ascii="Times New Roman" w:hAnsi="Times New Roman"/>
          <w:sz w:val="20"/>
        </w:rPr>
        <w:t xml:space="preserve"> If we fail to satisfy one or both of the 75% and 95% gross income tests for any 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 </w:t>
      </w:r>
    </w:p>
    <w:p>
      <w:pPr>
        <w:pStyle w:val="TextBody"/>
        <w:bidi w:val="0"/>
        <w:spacing w:before="240" w:after="0"/>
        <w:jc w:val="left"/>
        <w:rPr>
          <w:rFonts w:ascii="Times New Roman" w:hAnsi="Times New Roman"/>
          <w:sz w:val="20"/>
        </w:rPr>
      </w:pPr>
      <w:r>
        <w:rPr>
          <w:rFonts w:ascii="Times New Roman" w:hAnsi="Times New Roman"/>
          <w:b/>
          <w:i/>
          <w:sz w:val="20"/>
        </w:rPr>
        <w:t>Asset Tests.</w:t>
      </w:r>
      <w:r>
        <w:rPr>
          <w:rFonts w:ascii="Times New Roman" w:hAnsi="Times New Roman"/>
          <w:sz w:val="20"/>
        </w:rPr>
        <w:t xml:space="preserve"> To maintain our qualification as a REIT, we also must satisfy the following asset tests at the close of each quarter of each taxable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consist of cash or cash items (including certain receivables and money market funds), U.S. government securities, real estate assets, or qualifying temporary investments (the 75% asset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the Partnerships properties qualify as real estate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Qualifying temporary investments are investments in stock or debt instruments during the one-year period following our receipt of new capital that we raise through equity or long-term (at least five-year) debt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investments not included in the 75% asset test, (A) the value of our interest in any one issuers securities (which does not include our equity ownership in other REITs, the Partnership,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the Partnership, any taxable REIT subsidiary or any qualified REIT subsidiary) (the 10% asset test), and (C) no more than 25% of the value of our total assets may consist of securities that are not qualifying assets for purposes of the 75% asset test (including securities of any taxable REIT subsidiary that would not otherwise be treated as real estate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our securities in one or more taxable REIT subsidiaries (unless they would otherwise be treated as real estate assets) may not exceed 20% of the value of our total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our holdings in debt instruments of publicly offered REITs (unless they would otherwise be treated as real estate assets) may not exceed 25% of the value of our total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intend to select future investments so as to comply with the asset tests.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described above, the Partnership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 </w:t>
      </w:r>
    </w:p>
    <w:p>
      <w:pPr>
        <w:pStyle w:val="TextBody"/>
        <w:bidi w:val="0"/>
        <w:spacing w:before="240" w:after="0"/>
        <w:jc w:val="left"/>
        <w:rPr>
          <w:rFonts w:ascii="Times New Roman" w:hAnsi="Times New Roman"/>
          <w:sz w:val="20"/>
        </w:rPr>
      </w:pPr>
      <w:r>
        <w:rPr>
          <w:rFonts w:ascii="Times New Roman" w:hAnsi="Times New Roman"/>
          <w:sz w:val="20"/>
        </w:rPr>
        <w:t xml:space="preserve">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 </w:t>
      </w:r>
    </w:p>
    <w:p>
      <w:pPr>
        <w:pStyle w:val="TextBody"/>
        <w:bidi w:val="0"/>
        <w:spacing w:before="240" w:after="0"/>
        <w:jc w:val="left"/>
        <w:rPr>
          <w:rFonts w:ascii="Times New Roman" w:hAnsi="Times New Roman"/>
          <w:sz w:val="20"/>
        </w:rPr>
      </w:pPr>
      <w:r>
        <w:rPr>
          <w:rFonts w:ascii="Times New Roman" w:hAnsi="Times New Roman"/>
          <w:b/>
          <w:i/>
          <w:sz w:val="20"/>
        </w:rPr>
        <w:t>Relief from Consequences of Failing to Meet Asset Tests.</w:t>
      </w:r>
      <w:r>
        <w:rPr>
          <w:rFonts w:ascii="Times New Roman" w:hAnsi="Times New Roman"/>
          <w:sz w:val="20"/>
        </w:rPr>
        <w:t xml:space="preserve"> If we fail to satisfy one or more of the asset tests for any quarter of a taxable year, we 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equal to the greater of $50,000 or a tax computed at the regular corporate rate on the amount of net income generated by the assets causing the failure from the date of failure until the assets are disposed of or we otherwise return to compliance with the asset tests. We may not qualify for the relief provisions in all circumstances. </w:t>
      </w:r>
    </w:p>
    <w:p>
      <w:pPr>
        <w:pStyle w:val="TextBody"/>
        <w:bidi w:val="0"/>
        <w:spacing w:before="240" w:after="0"/>
        <w:jc w:val="left"/>
        <w:rPr>
          <w:rFonts w:ascii="Times New Roman" w:hAnsi="Times New Roman"/>
          <w:sz w:val="20"/>
        </w:rPr>
      </w:pPr>
      <w:r>
        <w:rPr>
          <w:rFonts w:ascii="Times New Roman" w:hAnsi="Times New Roman"/>
          <w:b/>
          <w:i/>
          <w:sz w:val="20"/>
        </w:rPr>
        <w:t>Distribution Requirements.</w:t>
      </w:r>
      <w:r>
        <w:rPr>
          <w:rFonts w:ascii="Times New Roman" w:hAnsi="Times New Roman"/>
          <w:sz w:val="20"/>
        </w:rPr>
        <w:t xml:space="preserve"> Each taxable year, we must distribute dividends (other than capital gain dividends and deemed distributions of retained 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 </w:t>
      </w:r>
    </w:p>
    <w:p>
      <w:pPr>
        <w:pStyle w:val="TextBody"/>
        <w:bidi w:val="0"/>
        <w:spacing w:before="240" w:after="0"/>
        <w:jc w:val="left"/>
        <w:rPr>
          <w:rFonts w:ascii="Times New Roman" w:hAnsi="Times New Roman"/>
          <w:sz w:val="20"/>
        </w:rPr>
      </w:pPr>
      <w:r>
        <w:rPr>
          <w:rFonts w:ascii="Times New Roman" w:hAnsi="Times New Roman"/>
          <w:sz w:val="20"/>
        </w:rPr>
        <w:t xml:space="preserve">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be taken into account for purposes of our distribution requirement, except as provided below, the amount distributed must not be preferential  i.e.,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have been and are currently, and expect we will continue to be, a publicly offered REIT. However, the preferential dividend rules would apply to subsidiary REITs we may own from time to time, although the IRS has issued multiple private letter rulings, which may not be relied upon as precedent, that a subsidiary REIT that meets certain conditions may be treated as a publicly offered REIT for these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We have no current intention to make such an elective cash/shares distribution or a distribution of debt securities, but in the event of an elective cash/shares distribution we expect to structure it so as to comply with the applicable revenue procedure. If we were to choose to make a cash/shares distribution, shareholders may be required to pay tax in excess of the cash that they receive or may be subject to withholding taxes, including with respect to all or a portion of such dividend that is payable in shares.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 </w:t>
      </w:r>
    </w:p>
    <w:p>
      <w:pPr>
        <w:pStyle w:val="TextBody"/>
        <w:bidi w:val="0"/>
        <w:spacing w:before="240" w:after="0"/>
        <w:jc w:val="left"/>
        <w:rPr>
          <w:rFonts w:ascii="Times New Roman" w:hAnsi="Times New Roman"/>
          <w:sz w:val="20"/>
        </w:rPr>
      </w:pPr>
      <w:r>
        <w:rPr>
          <w:rFonts w:ascii="Times New Roman" w:hAnsi="Times New Roman"/>
          <w:b/>
          <w:i/>
          <w:sz w:val="20"/>
        </w:rPr>
        <w:t>Record Keeping Requirements.</w:t>
      </w:r>
      <w:r>
        <w:rPr>
          <w:rFonts w:ascii="Times New Roman" w:hAnsi="Times New Roman"/>
          <w:sz w:val="20"/>
        </w:rPr>
        <w:t xml:space="preserve"> We must maintain certain records in order to qualify as a REIT. In addition, to avoid a monetary penalty, we must request on an annual basis certain information from our shareholders designed to disclose the actual ownership of our outstanding shares. We have complied, and intend to continue to comply, with such requirements. </w:t>
      </w:r>
    </w:p>
    <w:p>
      <w:pPr>
        <w:pStyle w:val="TextBody"/>
        <w:bidi w:val="0"/>
        <w:spacing w:before="240" w:after="0"/>
        <w:jc w:val="left"/>
        <w:rPr>
          <w:rFonts w:ascii="Times New Roman" w:hAnsi="Times New Roman"/>
          <w:sz w:val="20"/>
        </w:rPr>
      </w:pPr>
      <w:r>
        <w:rPr>
          <w:rFonts w:ascii="Times New Roman" w:hAnsi="Times New Roman"/>
          <w:b/>
          <w:i/>
          <w:sz w:val="20"/>
        </w:rPr>
        <w:t>Relief from Other Failures of the REIT Qualification Provisions.</w:t>
      </w:r>
      <w:r>
        <w:rPr>
          <w:rFonts w:ascii="Times New Roman" w:hAnsi="Times New Roman"/>
          <w:sz w:val="20"/>
        </w:rPr>
        <w:t xml:space="preserve"> If we fail to satisfy one or more of the requirements for REIT qualification (other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Failure to Qualify.</w:t>
      </w:r>
      <w:r>
        <w:rPr>
          <w:rFonts w:ascii="Times New Roman" w:hAnsi="Times New Roman"/>
          <w:sz w:val="20"/>
        </w:rPr>
        <w:t xml:space="preserve"> If we fail to qualify as a REIT in any taxable year, and no relief provision applied, we would be subject to federal income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Taxable U.S. Shareholders </w:t>
      </w:r>
    </w:p>
    <w:p>
      <w:pPr>
        <w:pStyle w:val="TextBody"/>
        <w:bidi w:val="0"/>
        <w:spacing w:before="120" w:after="0"/>
        <w:jc w:val="left"/>
        <w:rPr>
          <w:rFonts w:ascii="Times New Roman" w:hAnsi="Times New Roman"/>
          <w:sz w:val="20"/>
        </w:rPr>
      </w:pPr>
      <w:r>
        <w:rPr>
          <w:rFonts w:ascii="Times New Roman" w:hAnsi="Times New Roman"/>
          <w:sz w:val="20"/>
        </w:rPr>
        <w:t xml:space="preserve">As used herein, the term taxable U.S. shareholder means a taxable beneficial owner of our common or preferred shares that for U.S.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includible in gross income for U.S. federal income tax purposes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 </w:t>
      </w:r>
    </w:p>
    <w:p>
      <w:pPr>
        <w:pStyle w:val="TextBody"/>
        <w:bidi w:val="0"/>
        <w:spacing w:before="240" w:after="0"/>
        <w:jc w:val="left"/>
        <w:rPr>
          <w:rFonts w:ascii="Times New Roman" w:hAnsi="Times New Roman"/>
          <w:sz w:val="20"/>
        </w:rPr>
      </w:pPr>
      <w:r>
        <w:rPr>
          <w:rFonts w:ascii="Times New Roman" w:hAnsi="Times New Roman"/>
          <w:b/>
          <w:i/>
          <w:sz w:val="20"/>
        </w:rPr>
        <w:t>Dividends and Other Taxable U.S. Shareholder Distributions.</w:t>
      </w:r>
      <w:r>
        <w:rPr>
          <w:rFonts w:ascii="Times New Roman" w:hAnsi="Times New Roman"/>
          <w:sz w:val="20"/>
        </w:rPr>
        <w:t xml:space="preserve"> As long as we qualify as a REIT, a taxable U.S. shareholder must take into account 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 </w:t>
      </w:r>
    </w:p>
    <w:p>
      <w:pPr>
        <w:pStyle w:val="TextBody"/>
        <w:bidi w:val="0"/>
        <w:spacing w:before="240" w:after="0"/>
        <w:jc w:val="left"/>
        <w:rPr>
          <w:rFonts w:ascii="Times New Roman" w:hAnsi="Times New Roman"/>
          <w:sz w:val="20"/>
        </w:rPr>
      </w:pPr>
      <w:r>
        <w:rPr>
          <w:rFonts w:ascii="Times New Roman" w:hAnsi="Times New Roman"/>
          <w:sz w:val="20"/>
        </w:rPr>
        <w:t xml:space="preserve">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 </w:t>
      </w:r>
    </w:p>
    <w:p>
      <w:pPr>
        <w:pStyle w:val="TextBody"/>
        <w:bidi w:val="0"/>
        <w:spacing w:before="240" w:after="0"/>
        <w:jc w:val="left"/>
        <w:rPr>
          <w:rFonts w:ascii="Times New Roman" w:hAnsi="Times New Roman"/>
          <w:sz w:val="20"/>
        </w:rPr>
      </w:pPr>
      <w:r>
        <w:rPr>
          <w:rFonts w:ascii="Times New Roman" w:hAnsi="Times New Roman"/>
          <w:b/>
          <w:i/>
          <w:sz w:val="20"/>
        </w:rPr>
        <w:t>Taxation of Taxable U.S. Shareholders on the Disposition of Our Shares.</w:t>
      </w:r>
      <w:r>
        <w:rPr>
          <w:rFonts w:ascii="Times New Roman" w:hAnsi="Times New Roman"/>
          <w:sz w:val="20"/>
        </w:rPr>
        <w:t xml:space="preserve"> In general, a taxable U.S. shareholder must treat any gain or loss 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w:t>
      </w:r>
    </w:p>
    <w:p>
      <w:pPr>
        <w:pStyle w:val="TextBody"/>
        <w:bidi w:val="0"/>
        <w:spacing w:before="240" w:after="0"/>
        <w:jc w:val="left"/>
        <w:rPr>
          <w:rFonts w:ascii="Times New Roman" w:hAnsi="Times New Roman"/>
          <w:sz w:val="20"/>
        </w:rPr>
      </w:pPr>
      <w:r>
        <w:rPr>
          <w:rFonts w:ascii="Times New Roman" w:hAnsi="Times New Roman"/>
          <w:b/>
          <w:i/>
          <w:sz w:val="20"/>
        </w:rPr>
        <w:t>Capital Gains and Losses.</w:t>
      </w:r>
      <w:r>
        <w:rPr>
          <w:rFonts w:ascii="Times New Roman" w:hAnsi="Times New Roman"/>
          <w:sz w:val="20"/>
        </w:rPr>
        <w:t xml:space="preserve"> A taxpayer generally must hold a capital asset for more than one year for gain or loss derived from its sale or exchange 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Redemption of Preferred Shares for Cash.</w:t>
      </w:r>
      <w:r>
        <w:rPr>
          <w:rFonts w:ascii="Times New Roman" w:hAnsi="Times New Roman"/>
          <w:sz w:val="20"/>
        </w:rPr>
        <w:t xml:space="preserve"> The treatment accorded to any redemption by us for cash (as distinguished from a sale, exchange or other 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 </w:t>
      </w:r>
    </w:p>
    <w:p>
      <w:pPr>
        <w:pStyle w:val="TextBody"/>
        <w:bidi w:val="0"/>
        <w:spacing w:before="240" w:after="0"/>
        <w:jc w:val="left"/>
        <w:rPr>
          <w:rFonts w:ascii="Times New Roman" w:hAnsi="Times New Roman"/>
          <w:sz w:val="20"/>
        </w:rPr>
      </w:pPr>
      <w:r>
        <w:rPr>
          <w:rFonts w:ascii="Times New Roman" w:hAnsi="Times New Roman"/>
          <w:sz w:val="20"/>
        </w:rPr>
        <w:t xml:space="preserve">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 </w:t>
      </w:r>
    </w:p>
    <w:p>
      <w:pPr>
        <w:pStyle w:val="TextBody"/>
        <w:bidi w:val="0"/>
        <w:spacing w:before="240" w:after="0"/>
        <w:jc w:val="left"/>
        <w:rPr>
          <w:rFonts w:ascii="Times New Roman" w:hAnsi="Times New Roman"/>
          <w:sz w:val="20"/>
        </w:rPr>
      </w:pPr>
      <w:r>
        <w:rPr>
          <w:rFonts w:ascii="Times New Roman" w:hAnsi="Times New Roman"/>
          <w:sz w:val="20"/>
        </w:rPr>
        <w:t xml:space="preserve">Under previously proposed Treasury regulations, if any portion of the amount received by a taxable U.S. shareholder on a redemption of our preferred shares is treated as a distribution with respect to our shares but not as a taxable dividend, then such portion would be allocated to all shares held by the taxable U.S. shareholder just before the redemption on a pro rata, share-by-share, basis. The amount applied to each share would first reduce the taxable U.S. shareholders basis in that share and any excess after the basis is reduced to zero would result in taxable gain. If the holder had a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permitted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As of March 28, 2019, these proposed Treasury regulations have been withdrawn. As a result, the treatment of adjustments to basis of a taxable U.S. shareholders preferred shares with respect to amounts treated as a distribution with respect to preferred shares, but not a dividend, as well as the treatment of the basis of any unredeemed shares, may be less certain. We urge you to consult your tax advisor concerning the treatment of a cash redemption of our preferred shares. </w:t>
      </w:r>
    </w:p>
    <w:p>
      <w:pPr>
        <w:pStyle w:val="TextBody"/>
        <w:bidi w:val="0"/>
        <w:spacing w:before="240" w:after="0"/>
        <w:jc w:val="left"/>
        <w:rPr>
          <w:rFonts w:ascii="Times New Roman" w:hAnsi="Times New Roman"/>
          <w:sz w:val="20"/>
        </w:rPr>
      </w:pPr>
      <w:r>
        <w:rPr>
          <w:rFonts w:ascii="Times New Roman" w:hAnsi="Times New Roman"/>
          <w:b/>
          <w:i/>
          <w:sz w:val="20"/>
        </w:rPr>
        <w:t>Redemption or Conversion of Preferred Shares to Common Shares.</w:t>
      </w:r>
      <w:r>
        <w:rPr>
          <w:rFonts w:ascii="Times New Roman" w:hAnsi="Times New Roman"/>
          <w:sz w:val="20"/>
        </w:rPr>
        <w:t xml:space="preserve"> Assuming that preferred shares will not be redeemed or converted at a time 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 </w:t>
      </w:r>
    </w:p>
    <w:p>
      <w:pPr>
        <w:pStyle w:val="TextBody"/>
        <w:bidi w:val="0"/>
        <w:spacing w:before="240" w:after="0"/>
        <w:jc w:val="left"/>
        <w:rPr>
          <w:rFonts w:ascii="Times New Roman" w:hAnsi="Times New Roman"/>
          <w:sz w:val="20"/>
        </w:rPr>
      </w:pPr>
      <w:r>
        <w:rPr>
          <w:rFonts w:ascii="Times New Roman" w:hAnsi="Times New Roman"/>
          <w:sz w:val="20"/>
        </w:rPr>
        <w:t xml:space="preserve">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 </w:t>
      </w:r>
    </w:p>
    <w:p>
      <w:pPr>
        <w:pStyle w:val="TextBody"/>
        <w:bidi w:val="0"/>
        <w:spacing w:before="240" w:after="0"/>
        <w:jc w:val="left"/>
        <w:rPr>
          <w:rFonts w:ascii="Times New Roman" w:hAnsi="Times New Roman"/>
          <w:sz w:val="20"/>
        </w:rPr>
      </w:pPr>
      <w:r>
        <w:rPr>
          <w:rFonts w:ascii="Times New Roman" w:hAnsi="Times New Roman"/>
          <w:b/>
          <w:i/>
          <w:sz w:val="20"/>
        </w:rPr>
        <w:t>Adjustments to Conversion Price.</w:t>
      </w:r>
      <w:r>
        <w:rPr>
          <w:rFonts w:ascii="Times New Roman" w:hAnsi="Times New Roman"/>
          <w:sz w:val="20"/>
        </w:rPr>
        <w:t> Under Section 305 of the Code, holders of preferred shares may be deemed to have received a constructive 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hAnsi="Times New Roman"/>
          <w:i/>
          <w:sz w:val="20"/>
        </w:rPr>
        <w:t>bona fide</w:t>
      </w:r>
      <w:r>
        <w:rPr>
          <w:rFonts w:ascii="Times New Roman" w:hAnsi="Times New Roman"/>
          <w:sz w:val="20"/>
        </w:rPr>
        <w:t>,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Times New Roman" w:hAnsi="Times New Roman"/>
          <w:i/>
          <w:sz w:val="20"/>
        </w:rPr>
        <w:t>bona fide</w:t>
      </w:r>
      <w:r>
        <w:rPr>
          <w:rFonts w:ascii="Times New Roman" w:hAnsi="Times New Roman"/>
          <w:sz w:val="20"/>
        </w:rPr>
        <w:t xml:space="preserve">, reasonable adjustment formula. In such a case, if a nonqualifying adjustment were made, the holders of preferred shares might be deemed to have received a taxable share dividend. </w:t>
      </w:r>
    </w:p>
    <w:p>
      <w:pPr>
        <w:pStyle w:val="TextBody"/>
        <w:bidi w:val="0"/>
        <w:spacing w:before="240" w:after="0"/>
        <w:jc w:val="left"/>
        <w:rPr>
          <w:rFonts w:ascii="Times New Roman" w:hAnsi="Times New Roman"/>
          <w:sz w:val="20"/>
        </w:rPr>
      </w:pPr>
      <w:r>
        <w:rPr>
          <w:rFonts w:ascii="Times New Roman" w:hAnsi="Times New Roman"/>
          <w:b/>
          <w:i/>
          <w:sz w:val="20"/>
        </w:rPr>
        <w:t>Passive Activity and Investment Income Limitations.</w:t>
      </w:r>
      <w:r>
        <w:rPr>
          <w:rFonts w:ascii="Times New Roman" w:hAnsi="Times New Roman"/>
          <w:sz w:val="20"/>
        </w:rPr>
        <w:t xml:space="preserve"> Distributions from us and gain from the disposition of our common or preferred shares will 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 </w:t>
      </w:r>
    </w:p>
    <w:p>
      <w:pPr>
        <w:pStyle w:val="TextBody"/>
        <w:bidi w:val="0"/>
        <w:spacing w:before="240" w:after="0"/>
        <w:jc w:val="left"/>
        <w:rPr>
          <w:rFonts w:ascii="Times New Roman" w:hAnsi="Times New Roman"/>
          <w:sz w:val="20"/>
        </w:rPr>
      </w:pPr>
      <w:r>
        <w:rPr>
          <w:rFonts w:ascii="Times New Roman" w:hAnsi="Times New Roman"/>
          <w:b/>
          <w:i/>
          <w:sz w:val="20"/>
        </w:rPr>
        <w:t>Medicare Tax on Unearned Income.</w:t>
      </w:r>
      <w:r>
        <w:rPr>
          <w:rFonts w:ascii="Times New Roman" w:hAnsi="Times New Roman"/>
          <w:sz w:val="20"/>
        </w:rPr>
        <w:t xml:space="preserve"> Certain taxable U.S. shareholders who are individuals, estates or trusts are subject to a 3.8% Medicare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 </w:t>
      </w:r>
    </w:p>
    <w:p>
      <w:pPr>
        <w:pStyle w:val="TextBody"/>
        <w:bidi w:val="0"/>
        <w:spacing w:before="240" w:after="0"/>
        <w:jc w:val="left"/>
        <w:rPr>
          <w:rFonts w:ascii="Times New Roman" w:hAnsi="Times New Roman"/>
          <w:sz w:val="20"/>
        </w:rPr>
      </w:pPr>
      <w:r>
        <w:rPr>
          <w:rFonts w:ascii="Times New Roman" w:hAnsi="Times New Roman"/>
          <w:b/>
          <w:i/>
          <w:sz w:val="20"/>
        </w:rPr>
        <w:t>Current Tax Rates.</w:t>
      </w:r>
      <w:r>
        <w:rPr>
          <w:rFonts w:ascii="Times New Roman" w:hAnsi="Times New Roman"/>
          <w:sz w:val="20"/>
        </w:rPr>
        <w:t xml:space="preserve"> The maximum tax rate on the long-term capital gains of domestic non-corporate taxpayers is 20%. The maximum tax rate on qualified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shareholders long-term capital gain, if any, recognized on the disposition of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we designate as long-term capital gain dividends (except to the extent attributable to real estate depreciation, in which case the 25% tax rate applies);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attributable to dividends we receive from non-REIT corporations (including our taxable REIT subsidiaries);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the extent attributable to income upon which we have paid corporate tax (for example, the tax we would pay if we distributed less than all of our taxable REIT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to qualify for the reduced tax rate on qualified dividend income, a shareholder must hold our shares for more than 60 days during the 121-day period beginning on the date that is 60 days before the date on which our shares become ex-dividend. </w:t>
      </w:r>
    </w:p>
    <w:p>
      <w:pPr>
        <w:pStyle w:val="TextBody"/>
        <w:bidi w:val="0"/>
        <w:spacing w:before="240" w:after="0"/>
        <w:jc w:val="left"/>
        <w:rPr>
          <w:rFonts w:ascii="Times New Roman" w:hAnsi="Times New Roman"/>
          <w:sz w:val="20"/>
        </w:rPr>
      </w:pPr>
      <w:r>
        <w:rPr>
          <w:rFonts w:ascii="Times New Roman" w:hAnsi="Times New Roman"/>
          <w:b/>
          <w:i/>
          <w:sz w:val="20"/>
        </w:rPr>
        <w:t>Information Reporting and Backup Withholding.</w:t>
      </w:r>
      <w:r>
        <w:rPr>
          <w:rFonts w:ascii="Times New Roman" w:hAnsi="Times New Roman"/>
          <w:sz w:val="20"/>
        </w:rPr>
        <w:t xml:space="preserve"> Taxable U.S. shareholders that are exempt recipients (such as corporations) generally will 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Tax-Exempt U.S. Shareholders </w:t>
      </w:r>
    </w:p>
    <w:p>
      <w:pPr>
        <w:pStyle w:val="TextBody"/>
        <w:bidi w:val="0"/>
        <w:spacing w:before="120" w:after="0"/>
        <w:jc w:val="left"/>
        <w:rPr>
          <w:rFonts w:ascii="Times New Roman" w:hAnsi="Times New Roman"/>
          <w:sz w:val="20"/>
        </w:rPr>
      </w:pPr>
      <w:r>
        <w:rPr>
          <w:rFonts w:ascii="Times New Roman" w:hAnsi="Times New Roman"/>
          <w:sz w:val="20"/>
        </w:rPr>
        <w:t xml:space="preserve">Tax-exempt entities, including qualified employee pension and profit-sharing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UBTI Percentage is at least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qualify as a REIT by reason of the modification of the 5/50 Rule that allows the beneficiaries of the pension trust to be treated as holding our shares in proportion to their actuarial interests in the pension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 pension-held REIT (i.e., either (1) one pension trust owns more than 25% of the value of our shares or (2) a group of pension trusts individually holding more than 10% of the value of our shares collectively owns more than 50% of the value of our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Taxation of Non-U.S.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This discussion also does not address the tax treatment of any conversion or exchange of notes into our shares for persons who would become non-U.S. shareholders upon such conversion or exchange. Such persons are urged to consult their tax advisors regarding the U.S. income tax treatment of such a conversion or exchange. As used herein, the term non-U.S. shareholder means any taxable beneficial owner of our shares (other than a partnership or entity that is treated as a partnership for U.S. federal income tax purposes) that is not a taxable U.S. shareholder or exempt organization. </w:t>
      </w:r>
    </w:p>
    <w:p>
      <w:pPr>
        <w:pStyle w:val="TextBody"/>
        <w:bidi w:val="0"/>
        <w:spacing w:before="240" w:after="0"/>
        <w:jc w:val="left"/>
        <w:rPr>
          <w:rFonts w:ascii="Times New Roman" w:hAnsi="Times New Roman"/>
          <w:sz w:val="20"/>
        </w:rPr>
      </w:pPr>
      <w:r>
        <w:rPr>
          <w:rFonts w:ascii="Times New Roman" w:hAnsi="Times New Roman"/>
          <w:b/>
          <w:i/>
          <w:sz w:val="20"/>
        </w:rPr>
        <w:t>Ordinary Dividends.</w:t>
      </w:r>
      <w:r>
        <w:rPr>
          <w:rFonts w:ascii="Times New Roman" w:hAnsi="Times New Roman"/>
          <w:sz w:val="20"/>
        </w:rPr>
        <w:t xml:space="preserve"> A non-U.S. shareholder that receives a distribution that is not attributable to gain from our sale or exchange of U.S. real 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 </w:t>
      </w:r>
    </w:p>
    <w:p>
      <w:pPr>
        <w:pStyle w:val="TextBody"/>
        <w:bidi w:val="0"/>
        <w:spacing w:before="240" w:after="0"/>
        <w:jc w:val="left"/>
        <w:rPr>
          <w:rFonts w:ascii="Times New Roman" w:hAnsi="Times New Roman"/>
          <w:sz w:val="20"/>
        </w:rPr>
      </w:pPr>
      <w:r>
        <w:rPr>
          <w:rFonts w:ascii="Times New Roman" w:hAnsi="Times New Roman"/>
          <w:b/>
          <w:i/>
          <w:sz w:val="20"/>
        </w:rPr>
        <w:t>Return of Capital</w:t>
      </w:r>
      <w:r>
        <w:rPr>
          <w:rFonts w:ascii="Times New Roman" w:hAnsi="Times New Roman"/>
          <w:sz w:val="20"/>
        </w:rPr>
        <w:t xml:space="preserve">. A non-U.S. shareholder will not incur tax on a distribution to the extent it exceeds our current and accumulated earnings and 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 </w:t>
      </w:r>
    </w:p>
    <w:p>
      <w:pPr>
        <w:pStyle w:val="TextBody"/>
        <w:bidi w:val="0"/>
        <w:spacing w:before="240" w:after="0"/>
        <w:jc w:val="left"/>
        <w:rPr>
          <w:rFonts w:ascii="Times New Roman" w:hAnsi="Times New Roman"/>
          <w:sz w:val="20"/>
        </w:rPr>
      </w:pPr>
      <w:r>
        <w:rPr>
          <w:rFonts w:ascii="Times New Roman" w:hAnsi="Times New Roman"/>
          <w:b/>
          <w:i/>
          <w:sz w:val="20"/>
        </w:rPr>
        <w:t>Capital Gain Dividends.</w:t>
      </w:r>
      <w:r>
        <w:rPr>
          <w:rFonts w:ascii="Times New Roman" w:hAnsi="Times New Roman"/>
          <w:sz w:val="20"/>
        </w:rPr>
        <w:t xml:space="preserve"> Provided that a particular class of our shares is regularly traded on an established securities market in the United 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 </w:t>
      </w:r>
    </w:p>
    <w:p>
      <w:pPr>
        <w:pStyle w:val="TextBody"/>
        <w:bidi w:val="0"/>
        <w:spacing w:before="240" w:after="0"/>
        <w:jc w:val="left"/>
        <w:rPr>
          <w:rFonts w:ascii="Times New Roman" w:hAnsi="Times New Roman"/>
          <w:sz w:val="20"/>
        </w:rPr>
      </w:pPr>
      <w:r>
        <w:rPr>
          <w:rFonts w:ascii="Times New Roman" w:hAnsi="Times New Roman"/>
          <w:sz w:val="20"/>
        </w:rPr>
        <w:t xml:space="preserve">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on or after the designation, until the amount of distributions withheld at 21% equals the amount of the distribution designated as a capital gain dividend. A non-U.S. shareholder may receive a credit against its FIRPTA tax liability for the amount we withhold. </w:t>
      </w:r>
    </w:p>
    <w:p>
      <w:pPr>
        <w:pStyle w:val="TextBody"/>
        <w:bidi w:val="0"/>
        <w:spacing w:before="240" w:after="0"/>
        <w:jc w:val="left"/>
        <w:rPr>
          <w:rFonts w:ascii="Times New Roman" w:hAnsi="Times New Roman"/>
          <w:sz w:val="20"/>
        </w:rPr>
      </w:pPr>
      <w:r>
        <w:rPr>
          <w:rFonts w:ascii="Times New Roman" w:hAnsi="Times New Roman"/>
          <w:sz w:val="20"/>
        </w:rPr>
        <w:t xml:space="preserve">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 </w:t>
      </w:r>
    </w:p>
    <w:p>
      <w:pPr>
        <w:pStyle w:val="TextBody"/>
        <w:bidi w:val="0"/>
        <w:spacing w:before="240" w:after="0"/>
        <w:jc w:val="left"/>
        <w:rPr>
          <w:rFonts w:ascii="Times New Roman" w:hAnsi="Times New Roman"/>
          <w:sz w:val="20"/>
        </w:rPr>
      </w:pPr>
      <w:r>
        <w:rPr>
          <w:rFonts w:ascii="Times New Roman" w:hAnsi="Times New Roman"/>
          <w:b/>
          <w:i/>
          <w:sz w:val="20"/>
        </w:rPr>
        <w:t>Retention of Net Capital Gains.</w:t>
      </w:r>
      <w:r>
        <w:rPr>
          <w:rFonts w:ascii="Times New Roman" w:hAnsi="Times New Roman"/>
          <w:sz w:val="20"/>
        </w:rPr>
        <w:t xml:space="preserve"> Although the law is not clear on the matter, it appears that amounts we designate as retained capital gains in 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 </w:t>
      </w:r>
    </w:p>
    <w:p>
      <w:pPr>
        <w:pStyle w:val="TextBody"/>
        <w:bidi w:val="0"/>
        <w:spacing w:before="240" w:after="0"/>
        <w:jc w:val="left"/>
        <w:rPr>
          <w:rFonts w:ascii="Times New Roman" w:hAnsi="Times New Roman"/>
          <w:sz w:val="20"/>
        </w:rPr>
      </w:pPr>
      <w:r>
        <w:rPr>
          <w:rFonts w:ascii="Times New Roman" w:hAnsi="Times New Roman"/>
          <w:b/>
          <w:i/>
          <w:sz w:val="20"/>
        </w:rPr>
        <w:t>Sale of Shares</w:t>
      </w:r>
      <w:r>
        <w:rPr>
          <w:rFonts w:ascii="Times New Roman" w:hAnsi="Times New Roman"/>
          <w:sz w:val="20"/>
        </w:rPr>
        <w:t xml:space="preserve">. A non-U.S. shareholder generally will not incur tax under FIRPTA on gain from the sale of its common or preferred shares as long as we are a domestically controlled REIT. A domestically controlled REIT is a REIT in which at all times during a specified testing 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 </w:t>
      </w:r>
    </w:p>
    <w:p>
      <w:pPr>
        <w:pStyle w:val="TextBody"/>
        <w:bidi w:val="0"/>
        <w:spacing w:before="240" w:after="0"/>
        <w:jc w:val="left"/>
        <w:rPr>
          <w:rFonts w:ascii="Times New Roman" w:hAnsi="Times New Roman"/>
          <w:sz w:val="20"/>
        </w:rPr>
      </w:pPr>
      <w:r>
        <w:rPr>
          <w:rFonts w:ascii="Times New Roman" w:hAnsi="Times New Roman"/>
          <w:b/>
          <w:i/>
          <w:sz w:val="20"/>
        </w:rPr>
        <w:t>Wash Sales.</w:t>
      </w:r>
      <w:r>
        <w:rPr>
          <w:rFonts w:ascii="Times New Roman" w:hAnsi="Times New Roman"/>
          <w:sz w:val="20"/>
        </w:rPr>
        <w:t xml:space="preserve"> In general, special wash sale rules apply if a shareholder owning more than 5% of our common or preferred shares avoids a taxable 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 </w:t>
      </w:r>
    </w:p>
    <w:p>
      <w:pPr>
        <w:pStyle w:val="TextBody"/>
        <w:bidi w:val="0"/>
        <w:spacing w:before="240" w:after="0"/>
        <w:jc w:val="left"/>
        <w:rPr>
          <w:rFonts w:ascii="Times New Roman" w:hAnsi="Times New Roman"/>
          <w:sz w:val="20"/>
        </w:rPr>
      </w:pPr>
      <w:r>
        <w:rPr>
          <w:rFonts w:ascii="Times New Roman" w:hAnsi="Times New Roman"/>
          <w:b/>
          <w:i/>
          <w:sz w:val="20"/>
        </w:rPr>
        <w:t>Conversion of Preferred Shares to Common Shares.</w:t>
      </w:r>
      <w:r>
        <w:rPr>
          <w:rFonts w:ascii="Times New Roman" w:hAnsi="Times New Roman"/>
          <w:sz w:val="20"/>
        </w:rPr>
        <w:t xml:space="preserve"> The conversion of preferred shares into our common shares may be a taxable exchange for a 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 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Non-U.S. shareholders should consult with their tax advisors regarding the federal income tax consequences of any transaction by which such non-U.S. shareholder exchanges our common shares received on a conversion of preferred shares for cash or other property. </w:t>
      </w:r>
    </w:p>
    <w:p>
      <w:pPr>
        <w:pStyle w:val="TextBody"/>
        <w:bidi w:val="0"/>
        <w:spacing w:before="240" w:after="0"/>
        <w:jc w:val="left"/>
        <w:rPr>
          <w:rFonts w:ascii="Times New Roman" w:hAnsi="Times New Roman"/>
          <w:sz w:val="20"/>
        </w:rPr>
      </w:pPr>
      <w:r>
        <w:rPr>
          <w:rFonts w:ascii="Times New Roman" w:hAnsi="Times New Roman"/>
          <w:b/>
          <w:i/>
          <w:sz w:val="20"/>
        </w:rPr>
        <w:t>Information Reporting and Backup Withholding.</w:t>
      </w:r>
      <w:r>
        <w:rPr>
          <w:rFonts w:ascii="Times New Roman" w:hAnsi="Times New Roman"/>
          <w:sz w:val="20"/>
        </w:rPr>
        <w:t xml:space="preserve"> We must report annually to the IRS and to each non-U.S. shareholder the amount of 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United States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derives 50% or more of its gross income for a specified three-year period from the conduct of a trade or business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controlled foreign corporation (generally, a foreign corporation controlled by stockholders that are United States persons) for U.S. tax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a foreign partnership, if at any time during its tax year more than 50% of its income or capital interests are held by United States persons or if it is engaged in the conduct of a trade or business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 </w:t>
      </w:r>
    </w:p>
    <w:p>
      <w:pPr>
        <w:pStyle w:val="TextBody"/>
        <w:bidi w:val="0"/>
        <w:spacing w:before="240" w:after="0"/>
        <w:jc w:val="left"/>
        <w:rPr>
          <w:rFonts w:ascii="Times New Roman" w:hAnsi="Times New Roman"/>
          <w:sz w:val="20"/>
        </w:rPr>
      </w:pPr>
      <w:r>
        <w:rPr>
          <w:rFonts w:ascii="Times New Roman" w:hAnsi="Times New Roman"/>
          <w:b/>
          <w:i/>
          <w:sz w:val="20"/>
        </w:rPr>
        <w:t>Reporting and Withholding on Foreign Financial Accounts.</w:t>
      </w:r>
      <w:r>
        <w:rPr>
          <w:rFonts w:ascii="Times New Roman" w:hAnsi="Times New Roman"/>
          <w:sz w:val="20"/>
        </w:rPr>
        <w:t xml:space="preserve"> Under sections 1471 through 1474 of the Code, Treasury regulations and related guidance (commonly referred to as FATCA), a 30% U.S. withholding tax will be imposed in certain circumstances on payments of (i) dividends on the shares and (ii) subject to the proposed Treasury regulations discussed below, gross proceeds from the sale or other disposition of the shares. Proposed Treasury regulations would, when finalized, eliminate FATCA withholding on the gross proceeds from a sale or other disposition of instruments, such as the shares, that produce withholdable payments. In the preamble to such 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shares. </w:t>
      </w:r>
    </w:p>
    <w:p>
      <w:pPr>
        <w:pStyle w:val="TextBody"/>
        <w:bidi w:val="0"/>
        <w:spacing w:before="360" w:after="0"/>
        <w:jc w:val="left"/>
        <w:rPr>
          <w:rFonts w:ascii="Times New Roman" w:hAnsi="Times New Roman"/>
          <w:b/>
          <w:sz w:val="20"/>
        </w:rPr>
      </w:pPr>
      <w:r>
        <w:rPr>
          <w:rFonts w:ascii="Times New Roman" w:hAnsi="Times New Roman"/>
          <w:b/>
          <w:sz w:val="20"/>
        </w:rPr>
        <w:t xml:space="preserve">Tax Aspects of Our Investments in the Partnership and Subsidiary Partnerships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summarizes certain federal income tax considerations applicable to our direct or indirect investments in the Partnership and the Subsidiary Partnerships. As described above under Taxation of the Company  Requirements for REIT Qualification, the Partnership (but not the Subsidiary Partnerships) currently is a disregarded entity for federal income tax purposes. Accordingly, the discussion below initially only applies to the Subsidiary Partnerships and references to the Partnership should not be taken into account. Once the Partnership admits one or more partners that are not disregarded entities of ours, the discussion below will also apply to the Partnership. Also, the discussion below does not cover state or local tax laws or any federal tax laws other than income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Classification as Partnerships.</w:t>
      </w:r>
      <w:r>
        <w:rPr>
          <w:rFonts w:ascii="Times New Roman" w:hAnsi="Times New Roman"/>
          <w:sz w:val="20"/>
        </w:rPr>
        <w:t xml:space="preserve"> We are entitled to include in our income our distributive share of the Partnerships and Subsidiary Partnerships income and to deduct our distributive share of the Partnerships and Subsidiary Partnerships losses only if the applicable partnership is classified for federal income tax purposes as a partnership rather than as a corporation or association taxable as a corporation. An organization will be classified as a partnership, rather than as a corporation, for federal income tax purposes if it (1) is treated as a partnership under Treasury regulations, effective January 1, 1997, relating to entity classification (the check-the-box regulations) and (2) is not a publicly traded partnership. </w:t>
      </w:r>
    </w:p>
    <w:p>
      <w:pPr>
        <w:pStyle w:val="TextBody"/>
        <w:bidi w:val="0"/>
        <w:spacing w:before="240" w:after="0"/>
        <w:jc w:val="left"/>
        <w:rPr>
          <w:rFonts w:ascii="Times New Roman" w:hAnsi="Times New Roman"/>
          <w:sz w:val="20"/>
        </w:rPr>
      </w:pPr>
      <w:r>
        <w:rPr>
          <w:rFonts w:ascii="Times New Roman" w:hAnsi="Times New Roman"/>
          <w:sz w:val="20"/>
        </w:rPr>
        <w:t xml:space="preserve">Under the check-the-box regulations, an unincorporated entity with at least two members may elect to be classified either as an association taxable as a corporation or as a partnership. If such an entity fails to make an election, it generally will be treated as a partnership for federal income tax purposes. We believe that the Partnership (once it admits one or more partners that are not disregarded entities of ours) and its Subsidiary Partnerships will be classified as partnerships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A publicly traded partnership is a partnership whose interests are traded on an established securities market or are readily tradable on a secondary market (or the substantial equivalent thereof). While the Partnership units will not be traded on an established securities market, they could possibly be deemed to be traded on a secondary market or its equivalent due to the redemption rights enabling the limited partners to dispose of their units. A publicly traded partnership will not, however, be treated as a corporation for any taxable year if 90% or more of the partnerships gross income for such year consists of certain passive-type income, including (as may be relevant here) real property rents, gains from the sale or other disposition of real property, interest, and dividends (the 90% Passive Income Exception). The income requirements applicable to us in order for us to qualify as a REIT under the Code and the definition of qualifying income under the Passive Income Exception are very similar. Although differences exist between these two income tests, we do not believe that these differences would cause the Partnership not to satisfy the 90% Passive Income Exception applicable to publicly traded partnerships. </w:t>
      </w:r>
    </w:p>
    <w:p>
      <w:pPr>
        <w:pStyle w:val="TextBody"/>
        <w:bidi w:val="0"/>
        <w:spacing w:before="240" w:after="0"/>
        <w:jc w:val="left"/>
        <w:rPr>
          <w:rFonts w:ascii="Times New Roman" w:hAnsi="Times New Roman"/>
          <w:sz w:val="20"/>
        </w:rPr>
      </w:pPr>
      <w:r>
        <w:rPr>
          <w:rFonts w:ascii="Times New Roman" w:hAnsi="Times New Roman"/>
          <w:sz w:val="20"/>
        </w:rPr>
        <w:t xml:space="preserve">Treasury has issued regulations (the PTP Regulations) that provide limited safe harbors from the definition of a publicly traded partnership. Pursuant to one of those safe harbors (the Private Placement Exclusion), interests in a partnership will not be treated as readily tradable on a secondary market or the substantial equivalent thereof if (i) all interests in the partnership were issued in a transaction (or transactions) that was not required to be registered under the Securities Act, and (ii) the partnership does not have more than 100 partners at any time during the partnerships taxable year. In determining the number of partners in a partnership, a person owning an interest in a flow-through entity (i.e., a partnership, grantor trust, or S corporation) that owns an interest in the partnership is treated as a partner in such partnership only if (i) substantially all of the value of the owners interest in the flow-through entity is attributable to the flow-through entitys interest (direct or indirect) in the partnership and (ii) a principal purpose of the use of the flow-through entity is to permit the partnership to satisfy the 100-partner limitation.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agreement has provisions intended to facilitate and permit us to take actions to avoid loss of the Private Placement Exclusion. We believe that the Partnership, from the point it is treated as a regarded entity, will qualify for the Private Placement Exclusion and thereafter intends to qualify for the Private Placement Exclusion unless it qualifies for another safe harbor or the 90% Passive Income Exception as described below. It is possible, however, that in the future the Partnership might not qualify for the Private Placement Exclusion.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Partnership is considered a publicly traded partnership under the PTP Regulations because it is deemed to have more than 100 partners, the Partnership would need to qualify under another safe harbor in the PTP Regulations or for the 90% Passive Income Exception. We believe that the Partnership will qualify for another safe harbor in the PTP Regulations or for the 90% Passive Income Exception. It is possible, however, that in the future the Partnership might not qualify for one of these exceptions. </w:t>
      </w:r>
    </w:p>
    <w:p>
      <w:pPr>
        <w:pStyle w:val="TextBody"/>
        <w:bidi w:val="0"/>
        <w:spacing w:before="240" w:after="0"/>
        <w:jc w:val="left"/>
        <w:rPr>
          <w:rFonts w:ascii="Times New Roman" w:hAnsi="Times New Roman"/>
          <w:sz w:val="20"/>
        </w:rPr>
      </w:pPr>
      <w:r>
        <w:rPr>
          <w:rFonts w:ascii="Times New Roman" w:hAnsi="Times New Roman"/>
          <w:sz w:val="20"/>
        </w:rPr>
        <w:t xml:space="preserve">If, however, for any reason the Partnership were taxable as a corporation, rather than as a partnership, for federal income tax purposes, we would not be able to qualify as a REIT. See Requirements for REIT QualificationIncome Tests and Requirements for REIT QualificationAsset Tests. In addition, any change in the Partnerships status for tax purposes might be treated as a taxable event, in which case we might incur tax liability without any related cash distribution. See Requirements for REIT QualificationDistribution Requirements. Further, items of income and deduction of the Partnership would not pass through to its partners, and its partners would be treated as shareholders for tax purposes. Consequently, the Partnership would be required to pay income tax at corporate tax rates on its net income, and distributions to its partners would constitute dividends that would not be deductible in computing such Partnerships taxable income. </w:t>
      </w:r>
    </w:p>
    <w:p>
      <w:pPr>
        <w:pStyle w:val="TextBody"/>
        <w:bidi w:val="0"/>
        <w:spacing w:before="240" w:after="0"/>
        <w:jc w:val="left"/>
        <w:rPr>
          <w:rFonts w:ascii="Times New Roman" w:hAnsi="Times New Roman"/>
          <w:sz w:val="20"/>
        </w:rPr>
      </w:pPr>
      <w:r>
        <w:rPr>
          <w:rFonts w:ascii="Times New Roman" w:hAnsi="Times New Roman"/>
          <w:b/>
          <w:i/>
          <w:sz w:val="20"/>
        </w:rPr>
        <w:t>Partners, Not the Partnership, Subject to Tax.</w:t>
      </w:r>
      <w:r>
        <w:rPr>
          <w:rFonts w:ascii="Times New Roman" w:hAnsi="Times New Roman"/>
          <w:sz w:val="20"/>
        </w:rPr>
        <w:t xml:space="preserve"> The partners of the Partnership are subject to taxation. Except as discussed below in Revised Partnership Audit Rules, the Partnership itself is not a taxable entity for federal income tax purposes. Rather, we are required to take into account our allocable share of the Partnerships income, gains, losses, deductions and credits for any taxable year of the Partnership ending during our taxable year, without regard to whether we have received or will receive any distribution from the Partnership. </w:t>
      </w:r>
    </w:p>
    <w:p>
      <w:pPr>
        <w:pStyle w:val="TextBody"/>
        <w:bidi w:val="0"/>
        <w:spacing w:before="240" w:after="0"/>
        <w:jc w:val="left"/>
        <w:rPr>
          <w:rFonts w:ascii="Times New Roman" w:hAnsi="Times New Roman"/>
          <w:sz w:val="20"/>
        </w:rPr>
      </w:pPr>
      <w:r>
        <w:rPr>
          <w:rFonts w:ascii="Times New Roman" w:hAnsi="Times New Roman"/>
          <w:b/>
          <w:i/>
          <w:sz w:val="20"/>
        </w:rPr>
        <w:t>Partnership Allocations</w:t>
      </w:r>
      <w:r>
        <w:rPr>
          <w:rFonts w:ascii="Times New Roman" w:hAnsi="Times New Roman"/>
          <w:sz w:val="20"/>
        </w:rPr>
        <w:t xml:space="preserve">. Although a partnership agreement generally will determine the allocation of income and losses among partners, such allocations will be disregarded for tax purposes if they do not comply with the provisions of Section 704(b) of the Code and the Treasury regulations promulgated thereunder. If an allocation is not recognized for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The Partnerships allocations of taxable income, gain and loss are intended to comply with the requirements of Section 704(b) of the Code and the Treasury regulations promulgated thereunder. </w:t>
      </w:r>
    </w:p>
    <w:p>
      <w:pPr>
        <w:pStyle w:val="TextBody"/>
        <w:bidi w:val="0"/>
        <w:spacing w:before="240" w:after="0"/>
        <w:jc w:val="left"/>
        <w:rPr>
          <w:rFonts w:ascii="Times New Roman" w:hAnsi="Times New Roman"/>
          <w:sz w:val="20"/>
        </w:rPr>
      </w:pPr>
      <w:r>
        <w:rPr>
          <w:rFonts w:ascii="Times New Roman" w:hAnsi="Times New Roman"/>
          <w:b/>
          <w:i/>
          <w:sz w:val="20"/>
        </w:rPr>
        <w:t>Tax Allocations with Respect to Contributed Properties</w:t>
      </w:r>
      <w:r>
        <w:rPr>
          <w:rFonts w:ascii="Times New Roman" w:hAnsi="Times New Roman"/>
          <w:sz w:val="20"/>
        </w:rPr>
        <w:t xml:space="preserve">. Pursuant to Section 704(c) of the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of contributed property at the time of contribution and the adjusted tax basis of such property at the time of contribution (a Book-Tax Difference). Such allocations are solely for federal income tax purposes and do not affect the book capital accounts or other economic or legal arrangements among the partners. The Partnership, once regarded, will be deemed to be formed by way of contributions of appreciated property. Consequently, the Partnerships partnership agreement requires such allocations to be made in a manner permitted under Section 704(c)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general, the partners who contribute property to the Partnership will be allocated depreciation deductions for tax purposes which are lower than such deductions would be if determined on a pro rata basis. In addition, in the event of the disposition of any of the contributed assets (including our properties) which have a Book-Tax Difference, all gain attributable to such Book-Tax Difference (to the extent not previously taken into account) will generally be allocated to the contributing partners, including us, and other partners will generally be allocated only their share of gain attributable to appreciation, if any, occurring after such contribution. This will tend to eliminate the Book-Tax Difference over the life of the Partnership. However, the special allocation rules of Section 704(c) do not always entirely eliminate the Book-Tax Difference on an annual basis or with respect to a specific taxable transaction such as a sale. Thus, the carryover basis of the contributed assets in the hands of the Partnership may cause us to be allocated lower depreciation and other deductions, and possibly an amount of taxable income in the event of a sale of such contributed assets in excess of the economic or book income allocated to us as a result of such sale. </w:t>
      </w:r>
    </w:p>
    <w:p>
      <w:pPr>
        <w:pStyle w:val="TextBody"/>
        <w:bidi w:val="0"/>
        <w:spacing w:before="240" w:after="0"/>
        <w:jc w:val="left"/>
        <w:rPr>
          <w:rFonts w:ascii="Times New Roman" w:hAnsi="Times New Roman"/>
          <w:sz w:val="20"/>
        </w:rPr>
      </w:pPr>
      <w:r>
        <w:rPr>
          <w:rFonts w:ascii="Times New Roman" w:hAnsi="Times New Roman"/>
          <w:sz w:val="20"/>
        </w:rPr>
        <w:t xml:space="preserve">A Book-Tax Difference may also arise as a result of the revaluation of property owned by the Partnership in connection with certain types of transactions, including in connection with certain non-pro rata contributions or distributions of assets by the Partnership in exchange for interests in the Partnership. In the event of such a revaluation, the partners (including us) who were partners in the Partnership immediately prior to the revaluation will be required to take any Book-Tax Difference created as a result of such revaluation into account in substantially the same manner as under the Section 704(c) rules discussed above. This would result in us being allocated income, gain, loss and deduction for tax purposes in amounts different than the economic or book income allocated to us by the Partnership.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application of Section 704(c) to the Partnership may cause us to recognize taxable income in excess of cash proceeds, which might adversely affect our ability to comply with the REIT distribution requirements. See Requirements for REIT QualificationDistribution Requirements. The foregoing principles also apply in determining our earnings and profits for purposes of determining the portion of distributions taxable as dividend income. The application of these rules over time may result in a higher portion of distributions being taxed as dividends than would have occurred had we purchased the contributed or revalued assets at their agreed values. </w:t>
      </w:r>
    </w:p>
    <w:p>
      <w:pPr>
        <w:pStyle w:val="TextBody"/>
        <w:bidi w:val="0"/>
        <w:spacing w:before="240" w:after="0"/>
        <w:jc w:val="left"/>
        <w:rPr>
          <w:rFonts w:ascii="Times New Roman" w:hAnsi="Times New Roman"/>
          <w:sz w:val="20"/>
        </w:rPr>
      </w:pPr>
      <w:r>
        <w:rPr>
          <w:rFonts w:ascii="Times New Roman" w:hAnsi="Times New Roman"/>
          <w:sz w:val="20"/>
        </w:rPr>
        <w:t xml:space="preserve">Treasury has issued regulations requiring partnerships to use a reasonable method for allocating items affected by Section 704(c) of the Code and outlining several reasonable allocation methods. The general partner of the Partnership has the discretion to determine which of the methods of accounting for Book-Tax Differences (specifically approved in the Treasury regulations) will be elected with respect to any properties contributed to or revalued by the Partnership. We have not determined which method of accounting for Book-Tax Differences will be elected for properties contributed to or revalued by the Partnership in the future. </w:t>
      </w:r>
    </w:p>
    <w:p>
      <w:pPr>
        <w:pStyle w:val="TextBody"/>
        <w:bidi w:val="0"/>
        <w:spacing w:before="240" w:after="0"/>
        <w:jc w:val="left"/>
        <w:rPr>
          <w:rFonts w:ascii="Times New Roman" w:hAnsi="Times New Roman"/>
          <w:sz w:val="20"/>
        </w:rPr>
      </w:pPr>
      <w:r>
        <w:rPr>
          <w:rFonts w:ascii="Times New Roman" w:hAnsi="Times New Roman"/>
          <w:b/>
          <w:i/>
          <w:sz w:val="20"/>
        </w:rPr>
        <w:t>Basis in Partnership Interest</w:t>
      </w:r>
      <w:r>
        <w:rPr>
          <w:rFonts w:ascii="Times New Roman" w:hAnsi="Times New Roman"/>
          <w:sz w:val="20"/>
        </w:rPr>
        <w:t xml:space="preserve">. Our adjusted tax basis in our partnership interest in the Partnership generally is equal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and the adjusted tax basis of any other property contributed by us to the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allocable share of the Partnerships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allocable share of debt of the Partnership;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but not below zero,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allocable share of the Partnerships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and the basis of any property distributed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constructive distributions resulting from a reduction in our share of debt of the Partnership.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allocation of our distributive share of the Partnerships loss would reduce the adjusted tax basis of our partnership interest in the Partnership below zero, the recognition of such loss will be deferred until such time as the recognition of such loss would not reduce our adjusted tax basis below zero. To the extent that the Partnerships distributions, or any decrease in our share of the debt of the Partnership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will be characterized as capital gain (including Section 1250 depreciation recapture), and, if our interest in the Partnership has been held for longer than the long-term capital gain holding period (currently one year), the distributions and constructive distributions will constitute long-term capital gain. </w:t>
      </w:r>
    </w:p>
    <w:p>
      <w:pPr>
        <w:pStyle w:val="TextBody"/>
        <w:bidi w:val="0"/>
        <w:spacing w:before="240" w:after="0"/>
        <w:jc w:val="left"/>
        <w:rPr>
          <w:rFonts w:ascii="Times New Roman" w:hAnsi="Times New Roman"/>
          <w:sz w:val="20"/>
        </w:rPr>
      </w:pPr>
      <w:r>
        <w:rPr>
          <w:rFonts w:ascii="Times New Roman" w:hAnsi="Times New Roman"/>
          <w:b/>
          <w:i/>
          <w:sz w:val="20"/>
        </w:rPr>
        <w:t>Sale of the Partnerships Property.</w:t>
      </w:r>
      <w:r>
        <w:rPr>
          <w:rFonts w:ascii="Times New Roman" w:hAnsi="Times New Roman"/>
          <w:sz w:val="20"/>
        </w:rPr>
        <w:t xml:space="preserve"> Generally, any gain realized by the Partnership on the sale of property held by the Partnership for more than one year will be long-term capital gain, except for any portion of such gain that is treated as depreciation or cost recovery recapture. Any gain recognized by the Partnership on the disposition of contributed properties will be allocated first to the partners of the Partnership under Section 704(c) of the Code to the extent of their built-in gain on those properties for federal income tax purposes. The partners built-in gain on the contributed properties sold will equal the excess of the partners proportionate share of the book value of those properties over the partners tax basis allocable to those properties at the time of the contribution. Any remaining gain recognized by the Partnership on the disposition of the contributed properties, and any gain recognized by the Partnership on the disposition of the other properties, will be allocated among the partners in accordance with their respective percentage interests in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Our share of any gain realized by the Partnership on the sale of any property held by the Partnership (other than property held indirectly through a taxable REIT subsidiary)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our ability to satisfy the income tests for REIT status. See Requirements for REIT QualificationIncome Tests. We, however, do not presently intend to allow the Partnership to acquire or hold any property (other than through a taxable REIT subsidiary) that represents inventory or other property held primarily for sale to customers in the ordinary course of our or the Partnerships trade or business.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Revised Partnership Audit Rules</w:t>
      </w:r>
      <w:r>
        <w:rPr>
          <w:rFonts w:ascii="Times New Roman" w:hAnsi="Times New Roman"/>
          <w:sz w:val="20"/>
        </w:rPr>
        <w:t xml:space="preserve">. Under partnership audit changes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some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 even though we, as a REIT, may not otherwise have been required to pay additional corporate-level taxes as a result of an audit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Other Tax Considerations </w:t>
      </w:r>
    </w:p>
    <w:p>
      <w:pPr>
        <w:pStyle w:val="TextBody"/>
        <w:bidi w:val="0"/>
        <w:spacing w:before="120" w:after="0"/>
        <w:jc w:val="left"/>
        <w:rPr>
          <w:rFonts w:ascii="Times New Roman" w:hAnsi="Times New Roman"/>
          <w:sz w:val="20"/>
        </w:rPr>
      </w:pPr>
      <w:r>
        <w:rPr>
          <w:rFonts w:ascii="Times New Roman" w:hAnsi="Times New Roman"/>
          <w:b/>
          <w:i/>
          <w:sz w:val="20"/>
        </w:rPr>
        <w:t>State and Local Taxes.</w:t>
      </w:r>
      <w:r>
        <w:rPr>
          <w:rFonts w:ascii="Times New Roman" w:hAnsi="Times New Roman"/>
          <w:sz w:val="20"/>
        </w:rPr>
        <w:t xml:space="preserve"> We and/or you may be subject to state and local tax in various states and localities, including those states and localities in 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 </w:t>
      </w:r>
    </w:p>
    <w:p>
      <w:pPr>
        <w:pStyle w:val="TextBody"/>
        <w:bidi w:val="0"/>
        <w:spacing w:before="240" w:after="0"/>
        <w:jc w:val="left"/>
        <w:rPr>
          <w:rFonts w:ascii="Times New Roman" w:hAnsi="Times New Roman"/>
          <w:sz w:val="20"/>
        </w:rPr>
      </w:pPr>
      <w:r>
        <w:rPr>
          <w:rFonts w:ascii="Times New Roman" w:hAnsi="Times New Roman"/>
          <w:b/>
          <w:i/>
          <w:sz w:val="20"/>
        </w:rPr>
        <w:t>Changes to Tax Laws and Regulations.</w:t>
      </w:r>
      <w:r>
        <w:rPr>
          <w:rFonts w:ascii="Times New Roman" w:hAnsi="Times New Roman"/>
          <w:sz w:val="20"/>
        </w:rPr>
        <w:t xml:space="preserve"> The rules dealing with federal income taxation are subject to revision by the U.S. Congress, the IRS and the Treasury, and statutory changes, new regulations, revisions to existing regulations and revised interpretations of established concepts are issued frequently. In particular, additional legislation, implementing regulations, and other guidance may be enacted or promulgated with respect to the Tax Cuts and Jobs Act of 2017, the 2020 CARES Act, and other recent legislation. We cannot assure you that a change in law, including the possibility of major tax legislation in 2024 or later, possibly with retroactive application, will not alter significantly the tax considerations (including applicable tax rates) that we describe herein.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 </w:t>
      </w:r>
    </w:p>
    <w:p>
      <w:pPr>
        <w:pStyle w:val="TextBody"/>
        <w:bidi w:val="0"/>
        <w:spacing w:before="480" w:after="0"/>
        <w:jc w:val="center"/>
        <w:rPr>
          <w:rFonts w:ascii="Times New Roman" w:hAnsi="Times New Roman"/>
          <w:b/>
          <w:sz w:val="20"/>
        </w:rPr>
      </w:pPr>
      <w:bookmarkStart w:id="20" w:name="tx755152_9"/>
      <w:bookmarkEnd w:id="20"/>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 holders and the terms of the securities offered for resale, where applicable, will be set forth in a prospectus supplement, in a post-effective amendment or in filings we make with the SEC under the Exchange Act that are incorporated into this prospectus by reference. Selling security holders may be deemed to be underwriters in connection with the securities they resell and any profits on the resale may be deemed to be underwriting discounts and commissions under the Securities Act. The selling security holders will receive all the proceeds from the resale of our securities. We will not receive any proceeds from resales by selling security holders. </w:t>
      </w:r>
    </w:p>
    <w:p>
      <w:pPr>
        <w:pStyle w:val="TextBody"/>
        <w:bidi w:val="0"/>
        <w:spacing w:before="480" w:after="0"/>
        <w:jc w:val="center"/>
        <w:rPr>
          <w:rFonts w:ascii="Times New Roman" w:hAnsi="Times New Roman"/>
          <w:b/>
          <w:sz w:val="20"/>
        </w:rPr>
      </w:pPr>
      <w:bookmarkStart w:id="21" w:name="tx755152_10"/>
      <w:bookmarkEnd w:id="21"/>
      <w:r>
        <w:rPr>
          <w:rFonts w:ascii="Times New Roman" w:hAnsi="Times New Roman"/>
          <w:b/>
          <w:sz w:val="20"/>
        </w:rPr>
        <w:t xml:space="preserve">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Sales by Us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methods by which we may distribute securities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block trade (which may involve crosses) in which the 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dealer as principal and resale by such dealer for its account pursuant to this prospectus or any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 transactions and transactions in which the broker solicits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legally available means.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be entitled, under agreements with us, to indemnification against and contribution toward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or may not be listed on a national securities exchange or traded in the over-the-counter market (other than the common shares and Series C depositary shares, which are quoted on the New York Stock Exchange). No assurance can be given as to the liquidity of the trading market for any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or agents and their affiliates may engage in transactions with and perform services for us or our affiliates in the ordinary course of their respective businesses. </w:t>
      </w:r>
    </w:p>
    <w:p>
      <w:pPr>
        <w:pStyle w:val="TextBody"/>
        <w:bidi w:val="0"/>
        <w:spacing w:before="360" w:after="0"/>
        <w:jc w:val="left"/>
        <w:rPr>
          <w:rFonts w:ascii="Times New Roman" w:hAnsi="Times New Roman"/>
          <w:b/>
          <w:sz w:val="20"/>
        </w:rPr>
      </w:pPr>
      <w:r>
        <w:rPr>
          <w:rFonts w:ascii="Times New Roman" w:hAnsi="Times New Roman"/>
          <w:b/>
          <w:sz w:val="20"/>
        </w:rPr>
        <w:t xml:space="preserve">Sales by Selling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 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 holders (including, but not limited to, persons who receive securities from a named selling security holder as a gift, partnership distribution or other non-sale-related transfer after the date of this prospectus) may also use this prospectus and are included when we refer to selling security holders in this prospectus. The selling security holders may sell the securities by one or more of the following methods,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(which may include cross trades) in which the broker or 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 or dealer as principal and resales by the broker or 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or secondary distribution in accordance with the rules of any stock exchange on which the securities may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offering at other than a fixed price on or through the facilities of any stock exchange on which the securities are listed or to or through a market-maker other than on that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directly or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on the securities, whether or the options are listed on an options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securities by any security holder to its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agreements between a broker or dealer and any security holder to sell a specified number of the securities at a stipulated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any of these methods of sale or distribution, or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security holders may also transfer the securities by gift.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selling security holders may engage brokers and dealers, and any brokers or dealers may arrange for other brokers or dealers to participate in effecting sales of the securities. These brokers, dealers or underwriters may act as principals, or as an agent of a selling security holder. Broker-dealers may agree with a selling security holder to sell a specified number of the securities at a stipulated price per share. If the broker-dealer is unable to sell securities acting as agent for a selling security holder, it may purchase as principal any unsold securities at the stipulated price. Broker-dealers who acquire securities as principals may thereafter resell the securities from time to time in transactions on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one or more of the selling security holders may pledge, hypothecate or grant a security interest in some or all of the securities owned by them. The pledgees, secured parties or persons to whom the securities have been hypothecated will, upon foreclosure in the event of default, be deemed to be selling security holders. The number of a selling security holders securities offered under this prospectus will decrease as and when it takes such actions. The plan of distribution for that selling security holders securities will otherwise remain unchanged. In addition, a selling security holder may, from time to time, sell the securities short, and, in those instances, this prospectus may be delivered in connection with the short sales and the securities offered under this prospectus may be used to cover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 holder may enter into hedging transactions with broker-dealers and the broker-dealers may engage in short sales of the securities in the course of hedging the positions they assume with that selling security holder, including, without limitation, in connection with distributions of the securities by those broker-dealers. A selling security holder may enter into option or other transactions with broker-dealers that involve the delivery of the securities offered hereby to the broker-dealers, who may then resell or otherwise transfer those securities. A selling security holder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 holders and any other person. The anti-manipulation rules under the Exchange Act may apply to sales of securities in the market and to the activities of the selling security 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agree to indemnify the selling security 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 holders may agree to indemnify us, the other selling security holders and any underwriter or other person who participates in the offering of the securities, against specified liabilities arising from information provided by the selling security 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 holders may agree to indemnify any brokers, dealers or agents who participate in transactions involving sales of the securities against specified liabilities arising under the federal securities laws in connection with the offering and sale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not receive any proceeds from sales of any securities by the 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security holders will sell all or any portion of the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We will supply the selling security holders and any stock exchange upon which the securities are listed with reasonable quantities of copies of this prospectus. To the extent required by Rule 424 under the Securities Act in connection with any resale or redistribution by a selling security holder, we will file a prospectus supplement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securities to be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names of any underwriter, dealer or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commissions, discounts, concessions, fees or other items constituting compensation to underwriters, dealers or agents with respect to the particular transaction (which may exceed customary commissions or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selling security 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 </w:t>
      </w:r>
    </w:p>
    <w:p>
      <w:pPr>
        <w:pStyle w:val="TextBody"/>
        <w:bidi w:val="0"/>
        <w:spacing w:before="480" w:after="0"/>
        <w:jc w:val="center"/>
        <w:rPr>
          <w:rFonts w:ascii="Times New Roman" w:hAnsi="Times New Roman"/>
          <w:b/>
          <w:sz w:val="20"/>
        </w:rPr>
      </w:pPr>
      <w:bookmarkStart w:id="22" w:name="tx755152_11"/>
      <w:bookmarkEnd w:id="2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 </w:t>
      </w:r>
    </w:p>
    <w:p>
      <w:pPr>
        <w:pStyle w:val="TextBody"/>
        <w:bidi w:val="0"/>
        <w:spacing w:before="480" w:after="0"/>
        <w:jc w:val="center"/>
        <w:rPr>
          <w:rFonts w:ascii="Times New Roman" w:hAnsi="Times New Roman"/>
          <w:b/>
          <w:sz w:val="20"/>
        </w:rPr>
      </w:pPr>
      <w:bookmarkStart w:id="23" w:name="tx755152_12"/>
      <w:bookmarkEnd w:id="2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before="480" w:after="0"/>
        <w:jc w:val="center"/>
        <w:rPr>
          <w:rFonts w:ascii="Times New Roman" w:hAnsi="Times New Roman"/>
          <w:b/>
          <w:sz w:val="20"/>
        </w:rPr>
      </w:pPr>
      <w:bookmarkStart w:id="24" w:name="tx755152_13"/>
      <w:bookmarkEnd w:id="2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We file annual, quarterly and current reports, proxy statements and other information with the SEC. Our SEC filings are available to the public at the SECs website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by us with the SEC under Sections 13(a), 13(c), 14, or 15(d) of the Exchange Act from the date of this prospectus until the termination of the offering of the securities described in this prospectus or the expiration of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12,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 on  </w:t>
            </w:r>
            <w:hyperlink r:id="rId5">
              <w:r>
                <w:rPr>
                  <w:rStyle w:val="InternetLink"/>
                  <w:rFonts w:ascii="Times New Roman" w:hAnsi="Times New Roman"/>
                  <w:sz w:val="20"/>
                </w:rPr>
                <w:t>Form 8-K</w:t>
              </w:r>
            </w:hyperlink>
            <w:r>
              <w:rPr>
                <w:rFonts w:ascii="Times New Roman" w:hAnsi="Times New Roman"/>
                <w:sz w:val="20"/>
              </w:rPr>
              <w:t xml:space="preserve"> filed with the SEC on January 11,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responsive to part III of our Annual Report on Form 10-K for the year ended December 31, 2022 provided in our definitive proxy statement on  </w:t>
            </w:r>
            <w:hyperlink r:id="rId6">
              <w:r>
                <w:rPr>
                  <w:rStyle w:val="InternetLink"/>
                  <w:rFonts w:ascii="Times New Roman" w:hAnsi="Times New Roman"/>
                  <w:sz w:val="20"/>
                </w:rPr>
                <w:t>Schedule 14A</w:t>
              </w:r>
            </w:hyperlink>
            <w:r>
              <w:rPr>
                <w:rFonts w:ascii="Times New Roman" w:hAnsi="Times New Roman"/>
                <w:sz w:val="20"/>
              </w:rPr>
              <w:t xml:space="preserve">, filed on March 24,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Description of the Companys common shares and Series C depositary shares contained in </w:t>
            </w:r>
            <w:hyperlink r:id="rId7">
              <w:r>
                <w:rPr>
                  <w:rStyle w:val="InternetLink"/>
                  <w:rFonts w:ascii="Times New Roman" w:hAnsi="Times New Roman"/>
                  <w:sz w:val="20"/>
                </w:rPr>
                <w:t>Exhibit 4.9</w:t>
              </w:r>
            </w:hyperlink>
            <w:r>
              <w:rPr>
                <w:rFonts w:ascii="Times New Roman" w:hAnsi="Times New Roman"/>
                <w:sz w:val="20"/>
              </w:rPr>
              <w:t xml:space="preserve"> to our Annual Report on Form 10-K filed with the SEC on February 12,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 </w:t>
      </w:r>
    </w:p>
    <w:p>
      <w:pPr>
        <w:pStyle w:val="TextBody"/>
        <w:bidi w:val="0"/>
        <w:spacing w:before="240" w:after="0"/>
        <w:jc w:val="left"/>
        <w:rPr>
          <w:rFonts w:ascii="Times New Roman" w:hAnsi="Times New Roman"/>
          <w:sz w:val="20"/>
        </w:rPr>
      </w:pPr>
      <w:r>
        <w:rPr>
          <w:rFonts w:ascii="Times New Roman" w:hAnsi="Times New Roman"/>
          <w:sz w:val="20"/>
        </w:rPr>
        <w:t>Copies of our SEC filings are available at no cost at our website, </w:t>
      </w:r>
      <w:r>
        <w:rPr>
          <w:rFonts w:ascii="Times New Roman" w:hAnsi="Times New Roman"/>
          <w:i/>
          <w:sz w:val="20"/>
        </w:rPr>
        <w:t>www.federalrealty.com</w:t>
      </w:r>
      <w:r>
        <w:rPr>
          <w:rFonts w:ascii="Times New Roman" w:hAnsi="Times New Roman"/>
          <w:sz w:val="20"/>
        </w:rPr>
        <w:t xml:space="preserve">.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Federal Realty Investment Trust </w:t>
      </w:r>
    </w:p>
    <w:p>
      <w:pPr>
        <w:pStyle w:val="TextBody"/>
        <w:bidi w:val="0"/>
        <w:spacing w:before="0" w:after="0"/>
        <w:jc w:val="left"/>
        <w:rPr>
          <w:rFonts w:ascii="Times New Roman" w:hAnsi="Times New Roman"/>
          <w:sz w:val="20"/>
        </w:rPr>
      </w:pPr>
      <w:r>
        <w:rPr>
          <w:rFonts w:ascii="Times New Roman" w:hAnsi="Times New Roman"/>
          <w:sz w:val="20"/>
        </w:rPr>
        <w:t xml:space="preserve">909 Rose Avenue </w:t>
      </w:r>
    </w:p>
    <w:p>
      <w:pPr>
        <w:pStyle w:val="TextBody"/>
        <w:bidi w:val="0"/>
        <w:spacing w:before="0" w:after="0"/>
        <w:jc w:val="left"/>
        <w:rPr>
          <w:rFonts w:ascii="Times New Roman" w:hAnsi="Times New Roman"/>
          <w:sz w:val="20"/>
        </w:rPr>
      </w:pPr>
      <w:r>
        <w:rPr>
          <w:rFonts w:ascii="Times New Roman" w:hAnsi="Times New Roman"/>
          <w:sz w:val="20"/>
        </w:rPr>
        <w:t xml:space="preserve">Suite 200 </w:t>
      </w:r>
    </w:p>
    <w:p>
      <w:pPr>
        <w:pStyle w:val="TextBody"/>
        <w:bidi w:val="0"/>
        <w:spacing w:before="0" w:after="0"/>
        <w:jc w:val="left"/>
        <w:rPr>
          <w:rFonts w:ascii="Times New Roman" w:hAnsi="Times New Roman"/>
          <w:sz w:val="20"/>
        </w:rPr>
      </w:pPr>
      <w:r>
        <w:rPr>
          <w:rFonts w:ascii="Times New Roman" w:hAnsi="Times New Roman"/>
          <w:sz w:val="20"/>
        </w:rPr>
        <w:t xml:space="preserve">North Bethesda, MD 20852 </w:t>
      </w:r>
    </w:p>
    <w:p>
      <w:pPr>
        <w:pStyle w:val="TextBody"/>
        <w:bidi w:val="0"/>
        <w:spacing w:before="0" w:after="0"/>
        <w:jc w:val="left"/>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(301) 998-8100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860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2486025" cy="7715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Federal Realty Investment Trust </w:t>
      </w:r>
    </w:p>
    <w:p>
      <w:pPr>
        <w:pStyle w:val="TextBody"/>
        <w:bidi w:val="0"/>
        <w:spacing w:before="480" w:after="0"/>
        <w:jc w:val="center"/>
        <w:rPr>
          <w:rFonts w:ascii="Times New Roman" w:hAnsi="Times New Roman"/>
          <w:b/>
          <w:sz w:val="28"/>
        </w:rPr>
      </w:pPr>
      <w:r>
        <w:rPr>
          <w:rFonts w:ascii="Times New Roman" w:hAnsi="Times New Roman"/>
          <w:b/>
          <w:sz w:val="28"/>
        </w:rPr>
        <w:t xml:space="preserve">729,246 Common Shares of Beneficial Interest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March 8,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right"/>
        <w:rPr>
          <w:rFonts w:ascii="Times New Roman" w:hAnsi="Times New Roman"/>
          <w:b/>
          <w:sz w:val="20"/>
        </w:rPr>
      </w:pPr>
      <w:bookmarkStart w:id="25" w:name="d605601dexfilingfees.htm"/>
      <w:bookmarkStart w:id="26" w:name="ksd605601dexfilingfees"/>
      <w:bookmarkEnd w:id="25"/>
      <w:bookmarkEnd w:id="26"/>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0" w:after="0"/>
        <w:jc w:val="center"/>
        <w:rPr>
          <w:rFonts w:ascii="Times New Roman" w:hAnsi="Times New Roman"/>
          <w:b/>
          <w:sz w:val="20"/>
        </w:rPr>
      </w:pPr>
      <w:r>
        <w:rPr>
          <w:rFonts w:ascii="Times New Roman" w:hAnsi="Times New Roman"/>
          <w:b/>
          <w:sz w:val="20"/>
        </w:rPr>
        <w:t xml:space="preserve">424(b)(7)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Federal Realty Investment Trust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Table 1: Newly Registered and Carry Forward Securities </w:t>
      </w:r>
    </w:p>
    <w:p>
      <w:pPr>
        <w:pStyle w:val="TextBody"/>
        <w:bidi w:val="0"/>
        <w:spacing w:before="0" w:after="0"/>
        <w:jc w:val="left"/>
        <w:rPr/>
      </w:pPr>
      <w:r>
        <w:rPr/>
        <w:t> </w:t>
      </w:r>
    </w:p>
    <w:tbl>
      <w:tblPr>
        <w:tblW w:w="13535" w:type="dxa"/>
        <w:jc w:val="center"/>
        <w:tblInd w:w="0" w:type="dxa"/>
        <w:tblLayout w:type="fixed"/>
        <w:tblCellMar>
          <w:top w:w="0" w:type="dxa"/>
          <w:left w:w="0" w:type="dxa"/>
          <w:bottom w:w="0" w:type="dxa"/>
          <w:right w:w="0" w:type="dxa"/>
        </w:tblCellMar>
      </w:tblPr>
      <w:tblGrid>
        <w:gridCol w:w="890"/>
        <w:gridCol w:w="60"/>
        <w:gridCol w:w="650"/>
        <w:gridCol w:w="60"/>
        <w:gridCol w:w="770"/>
        <w:gridCol w:w="60"/>
        <w:gridCol w:w="1100"/>
        <w:gridCol w:w="60"/>
        <w:gridCol w:w="1280"/>
        <w:gridCol w:w="60"/>
        <w:gridCol w:w="995"/>
        <w:gridCol w:w="60"/>
        <w:gridCol w:w="605"/>
        <w:gridCol w:w="60"/>
        <w:gridCol w:w="455"/>
        <w:gridCol w:w="60"/>
        <w:gridCol w:w="1160"/>
        <w:gridCol w:w="60"/>
        <w:gridCol w:w="830"/>
        <w:gridCol w:w="60"/>
        <w:gridCol w:w="1175"/>
        <w:gridCol w:w="60"/>
        <w:gridCol w:w="1535"/>
        <w:gridCol w:w="60"/>
        <w:gridCol w:w="1370"/>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20"/>
              <w:jc w:val="center"/>
              <w:rPr>
                <w:rFonts w:ascii="Times New Roman" w:hAnsi="Times New Roman"/>
                <w:sz w:val="14"/>
              </w:rPr>
            </w:pPr>
            <w:r>
              <w:rPr>
                <w:rFonts w:ascii="Times New Roman" w:hAnsi="Times New Roman"/>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Fee</w:t>
              <w:br/>
              <w:t>Calculation</w:t>
              <w:br/>
              <w:t>or</w:t>
              <w:br/>
              <w:t>Carry</w:t>
              <w:br/>
              <w:t>Forward</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Amount</w:t>
              <w:br/>
              <w:t>Registered (1)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Maximum</w:t>
            </w:r>
          </w:p>
          <w:p>
            <w:pPr>
              <w:pStyle w:val="TableContents"/>
              <w:bidi w:val="0"/>
              <w:spacing w:before="0" w:after="0"/>
              <w:jc w:val="center"/>
              <w:rPr>
                <w:rFonts w:ascii="Times New Roman" w:hAnsi="Times New Roman"/>
                <w:sz w:val="14"/>
              </w:rPr>
            </w:pPr>
            <w:r>
              <w:rPr>
                <w:rFonts w:ascii="Times New Roman" w:hAnsi="Times New Roman"/>
                <w:sz w:val="14"/>
              </w:rPr>
              <w:t>Aggregate</w:t>
            </w:r>
          </w:p>
          <w:p>
            <w:pPr>
              <w:pStyle w:val="TableContents"/>
              <w:bidi w:val="0"/>
              <w:spacing w:before="0" w:after="0"/>
              <w:jc w:val="center"/>
              <w:rPr>
                <w:rFonts w:ascii="Times New Roman" w:hAnsi="Times New Roman"/>
                <w:sz w:val="14"/>
              </w:rPr>
            </w:pPr>
            <w:r>
              <w:rPr>
                <w:rFonts w:ascii="Times New Roman" w:hAnsi="Times New Roman"/>
                <w:sz w:val="14"/>
              </w:rPr>
              <w:t>Offering</w:t>
            </w:r>
          </w:p>
          <w:p>
            <w:pPr>
              <w:pStyle w:val="TableContents"/>
              <w:bidi w:val="0"/>
              <w:spacing w:before="0" w:after="20"/>
              <w:jc w:val="center"/>
              <w:rPr>
                <w:rFonts w:ascii="Times New Roman" w:hAnsi="Times New Roman"/>
                <w:sz w:val="14"/>
              </w:rPr>
            </w:pPr>
            <w:r>
              <w:rPr>
                <w:rFonts w:ascii="Times New Roman" w:hAnsi="Times New Roman"/>
                <w:sz w:val="14"/>
              </w:rP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center"/>
              <w:rPr/>
            </w:pPr>
            <w:r>
              <w:rPr/>
              <w:t>Fee</w:t>
              <w:b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Amount of</w:t>
              <w:br/>
              <w:t>Registration</w:t>
              <w:br/>
              <w:t>Fee (2)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Carry</w:t>
              <w:br/>
              <w:t>Forward</w:t>
              <w:br/>
              <w:t>Form</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Carry</w:t>
            </w:r>
          </w:p>
          <w:p>
            <w:pPr>
              <w:pStyle w:val="TableContents"/>
              <w:bidi w:val="0"/>
              <w:spacing w:before="0" w:after="0"/>
              <w:jc w:val="center"/>
              <w:rPr>
                <w:rFonts w:ascii="Times New Roman" w:hAnsi="Times New Roman"/>
                <w:sz w:val="14"/>
              </w:rPr>
            </w:pPr>
            <w:r>
              <w:rPr>
                <w:rFonts w:ascii="Times New Roman" w:hAnsi="Times New Roman"/>
                <w:sz w:val="14"/>
              </w:rPr>
              <w:t>Forward</w:t>
            </w:r>
          </w:p>
          <w:p>
            <w:pPr>
              <w:pStyle w:val="TableContents"/>
              <w:bidi w:val="0"/>
              <w:spacing w:before="0" w:after="0"/>
              <w:jc w:val="center"/>
              <w:rPr>
                <w:rFonts w:ascii="Times New Roman" w:hAnsi="Times New Roman"/>
                <w:sz w:val="14"/>
              </w:rPr>
            </w:pPr>
            <w:r>
              <w:rPr>
                <w:rFonts w:ascii="Times New Roman" w:hAnsi="Times New Roman"/>
                <w:sz w:val="14"/>
              </w:rPr>
              <w:t>File</w:t>
            </w:r>
          </w:p>
          <w:p>
            <w:pPr>
              <w:pStyle w:val="TableContents"/>
              <w:bidi w:val="0"/>
              <w:spacing w:before="0" w:after="20"/>
              <w:jc w:val="center"/>
              <w:rPr>
                <w:rFonts w:ascii="Times New Roman" w:hAnsi="Times New Roman"/>
                <w:sz w:val="14"/>
              </w:rPr>
            </w:pPr>
            <w:r>
              <w:rPr>
                <w:rFonts w:ascii="Times New Roman" w:hAnsi="Times New Roman"/>
                <w:sz w:val="14"/>
              </w:rP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Carry</w:t>
            </w:r>
          </w:p>
          <w:p>
            <w:pPr>
              <w:pStyle w:val="TableContents"/>
              <w:bidi w:val="0"/>
              <w:spacing w:before="0" w:after="0"/>
              <w:jc w:val="center"/>
              <w:rPr>
                <w:rFonts w:ascii="Times New Roman" w:hAnsi="Times New Roman"/>
                <w:sz w:val="14"/>
              </w:rPr>
            </w:pPr>
            <w:r>
              <w:rPr>
                <w:rFonts w:ascii="Times New Roman" w:hAnsi="Times New Roman"/>
                <w:sz w:val="14"/>
              </w:rPr>
              <w:t>Forward</w:t>
            </w:r>
          </w:p>
          <w:p>
            <w:pPr>
              <w:pStyle w:val="TableContents"/>
              <w:bidi w:val="0"/>
              <w:spacing w:before="0" w:after="0"/>
              <w:jc w:val="center"/>
              <w:rPr>
                <w:rFonts w:ascii="Times New Roman" w:hAnsi="Times New Roman"/>
                <w:sz w:val="14"/>
              </w:rPr>
            </w:pPr>
            <w:r>
              <w:rPr>
                <w:rFonts w:ascii="Times New Roman" w:hAnsi="Times New Roman"/>
                <w:sz w:val="14"/>
              </w:rPr>
              <w:t>Initial</w:t>
            </w:r>
          </w:p>
          <w:p>
            <w:pPr>
              <w:pStyle w:val="TableContents"/>
              <w:bidi w:val="0"/>
              <w:spacing w:before="0" w:after="0"/>
              <w:jc w:val="center"/>
              <w:rPr>
                <w:rFonts w:ascii="Times New Roman" w:hAnsi="Times New Roman"/>
                <w:sz w:val="14"/>
              </w:rPr>
            </w:pPr>
            <w:r>
              <w:rPr>
                <w:rFonts w:ascii="Times New Roman" w:hAnsi="Times New Roman"/>
                <w:sz w:val="14"/>
              </w:rPr>
              <w:t>Effective</w:t>
            </w:r>
          </w:p>
          <w:p>
            <w:pPr>
              <w:pStyle w:val="TableContents"/>
              <w:bidi w:val="0"/>
              <w:spacing w:before="0" w:after="20"/>
              <w:jc w:val="center"/>
              <w:rPr>
                <w:rFonts w:ascii="Times New Roman" w:hAnsi="Times New Roman"/>
                <w:sz w:val="14"/>
              </w:rPr>
            </w:pPr>
            <w:r>
              <w:rPr>
                <w:rFonts w:ascii="Times New Roman" w:hAnsi="Times New Roman"/>
                <w:sz w:val="14"/>
              </w:rP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right w:val="single" w:sz="2" w:space="0" w:color="000000"/>
            </w:tcBorders>
            <w:tcMar>
              <w:right w:w="40"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Filing Fee</w:t>
              <w:br/>
              <w:t>Previously</w:t>
            </w:r>
          </w:p>
          <w:p>
            <w:pPr>
              <w:pStyle w:val="TableContents"/>
              <w:bidi w:val="0"/>
              <w:spacing w:before="0" w:after="0"/>
              <w:jc w:val="center"/>
              <w:rPr>
                <w:rFonts w:ascii="Times New Roman" w:hAnsi="Times New Roman"/>
                <w:sz w:val="14"/>
              </w:rPr>
            </w:pPr>
            <w:r>
              <w:rPr>
                <w:rFonts w:ascii="Times New Roman" w:hAnsi="Times New Roman"/>
                <w:sz w:val="14"/>
              </w:rPr>
              <w:t>Paid In</w:t>
              <w:br/>
              <w:t>Connection</w:t>
              <w:br/>
              <w:t>with</w:t>
            </w:r>
          </w:p>
          <w:p>
            <w:pPr>
              <w:pStyle w:val="TableContents"/>
              <w:bidi w:val="0"/>
              <w:spacing w:before="0" w:after="0"/>
              <w:jc w:val="center"/>
              <w:rPr>
                <w:rFonts w:ascii="Times New Roman" w:hAnsi="Times New Roman"/>
                <w:sz w:val="14"/>
              </w:rPr>
            </w:pPr>
            <w:r>
              <w:rPr>
                <w:rFonts w:ascii="Times New Roman" w:hAnsi="Times New Roman"/>
                <w:sz w:val="14"/>
              </w:rPr>
              <w:t>Unsold</w:t>
              <w:br/>
              <w:t>Securities</w:t>
            </w:r>
          </w:p>
          <w:p>
            <w:pPr>
              <w:pStyle w:val="TableContents"/>
              <w:bidi w:val="0"/>
              <w:spacing w:before="0" w:after="0"/>
              <w:jc w:val="center"/>
              <w:rPr>
                <w:rFonts w:ascii="Times New Roman" w:hAnsi="Times New Roman"/>
                <w:sz w:val="14"/>
              </w:rPr>
            </w:pPr>
            <w:r>
              <w:rPr>
                <w:rFonts w:ascii="Times New Roman" w:hAnsi="Times New Roman"/>
                <w:sz w:val="14"/>
              </w:rPr>
              <w:t>to be</w:t>
            </w:r>
          </w:p>
          <w:p>
            <w:pPr>
              <w:pStyle w:val="TableContents"/>
              <w:bidi w:val="0"/>
              <w:spacing w:before="0" w:after="20"/>
              <w:jc w:val="center"/>
              <w:rPr>
                <w:rFonts w:ascii="Times New Roman" w:hAnsi="Times New Roman"/>
                <w:sz w:val="14"/>
              </w:rPr>
            </w:pPr>
            <w:r>
              <w:rPr>
                <w:rFonts w:ascii="Times New Roman" w:hAnsi="Times New Roman"/>
                <w:sz w:val="14"/>
              </w:rPr>
              <w:t>Carried</w:t>
              <w:br/>
              <w:t>Forward</w:t>
            </w:r>
          </w:p>
        </w:tc>
      </w:tr>
      <w:tr>
        <w:trPr>
          <w:trHeight w:val="15" w:hRule="atLeast"/>
        </w:trPr>
        <w:tc>
          <w:tcPr>
            <w:tcW w:w="1353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3535"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pPr>
            <w:r>
              <w:rPr/>
              <w:t>Newly Registered Securities</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Fees to be</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Fees</w:t>
            </w:r>
          </w:p>
          <w:p>
            <w:pPr>
              <w:pStyle w:val="TableContents"/>
              <w:bidi w:val="0"/>
              <w:spacing w:before="0" w:after="0"/>
              <w:jc w:val="center"/>
              <w:rPr>
                <w:rFonts w:ascii="Times New Roman" w:hAnsi="Times New Roman"/>
                <w:sz w:val="20"/>
              </w:rPr>
            </w:pPr>
            <w:r>
              <w:rPr>
                <w:rFonts w:ascii="Times New Roman" w:hAnsi="Times New Roman"/>
                <w:sz w:val="20"/>
              </w:rPr>
              <w:t>Previously</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353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3535"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pPr>
            <w:r>
              <w:rPr/>
              <w:t>Carry Forward Securities</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Carry</w:t>
            </w:r>
          </w:p>
          <w:p>
            <w:pPr>
              <w:pStyle w:val="TableContents"/>
              <w:bidi w:val="0"/>
              <w:spacing w:before="0" w:after="0"/>
              <w:jc w:val="center"/>
              <w:rPr>
                <w:rFonts w:ascii="Times New Roman" w:hAnsi="Times New Roman"/>
                <w:sz w:val="20"/>
              </w:rPr>
            </w:pPr>
            <w:r>
              <w:rPr>
                <w:rFonts w:ascii="Times New Roman" w:hAnsi="Times New Roman"/>
                <w:sz w:val="20"/>
              </w:rPr>
              <w:t>Forward</w:t>
            </w:r>
          </w:p>
          <w:p>
            <w:pPr>
              <w:pStyle w:val="TableContents"/>
              <w:bidi w:val="0"/>
              <w:spacing w:before="0" w:after="20"/>
              <w:jc w:val="center"/>
              <w:rPr>
                <w:rFonts w:ascii="Times New Roman" w:hAnsi="Times New Roman"/>
                <w:sz w:val="20"/>
              </w:rPr>
            </w:pPr>
            <w:r>
              <w:rPr>
                <w:rFonts w:ascii="Times New Roman" w:hAnsi="Times New Roman"/>
                <w:sz w:val="20"/>
              </w:rPr>
              <w:t>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Common</w:t>
              <w:br/>
              <w:t>shares,</w:t>
            </w:r>
          </w:p>
          <w:p>
            <w:pPr>
              <w:pStyle w:val="TableContents"/>
              <w:bidi w:val="0"/>
              <w:spacing w:before="0" w:after="20"/>
              <w:jc w:val="center"/>
              <w:rPr>
                <w:rFonts w:ascii="Times New Roman" w:hAnsi="Times New Roman"/>
                <w:sz w:val="20"/>
              </w:rPr>
            </w:pPr>
            <w:r>
              <w:rPr>
                <w:rFonts w:ascii="Times New Roman" w:hAnsi="Times New Roman"/>
                <w:sz w:val="20"/>
              </w:rPr>
              <w:t>$.01 par value</w:t>
              <w:br/>
              <w:t>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415(a)(6)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729,246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S-3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333-261971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center"/>
              <w:rPr/>
            </w:pPr>
            <w:r>
              <w:rPr/>
              <w:t>January 3, 2022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right w:val="single" w:sz="2" w:space="0" w:color="000000"/>
            </w:tcBorders>
            <w:tcMar>
              <w:right w:w="40" w:type="dxa"/>
            </w:tcMar>
            <w:vAlign w:val="bottom"/>
          </w:tcPr>
          <w:p>
            <w:pPr>
              <w:pStyle w:val="TableContents"/>
              <w:bidi w:val="0"/>
              <w:spacing w:before="0" w:after="283"/>
              <w:jc w:val="center"/>
              <w:rPr/>
            </w:pPr>
            <w:r>
              <w:rPr/>
              <w:t>$19,038.42(2)</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4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3980" w:type="dxa"/>
            <w:gridSpan w:val="7"/>
            <w:tcBorders/>
            <w:vAlign w:val="bottom"/>
          </w:tcPr>
          <w:p>
            <w:pPr>
              <w:pStyle w:val="TableContents"/>
              <w:bidi w:val="0"/>
              <w:spacing w:before="0" w:after="283"/>
              <w:jc w:val="right"/>
              <w:rPr/>
            </w:pPr>
            <w:r>
              <w:rPr/>
              <w:t>Total Offering Amounts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4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3980" w:type="dxa"/>
            <w:gridSpan w:val="7"/>
            <w:tcBorders/>
            <w:vAlign w:val="bottom"/>
          </w:tcPr>
          <w:p>
            <w:pPr>
              <w:pStyle w:val="TableContents"/>
              <w:bidi w:val="0"/>
              <w:spacing w:before="0" w:after="283"/>
              <w:jc w:val="right"/>
              <w:rPr/>
            </w:pPr>
            <w:r>
              <w:rPr/>
              <w:t>Total Fees Previously Paid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4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3980" w:type="dxa"/>
            <w:gridSpan w:val="7"/>
            <w:tcBorders/>
            <w:vAlign w:val="bottom"/>
          </w:tcPr>
          <w:p>
            <w:pPr>
              <w:pStyle w:val="TableContents"/>
              <w:bidi w:val="0"/>
              <w:spacing w:before="0" w:after="283"/>
              <w:jc w:val="right"/>
              <w:rPr/>
            </w:pPr>
            <w:r>
              <w:rPr/>
              <w:t>Total Fee Offsets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4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980" w:type="dxa"/>
            <w:gridSpan w:val="7"/>
            <w:tcBorders>
              <w:bottom w:val="single" w:sz="2" w:space="0" w:color="000000"/>
            </w:tcBorders>
            <w:tcMar>
              <w:bottom w:w="28" w:type="dxa"/>
            </w:tcMar>
            <w:vAlign w:val="bottom"/>
          </w:tcPr>
          <w:p>
            <w:pPr>
              <w:pStyle w:val="TableContents"/>
              <w:bidi w:val="0"/>
              <w:spacing w:before="0" w:after="283"/>
              <w:jc w:val="right"/>
              <w:rPr/>
            </w:pPr>
            <w:r>
              <w:rPr/>
              <w:t>Net Fee Due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center"/>
              <w:rPr/>
            </w:pPr>
            <w:r>
              <w:rPr/>
              <w:t>(2)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7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416 of the Securities Act of 1933, as amended (the Securities Act), the Registrants common shares of beneficial interest, $.01 par value per share (Common Shares), offered hereby shall be deemed to cover additional securities to be issued to prevent dilution resulting from stock splits, stock dividends or similar transactions.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supplement includes only unsold securities that have been previously registered. Accordingly, there is no registration fee due in connection with this prospectus supplement.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Rule 415(a)(6) under the Securities Act, the securities registered pursuant to this prospectus supplement include 729,246 Common Shares that had been previously registered pursuant to the Registrants Registration Statement on Form S-3 filed on January 3, 2022 (File No. 333-261971) (the 2022 Registration Statement) and were not sold thereunder. </w:t>
      </w:r>
    </w:p>
    <w:p>
      <w:pPr>
        <w:pStyle w:val="TextBody"/>
        <w:bidi w:val="0"/>
        <w:spacing w:before="120" w:after="0"/>
        <w:jc w:val="left"/>
        <w:rPr>
          <w:rFonts w:ascii="Times New Roman" w:hAnsi="Times New Roman"/>
          <w:sz w:val="20"/>
        </w:rPr>
      </w:pPr>
      <w:r>
        <w:rPr>
          <w:rFonts w:ascii="Times New Roman" w:hAnsi="Times New Roman"/>
          <w:sz w:val="20"/>
        </w:rPr>
        <w:t xml:space="preserve">The registrants predecessor (the Predecessor) filed a Registration Statement on Form S-3 on April 19, 2007 (Registration No. 333-142231), registering 1,165,065 Common Shares and paying a filing fee of $3,258.42. Of the Common Shares registered thereunder, 582,722 Common Shares were unsold and carried forward pursuant to Rule 415(a)(6) to the Predecessors Registration Statement on Form S-3 filed on April 14, 2010 (Registration No. 333-166060). Subsequently, 268,420 Common Shares unsold thereunder were carried forward pursuant to Rule 415(a)(6) to the Predecessors Registration Statement on Form S-3 filed on April 12, 2013 (Registration No. 333-187882) (the 2013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4, 2014, the Predecessor filed a Registration Statement on Form S-3 (Registration No. 333-199850) (the 2014 Registration Statement), registering 632,033 Common Shares and paying a filing fee of $9,688. </w:t>
      </w:r>
    </w:p>
    <w:p>
      <w:pPr>
        <w:pStyle w:val="TextBody"/>
        <w:bidi w:val="0"/>
        <w:spacing w:before="120" w:after="0"/>
        <w:jc w:val="left"/>
        <w:rPr>
          <w:rFonts w:ascii="Times New Roman" w:hAnsi="Times New Roman"/>
          <w:sz w:val="20"/>
        </w:rPr>
      </w:pPr>
      <w:r>
        <w:rPr>
          <w:rFonts w:ascii="Times New Roman" w:hAnsi="Times New Roman"/>
          <w:sz w:val="20"/>
        </w:rPr>
        <w:t xml:space="preserve">On May 12, 2015, the Predecessor filed a Registration Statement on Form S-3 (Registration No. 333-204103), which carried forward pursuant to Rule 415(a)(6) 819,126 Common Shares that remained unsold under the 2013 Registration Statement and the 2014 Registration Statement, in addition to registering 98,472 previously unregistered Common Shares and paying a filing fee of $1,456. Of the Common Shares registered thereunder, 738,940 Common Shares were unsold and carried forward pursuant to Rule 415(a)(6) to the Predecessors Registration Statement on Form S-3 filed on May 3, 2017 (Registration No. 333-217607), in addition to 174,542 previously unregistered Common Shares, for which the Predecessor paid a filing fee of $2,661. Of the Common Shares registered thereunder, 848,390 were unsold and carried forward pursuant to Rule 415(a)(6) to the Predecessors Registration Statement on Form S-3 filed on May 9, 2018 (Registration No. 333-224087) (the 2018 Registration Statement). On May 7, 2021, the Predecessor filed a Registration Statement on Form S-3 (Registration No. 333-288871) (the 2021 Registration Statement), which registered 834,091 Common Shares, resulting in a total filing fee of $10,083. Of such Common Shares, 670,769 Common Shares were those that remained unsold under the 2018 Registration Statement, for which the Predecessor claimed a fee offset under Rule 457(p) of $8,108, resulting in a net filing fee payable of $1,975. On January 3, 2022 the Registrant filed the 2022 Registration Statement, which registered 799,623 Common Shares, consisting entirely of unsold Common Shares that had been registered on the 2021 Registration Statement, for which the Registrant claimed a fee offset under Rule 457(p). </w:t>
      </w:r>
    </w:p>
    <w:p>
      <w:pPr>
        <w:pStyle w:val="TextBody"/>
        <w:bidi w:val="0"/>
        <w:spacing w:before="120" w:after="0"/>
        <w:jc w:val="left"/>
        <w:rPr>
          <w:rFonts w:ascii="Times New Roman" w:hAnsi="Times New Roman"/>
          <w:sz w:val="20"/>
        </w:rPr>
      </w:pPr>
      <w:r>
        <w:rPr>
          <w:rFonts w:ascii="Times New Roman" w:hAnsi="Times New Roman"/>
          <w:sz w:val="20"/>
        </w:rPr>
        <w:t xml:space="preserve">The aggregate filing fees paid in connection with the Registration Statements listed above, totaling $19,038.42, will be applied to the securities registered pursuant to this prospectus supplement, which, as stated above, consist entirely of unsold securities that have been previously registered. Pursuant to Rule 415(a)(6), the offerings of the unsold securities registered under the 2022 Registration Statement are deemed terminated as of the date of this prospectus supplement.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34903/000003490324000032/frt-20231231.htm" TargetMode="External"/><Relationship Id="rId5" Type="http://schemas.openxmlformats.org/officeDocument/2006/relationships/hyperlink" Target="http://www.sec.gov/Archives/edgar/data/../../../ix?doc=/Archives/edgar/data/34903/000119312524006607/d712379d8k.htm" TargetMode="External"/><Relationship Id="rId6" Type="http://schemas.openxmlformats.org/officeDocument/2006/relationships/hyperlink" Target="http://www.sec.gov/Archives/edgar/data/../../../ix?doc=/Archives/edgar/data/34903/000119312523078574/d396603ddef14a.htm" TargetMode="External"/><Relationship Id="rId7" Type="http://schemas.openxmlformats.org/officeDocument/2006/relationships/hyperlink" Target="http://www.sec.gov/Archives/edgar/data/34903/000003490324000032/frt-12312023xex49.htm"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52660</Words>
  <Characters>267368</Characters>
  <CharactersWithSpaces>320866</CharactersWithSpaces>
  <Paragraphs>4354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