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20, 2005</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-17780</wp:posOffset>
            </wp:positionV>
            <wp:extent cx="334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tbl>
      <w:tblPr>
        <w:tblLayout w:type="fixed"/>
        <w:tblInd w:w="980" w:type="dxa"/>
        <w:tblCellMar>
          <w:top w:w="0" w:type="dxa"/>
          <w:left w:w="0" w:type="dxa"/>
          <w:bottom w:w="0" w:type="dxa"/>
          <w:right w:w="0" w:type="dxa"/>
        </w:tblCellMar>
      </w:tblPr>
      <w:tr>
        <w:trPr>
          <w:trHeight w:val="174"/>
        </w:trPr>
        <w:tc>
          <w:tcPr>
            <w:tcW w:w="9320" w:type="dxa"/>
            <w:vAlign w:val="bottom"/>
            <w:gridSpan w:val="3"/>
          </w:tcPr>
          <w:p>
            <w:pPr>
              <w:ind w:left="318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49"/>
        </w:trPr>
        <w:tc>
          <w:tcPr>
            <w:tcW w:w="3760" w:type="dxa"/>
            <w:vAlign w:val="bottom"/>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3600" w:type="dxa"/>
            <w:vAlign w:val="bottom"/>
          </w:tcPr>
          <w:p>
            <w:pPr>
              <w:spacing w:after="0"/>
              <w:rPr>
                <w:sz w:val="12"/>
                <w:szCs w:val="12"/>
                <w:color w:val="auto"/>
              </w:rPr>
            </w:pPr>
          </w:p>
        </w:tc>
      </w:tr>
      <w:tr>
        <w:trPr>
          <w:trHeight w:val="372"/>
        </w:trPr>
        <w:tc>
          <w:tcPr>
            <w:tcW w:w="5720" w:type="dxa"/>
            <w:vAlign w:val="bottom"/>
            <w:gridSpan w:val="2"/>
          </w:tcPr>
          <w:p>
            <w:pPr>
              <w:jc w:val="center"/>
              <w:ind w:right="1960"/>
              <w:spacing w:after="0"/>
              <w:rPr>
                <w:sz w:val="20"/>
                <w:szCs w:val="20"/>
                <w:color w:val="auto"/>
              </w:rPr>
            </w:pPr>
            <w:r>
              <w:rPr>
                <w:rFonts w:ascii="Arial" w:cs="Arial" w:eastAsia="Arial" w:hAnsi="Arial"/>
                <w:sz w:val="18"/>
                <w:szCs w:val="18"/>
                <w:b w:val="1"/>
                <w:bCs w:val="1"/>
                <w:color w:val="auto"/>
                <w:w w:val="96"/>
              </w:rPr>
              <w:t>Maryland</w:t>
            </w:r>
          </w:p>
        </w:tc>
        <w:tc>
          <w:tcPr>
            <w:tcW w:w="3600" w:type="dxa"/>
            <w:vAlign w:val="bottom"/>
          </w:tcPr>
          <w:p>
            <w:pPr>
              <w:jc w:val="right"/>
              <w:ind w:right="1119"/>
              <w:spacing w:after="0"/>
              <w:rPr>
                <w:sz w:val="20"/>
                <w:szCs w:val="20"/>
                <w:color w:val="auto"/>
              </w:rPr>
            </w:pPr>
            <w:r>
              <w:rPr>
                <w:rFonts w:ascii="Arial" w:cs="Arial" w:eastAsia="Arial" w:hAnsi="Arial"/>
                <w:sz w:val="18"/>
                <w:szCs w:val="18"/>
                <w:b w:val="1"/>
                <w:bCs w:val="1"/>
                <w:color w:val="auto"/>
              </w:rPr>
              <w:t>52-0782497</w:t>
            </w:r>
          </w:p>
        </w:tc>
      </w:tr>
      <w:tr>
        <w:trPr>
          <w:trHeight w:val="149"/>
        </w:trPr>
        <w:tc>
          <w:tcPr>
            <w:tcW w:w="5720" w:type="dxa"/>
            <w:vAlign w:val="bottom"/>
            <w:gridSpan w:val="2"/>
          </w:tcPr>
          <w:p>
            <w:pPr>
              <w:jc w:val="center"/>
              <w:ind w:right="19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600" w:type="dxa"/>
            <w:vAlign w:val="bottom"/>
          </w:tcPr>
          <w:p>
            <w:pPr>
              <w:jc w:val="center"/>
              <w:ind w:left="299"/>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72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89"/>
              </w:rPr>
              <w:t>Incorporation or Organization)</w:t>
            </w:r>
          </w:p>
        </w:tc>
        <w:tc>
          <w:tcPr>
            <w:tcW w:w="3600" w:type="dxa"/>
            <w:vAlign w:val="bottom"/>
          </w:tcPr>
          <w:p>
            <w:pPr>
              <w:jc w:val="center"/>
              <w:ind w:left="299"/>
              <w:spacing w:after="0"/>
              <w:rPr>
                <w:sz w:val="20"/>
                <w:szCs w:val="20"/>
                <w:color w:val="auto"/>
              </w:rPr>
            </w:pPr>
            <w:r>
              <w:rPr>
                <w:rFonts w:ascii="Arial" w:cs="Arial" w:eastAsia="Arial" w:hAnsi="Arial"/>
                <w:sz w:val="14"/>
                <w:szCs w:val="14"/>
                <w:b w:val="1"/>
                <w:bCs w:val="1"/>
                <w:color w:val="auto"/>
                <w:w w:val="90"/>
              </w:rPr>
              <w:t>Identification Number)</w:t>
            </w:r>
          </w:p>
        </w:tc>
      </w:tr>
      <w:tr>
        <w:trPr>
          <w:trHeight w:val="351"/>
        </w:trPr>
        <w:tc>
          <w:tcPr>
            <w:tcW w:w="3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00" w:type="dxa"/>
            <w:vAlign w:val="bottom"/>
          </w:tcPr>
          <w:p>
            <w:pPr>
              <w:jc w:val="center"/>
              <w:ind w:left="299"/>
              <w:spacing w:after="0"/>
              <w:rPr>
                <w:sz w:val="20"/>
                <w:szCs w:val="20"/>
                <w:color w:val="auto"/>
              </w:rPr>
            </w:pPr>
            <w:r>
              <w:rPr>
                <w:rFonts w:ascii="Arial" w:cs="Arial" w:eastAsia="Arial" w:hAnsi="Arial"/>
                <w:sz w:val="18"/>
                <w:szCs w:val="18"/>
                <w:b w:val="1"/>
                <w:bCs w:val="1"/>
                <w:color w:val="auto"/>
                <w:w w:val="91"/>
              </w:rPr>
              <w:t>Dawn M. Becker</w:t>
            </w:r>
          </w:p>
        </w:tc>
      </w:tr>
      <w:tr>
        <w:trPr>
          <w:trHeight w:val="216"/>
        </w:trPr>
        <w:tc>
          <w:tcPr>
            <w:tcW w:w="3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0" w:type="dxa"/>
            <w:vAlign w:val="bottom"/>
          </w:tcPr>
          <w:p>
            <w:pPr>
              <w:jc w:val="center"/>
              <w:ind w:left="279"/>
              <w:spacing w:after="0"/>
              <w:rPr>
                <w:sz w:val="20"/>
                <w:szCs w:val="20"/>
                <w:color w:val="auto"/>
              </w:rPr>
            </w:pPr>
            <w:r>
              <w:rPr>
                <w:rFonts w:ascii="Arial" w:cs="Arial" w:eastAsia="Arial" w:hAnsi="Arial"/>
                <w:sz w:val="18"/>
                <w:szCs w:val="18"/>
                <w:b w:val="1"/>
                <w:bCs w:val="1"/>
                <w:color w:val="auto"/>
                <w:w w:val="87"/>
              </w:rPr>
              <w:t>Executive Vice President, General Counsel,</w:t>
            </w:r>
          </w:p>
        </w:tc>
      </w:tr>
      <w:tr>
        <w:trPr>
          <w:trHeight w:val="216"/>
        </w:trPr>
        <w:tc>
          <w:tcPr>
            <w:tcW w:w="3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0" w:type="dxa"/>
            <w:vAlign w:val="bottom"/>
          </w:tcPr>
          <w:p>
            <w:pPr>
              <w:jc w:val="center"/>
              <w:ind w:left="279"/>
              <w:spacing w:after="0"/>
              <w:rPr>
                <w:sz w:val="20"/>
                <w:szCs w:val="20"/>
                <w:color w:val="auto"/>
              </w:rPr>
            </w:pPr>
            <w:r>
              <w:rPr>
                <w:rFonts w:ascii="Arial" w:cs="Arial" w:eastAsia="Arial" w:hAnsi="Arial"/>
                <w:sz w:val="18"/>
                <w:szCs w:val="18"/>
                <w:b w:val="1"/>
                <w:bCs w:val="1"/>
                <w:color w:val="auto"/>
                <w:w w:val="87"/>
              </w:rPr>
              <w:t>Secretary</w:t>
            </w:r>
          </w:p>
        </w:tc>
      </w:tr>
      <w:tr>
        <w:trPr>
          <w:trHeight w:val="216"/>
        </w:trPr>
        <w:tc>
          <w:tcPr>
            <w:tcW w:w="3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0" w:type="dxa"/>
            <w:vAlign w:val="bottom"/>
          </w:tcPr>
          <w:p>
            <w:pPr>
              <w:jc w:val="center"/>
              <w:ind w:left="279"/>
              <w:spacing w:after="0"/>
              <w:rPr>
                <w:sz w:val="20"/>
                <w:szCs w:val="20"/>
                <w:color w:val="auto"/>
              </w:rPr>
            </w:pPr>
            <w:r>
              <w:rPr>
                <w:rFonts w:ascii="Arial" w:cs="Arial" w:eastAsia="Arial" w:hAnsi="Arial"/>
                <w:sz w:val="18"/>
                <w:szCs w:val="18"/>
                <w:b w:val="1"/>
                <w:bCs w:val="1"/>
                <w:color w:val="auto"/>
                <w:w w:val="89"/>
              </w:rPr>
              <w:t>Federal Realty Investment Trust</w:t>
            </w:r>
          </w:p>
        </w:tc>
      </w:tr>
      <w:tr>
        <w:trPr>
          <w:trHeight w:val="216"/>
        </w:trPr>
        <w:tc>
          <w:tcPr>
            <w:tcW w:w="5720" w:type="dxa"/>
            <w:vAlign w:val="bottom"/>
            <w:gridSpan w:val="2"/>
          </w:tcPr>
          <w:p>
            <w:pPr>
              <w:jc w:val="center"/>
              <w:ind w:right="1960"/>
              <w:spacing w:after="0"/>
              <w:rPr>
                <w:sz w:val="20"/>
                <w:szCs w:val="20"/>
                <w:color w:val="auto"/>
              </w:rPr>
            </w:pPr>
            <w:r>
              <w:rPr>
                <w:rFonts w:ascii="Arial" w:cs="Arial" w:eastAsia="Arial" w:hAnsi="Arial"/>
                <w:sz w:val="18"/>
                <w:szCs w:val="18"/>
                <w:b w:val="1"/>
                <w:bCs w:val="1"/>
                <w:color w:val="auto"/>
                <w:w w:val="87"/>
              </w:rPr>
              <w:t>1626 East Jefferson Street</w:t>
            </w:r>
          </w:p>
        </w:tc>
        <w:tc>
          <w:tcPr>
            <w:tcW w:w="3600" w:type="dxa"/>
            <w:vAlign w:val="bottom"/>
          </w:tcPr>
          <w:p>
            <w:pPr>
              <w:jc w:val="center"/>
              <w:ind w:left="279"/>
              <w:spacing w:after="0"/>
              <w:rPr>
                <w:sz w:val="20"/>
                <w:szCs w:val="20"/>
                <w:color w:val="auto"/>
              </w:rPr>
            </w:pPr>
            <w:r>
              <w:rPr>
                <w:rFonts w:ascii="Arial" w:cs="Arial" w:eastAsia="Arial" w:hAnsi="Arial"/>
                <w:sz w:val="18"/>
                <w:szCs w:val="18"/>
                <w:b w:val="1"/>
                <w:bCs w:val="1"/>
                <w:color w:val="auto"/>
                <w:w w:val="87"/>
              </w:rPr>
              <w:t>1626 East Jefferson Street</w:t>
            </w:r>
          </w:p>
        </w:tc>
      </w:tr>
      <w:tr>
        <w:trPr>
          <w:trHeight w:val="216"/>
        </w:trPr>
        <w:tc>
          <w:tcPr>
            <w:tcW w:w="5720" w:type="dxa"/>
            <w:vAlign w:val="bottom"/>
            <w:gridSpan w:val="2"/>
          </w:tcPr>
          <w:p>
            <w:pPr>
              <w:jc w:val="center"/>
              <w:ind w:right="1940"/>
              <w:spacing w:after="0"/>
              <w:rPr>
                <w:sz w:val="20"/>
                <w:szCs w:val="20"/>
                <w:color w:val="auto"/>
              </w:rPr>
            </w:pPr>
            <w:r>
              <w:rPr>
                <w:rFonts w:ascii="Arial" w:cs="Arial" w:eastAsia="Arial" w:hAnsi="Arial"/>
                <w:sz w:val="18"/>
                <w:szCs w:val="18"/>
                <w:b w:val="1"/>
                <w:bCs w:val="1"/>
                <w:color w:val="auto"/>
                <w:w w:val="90"/>
              </w:rPr>
              <w:t>Rockville, Maryland 20852</w:t>
            </w:r>
          </w:p>
        </w:tc>
        <w:tc>
          <w:tcPr>
            <w:tcW w:w="3600" w:type="dxa"/>
            <w:vAlign w:val="bottom"/>
          </w:tcPr>
          <w:p>
            <w:pPr>
              <w:jc w:val="center"/>
              <w:ind w:left="299"/>
              <w:spacing w:after="0"/>
              <w:rPr>
                <w:sz w:val="20"/>
                <w:szCs w:val="20"/>
                <w:color w:val="auto"/>
              </w:rPr>
            </w:pPr>
            <w:r>
              <w:rPr>
                <w:rFonts w:ascii="Arial" w:cs="Arial" w:eastAsia="Arial" w:hAnsi="Arial"/>
                <w:sz w:val="18"/>
                <w:szCs w:val="18"/>
                <w:b w:val="1"/>
                <w:bCs w:val="1"/>
                <w:color w:val="auto"/>
                <w:w w:val="90"/>
              </w:rPr>
              <w:t>Rockville, Maryland 20852</w:t>
            </w:r>
          </w:p>
        </w:tc>
      </w:tr>
      <w:tr>
        <w:trPr>
          <w:trHeight w:val="228"/>
        </w:trPr>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9"/>
              </w:rPr>
              <w:t>(301) 998-8100</w:t>
            </w:r>
          </w:p>
        </w:tc>
        <w:tc>
          <w:tcPr>
            <w:tcW w:w="1960" w:type="dxa"/>
            <w:vAlign w:val="bottom"/>
          </w:tcPr>
          <w:p>
            <w:pPr>
              <w:spacing w:after="0"/>
              <w:rPr>
                <w:sz w:val="19"/>
                <w:szCs w:val="19"/>
                <w:color w:val="auto"/>
              </w:rPr>
            </w:pPr>
          </w:p>
        </w:tc>
        <w:tc>
          <w:tcPr>
            <w:tcW w:w="3600" w:type="dxa"/>
            <w:vAlign w:val="bottom"/>
          </w:tcPr>
          <w:p>
            <w:pPr>
              <w:jc w:val="right"/>
              <w:ind w:right="979"/>
              <w:spacing w:after="0"/>
              <w:rPr>
                <w:sz w:val="20"/>
                <w:szCs w:val="20"/>
                <w:color w:val="auto"/>
              </w:rPr>
            </w:pPr>
            <w:r>
              <w:rPr>
                <w:rFonts w:ascii="Arial" w:cs="Arial" w:eastAsia="Arial" w:hAnsi="Arial"/>
                <w:sz w:val="18"/>
                <w:szCs w:val="18"/>
                <w:b w:val="1"/>
                <w:bCs w:val="1"/>
                <w:color w:val="auto"/>
              </w:rPr>
              <w:t>(301) 998-8100</w:t>
            </w:r>
          </w:p>
        </w:tc>
      </w:tr>
      <w:tr>
        <w:trPr>
          <w:trHeight w:val="151"/>
        </w:trPr>
        <w:tc>
          <w:tcPr>
            <w:tcW w:w="5720" w:type="dxa"/>
            <w:vAlign w:val="bottom"/>
            <w:gridSpan w:val="2"/>
          </w:tcPr>
          <w:p>
            <w:pPr>
              <w:jc w:val="center"/>
              <w:ind w:right="1960"/>
              <w:spacing w:after="0" w:line="151" w:lineRule="exact"/>
              <w:rPr>
                <w:sz w:val="20"/>
                <w:szCs w:val="20"/>
                <w:color w:val="auto"/>
              </w:rPr>
            </w:pPr>
            <w:r>
              <w:rPr>
                <w:rFonts w:ascii="Arial" w:cs="Arial" w:eastAsia="Arial" w:hAnsi="Arial"/>
                <w:sz w:val="14"/>
                <w:szCs w:val="14"/>
                <w:b w:val="1"/>
                <w:bCs w:val="1"/>
                <w:color w:val="auto"/>
                <w:w w:val="87"/>
              </w:rPr>
              <w:t>(Address, Including Zip Code, and Telephone Number,</w:t>
            </w:r>
          </w:p>
        </w:tc>
        <w:tc>
          <w:tcPr>
            <w:tcW w:w="3600" w:type="dxa"/>
            <w:vAlign w:val="bottom"/>
          </w:tcPr>
          <w:p>
            <w:pPr>
              <w:jc w:val="center"/>
              <w:ind w:left="299"/>
              <w:spacing w:after="0" w:line="151" w:lineRule="exact"/>
              <w:rPr>
                <w:sz w:val="20"/>
                <w:szCs w:val="20"/>
                <w:color w:val="auto"/>
              </w:rPr>
            </w:pPr>
            <w:r>
              <w:rPr>
                <w:rFonts w:ascii="Arial" w:cs="Arial" w:eastAsia="Arial" w:hAnsi="Arial"/>
                <w:sz w:val="14"/>
                <w:szCs w:val="14"/>
                <w:b w:val="1"/>
                <w:bCs w:val="1"/>
                <w:color w:val="auto"/>
                <w:w w:val="87"/>
              </w:rPr>
              <w:t>(Name, Address, Including Zip Code, and Telephone</w:t>
            </w:r>
          </w:p>
        </w:tc>
      </w:tr>
      <w:tr>
        <w:trPr>
          <w:trHeight w:val="174"/>
        </w:trPr>
        <w:tc>
          <w:tcPr>
            <w:tcW w:w="572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w w:val="87"/>
              </w:rPr>
              <w:t>Including Area Code, of Registrant’s Principal Executive Offices)</w:t>
            </w:r>
          </w:p>
        </w:tc>
        <w:tc>
          <w:tcPr>
            <w:tcW w:w="3600" w:type="dxa"/>
            <w:vAlign w:val="bottom"/>
          </w:tcPr>
          <w:p>
            <w:pPr>
              <w:jc w:val="center"/>
              <w:ind w:left="279"/>
              <w:spacing w:after="0"/>
              <w:rPr>
                <w:sz w:val="20"/>
                <w:szCs w:val="20"/>
                <w:color w:val="auto"/>
              </w:rPr>
            </w:pPr>
            <w:r>
              <w:rPr>
                <w:rFonts w:ascii="Arial" w:cs="Arial" w:eastAsia="Arial" w:hAnsi="Arial"/>
                <w:sz w:val="14"/>
                <w:szCs w:val="14"/>
                <w:b w:val="1"/>
                <w:bCs w:val="1"/>
                <w:color w:val="auto"/>
                <w:w w:val="87"/>
              </w:rPr>
              <w:t>Number, Including Area Code, of Agent for Service)</w:t>
            </w:r>
          </w:p>
        </w:tc>
      </w:tr>
    </w:tbl>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Sylvia M. Mahaffey,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2300 N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118745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7" w:lineRule="exact"/>
        <w:rPr>
          <w:sz w:val="24"/>
          <w:szCs w:val="24"/>
          <w:color w:val="auto"/>
        </w:rPr>
      </w:pPr>
    </w:p>
    <w:p>
      <w:pPr>
        <w:ind w:left="460" w:right="80"/>
        <w:spacing w:after="0" w:line="303" w:lineRule="exact"/>
        <w:rPr>
          <w:sz w:val="20"/>
          <w:szCs w:val="20"/>
          <w:color w:val="auto"/>
        </w:rPr>
      </w:pPr>
      <w:r>
        <w:rPr>
          <w:rFonts w:ascii="Arial" w:cs="Arial" w:eastAsia="Arial" w:hAnsi="Arial"/>
          <w:sz w:val="16"/>
          <w:szCs w:val="16"/>
          <w:color w:val="auto"/>
        </w:rPr>
        <w:t xml:space="preserve">Approximate date the registrant proposes to begin selling securities to the public: From time to time after the effective date of this registration statement. 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24" w:lineRule="exact"/>
        <w:rPr>
          <w:sz w:val="24"/>
          <w:szCs w:val="24"/>
          <w:color w:val="auto"/>
        </w:rPr>
      </w:pPr>
    </w:p>
    <w:p>
      <w:pPr>
        <w:ind w:right="34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in connection with dividend or interest reinvestment plans, check the following box. </w:t>
      </w:r>
      <w:r>
        <w:rPr>
          <w:rFonts w:ascii="MS PGothic" w:cs="MS PGothic" w:eastAsia="MS PGothic" w:hAnsi="MS PGothic"/>
          <w:sz w:val="16"/>
          <w:szCs w:val="16"/>
          <w:color w:val="auto"/>
        </w:rPr>
        <w:t>☒</w:t>
      </w:r>
    </w:p>
    <w:p>
      <w:pPr>
        <w:spacing w:after="0" w:line="122" w:lineRule="exact"/>
        <w:rPr>
          <w:sz w:val="24"/>
          <w:szCs w:val="24"/>
          <w:color w:val="auto"/>
        </w:rPr>
      </w:pPr>
    </w:p>
    <w:p>
      <w:pPr>
        <w:ind w:right="8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24" w:lineRule="exact"/>
        <w:rPr>
          <w:sz w:val="24"/>
          <w:szCs w:val="24"/>
          <w:color w:val="auto"/>
        </w:rPr>
      </w:pPr>
    </w:p>
    <w:p>
      <w:pPr>
        <w:ind w:right="56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91"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143510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jc w:val="center"/>
              <w:ind w:right="607"/>
              <w:spacing w:after="0"/>
              <w:rPr>
                <w:sz w:val="20"/>
                <w:szCs w:val="20"/>
                <w:color w:val="auto"/>
              </w:rPr>
            </w:pPr>
            <w:r>
              <w:rPr>
                <w:rFonts w:ascii="Arial" w:cs="Arial" w:eastAsia="Arial" w:hAnsi="Arial"/>
                <w:sz w:val="14"/>
                <w:szCs w:val="14"/>
                <w:b w:val="1"/>
                <w:bCs w:val="1"/>
                <w:color w:val="auto"/>
                <w:w w:val="83"/>
              </w:rPr>
              <w:t>Proposed</w:t>
            </w:r>
          </w:p>
        </w:tc>
        <w:tc>
          <w:tcPr>
            <w:tcW w:w="1760" w:type="dxa"/>
            <w:vAlign w:val="bottom"/>
          </w:tcPr>
          <w:p>
            <w:pPr>
              <w:jc w:val="center"/>
              <w:ind w:right="128"/>
              <w:spacing w:after="0"/>
              <w:rPr>
                <w:sz w:val="20"/>
                <w:szCs w:val="20"/>
                <w:color w:val="auto"/>
              </w:rPr>
            </w:pPr>
            <w:r>
              <w:rPr>
                <w:rFonts w:ascii="Arial" w:cs="Arial" w:eastAsia="Arial" w:hAnsi="Arial"/>
                <w:sz w:val="14"/>
                <w:szCs w:val="14"/>
                <w:b w:val="1"/>
                <w:bCs w:val="1"/>
                <w:color w:val="auto"/>
                <w:w w:val="80"/>
              </w:rPr>
              <w:t>Proposed</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vMerge w:val="restart"/>
          </w:tcPr>
          <w:p>
            <w:pPr>
              <w:jc w:val="center"/>
              <w:ind w:right="206"/>
              <w:spacing w:after="0"/>
              <w:rPr>
                <w:sz w:val="20"/>
                <w:szCs w:val="20"/>
                <w:color w:val="auto"/>
              </w:rPr>
            </w:pPr>
            <w:r>
              <w:rPr>
                <w:rFonts w:ascii="Arial" w:cs="Arial" w:eastAsia="Arial" w:hAnsi="Arial"/>
                <w:sz w:val="14"/>
                <w:szCs w:val="14"/>
                <w:b w:val="1"/>
                <w:bCs w:val="1"/>
                <w:color w:val="auto"/>
                <w:w w:val="86"/>
              </w:rPr>
              <w:t>Title of Each Class of</w:t>
            </w:r>
          </w:p>
        </w:tc>
        <w:tc>
          <w:tcPr>
            <w:tcW w:w="1540" w:type="dxa"/>
            <w:vAlign w:val="bottom"/>
          </w:tcPr>
          <w:p>
            <w:pPr>
              <w:jc w:val="center"/>
              <w:ind w:left="47"/>
              <w:spacing w:after="0" w:line="149" w:lineRule="exact"/>
              <w:rPr>
                <w:sz w:val="20"/>
                <w:szCs w:val="20"/>
                <w:color w:val="auto"/>
              </w:rPr>
            </w:pPr>
            <w:r>
              <w:rPr>
                <w:rFonts w:ascii="Arial" w:cs="Arial" w:eastAsia="Arial" w:hAnsi="Arial"/>
                <w:sz w:val="14"/>
                <w:szCs w:val="14"/>
                <w:b w:val="1"/>
                <w:bCs w:val="1"/>
                <w:color w:val="auto"/>
                <w:w w:val="86"/>
              </w:rPr>
              <w:t>Amount</w:t>
            </w:r>
          </w:p>
        </w:tc>
        <w:tc>
          <w:tcPr>
            <w:tcW w:w="500" w:type="dxa"/>
            <w:vAlign w:val="bottom"/>
          </w:tcPr>
          <w:p>
            <w:pPr>
              <w:spacing w:after="0"/>
              <w:rPr>
                <w:sz w:val="12"/>
                <w:szCs w:val="12"/>
                <w:color w:val="auto"/>
              </w:rPr>
            </w:pPr>
          </w:p>
        </w:tc>
        <w:tc>
          <w:tcPr>
            <w:tcW w:w="1300" w:type="dxa"/>
            <w:vAlign w:val="bottom"/>
          </w:tcPr>
          <w:p>
            <w:pPr>
              <w:jc w:val="center"/>
              <w:ind w:right="587"/>
              <w:spacing w:after="0" w:line="149" w:lineRule="exact"/>
              <w:rPr>
                <w:sz w:val="20"/>
                <w:szCs w:val="20"/>
                <w:color w:val="auto"/>
              </w:rPr>
            </w:pPr>
            <w:r>
              <w:rPr>
                <w:rFonts w:ascii="Arial" w:cs="Arial" w:eastAsia="Arial" w:hAnsi="Arial"/>
                <w:sz w:val="14"/>
                <w:szCs w:val="14"/>
                <w:b w:val="1"/>
                <w:bCs w:val="1"/>
                <w:color w:val="auto"/>
                <w:w w:val="92"/>
              </w:rPr>
              <w:t>Maximum</w:t>
            </w:r>
          </w:p>
        </w:tc>
        <w:tc>
          <w:tcPr>
            <w:tcW w:w="17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2"/>
              </w:rPr>
              <w:t>Maximum</w:t>
            </w:r>
          </w:p>
        </w:tc>
        <w:tc>
          <w:tcPr>
            <w:tcW w:w="1100" w:type="dxa"/>
            <w:vAlign w:val="bottom"/>
            <w:gridSpan w:val="2"/>
          </w:tcPr>
          <w:p>
            <w:pPr>
              <w:jc w:val="center"/>
              <w:ind w:left="287"/>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20" w:type="dxa"/>
            <w:vAlign w:val="bottom"/>
            <w:vMerge w:val="continue"/>
          </w:tcPr>
          <w:p>
            <w:pPr>
              <w:spacing w:after="0"/>
              <w:rPr>
                <w:sz w:val="11"/>
                <w:szCs w:val="11"/>
                <w:color w:val="auto"/>
              </w:rPr>
            </w:pPr>
          </w:p>
        </w:tc>
        <w:tc>
          <w:tcPr>
            <w:tcW w:w="1540" w:type="dxa"/>
            <w:vAlign w:val="bottom"/>
          </w:tcPr>
          <w:p>
            <w:pPr>
              <w:jc w:val="center"/>
              <w:ind w:left="47"/>
              <w:spacing w:after="0" w:line="135" w:lineRule="exact"/>
              <w:rPr>
                <w:sz w:val="20"/>
                <w:szCs w:val="20"/>
                <w:color w:val="auto"/>
              </w:rPr>
            </w:pPr>
            <w:r>
              <w:rPr>
                <w:rFonts w:ascii="Arial" w:cs="Arial" w:eastAsia="Arial" w:hAnsi="Arial"/>
                <w:sz w:val="14"/>
                <w:szCs w:val="14"/>
                <w:b w:val="1"/>
                <w:bCs w:val="1"/>
                <w:color w:val="auto"/>
                <w:w w:val="87"/>
              </w:rPr>
              <w:t>To Be</w:t>
            </w:r>
          </w:p>
        </w:tc>
        <w:tc>
          <w:tcPr>
            <w:tcW w:w="1800" w:type="dxa"/>
            <w:vAlign w:val="bottom"/>
            <w:gridSpan w:val="2"/>
          </w:tcPr>
          <w:p>
            <w:pPr>
              <w:jc w:val="center"/>
              <w:ind w:right="87"/>
              <w:spacing w:after="0" w:line="135" w:lineRule="exact"/>
              <w:rPr>
                <w:sz w:val="20"/>
                <w:szCs w:val="20"/>
                <w:color w:val="auto"/>
              </w:rPr>
            </w:pPr>
            <w:r>
              <w:rPr>
                <w:rFonts w:ascii="Arial" w:cs="Arial" w:eastAsia="Arial" w:hAnsi="Arial"/>
                <w:sz w:val="14"/>
                <w:szCs w:val="14"/>
                <w:b w:val="1"/>
                <w:bCs w:val="1"/>
                <w:color w:val="auto"/>
                <w:w w:val="90"/>
              </w:rPr>
              <w:t>Offering Price</w:t>
            </w:r>
          </w:p>
        </w:tc>
        <w:tc>
          <w:tcPr>
            <w:tcW w:w="17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w w:val="86"/>
              </w:rPr>
              <w:t>Aggregate</w:t>
            </w:r>
          </w:p>
        </w:tc>
        <w:tc>
          <w:tcPr>
            <w:tcW w:w="1100" w:type="dxa"/>
            <w:vAlign w:val="bottom"/>
            <w:gridSpan w:val="2"/>
          </w:tcPr>
          <w:p>
            <w:pPr>
              <w:jc w:val="center"/>
              <w:ind w:left="267"/>
              <w:spacing w:after="0" w:line="135" w:lineRule="exact"/>
              <w:rPr>
                <w:sz w:val="20"/>
                <w:szCs w:val="20"/>
                <w:color w:val="auto"/>
              </w:rPr>
            </w:pPr>
            <w:r>
              <w:rPr>
                <w:rFonts w:ascii="Arial" w:cs="Arial" w:eastAsia="Arial" w:hAnsi="Arial"/>
                <w:sz w:val="14"/>
                <w:szCs w:val="14"/>
                <w:b w:val="1"/>
                <w:bCs w:val="1"/>
                <w:color w:val="auto"/>
                <w:w w:val="88"/>
              </w:rPr>
              <w:t>Registration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20" w:type="dxa"/>
            <w:vAlign w:val="bottom"/>
          </w:tcPr>
          <w:p>
            <w:pPr>
              <w:jc w:val="center"/>
              <w:ind w:right="206"/>
              <w:spacing w:after="0"/>
              <w:rPr>
                <w:sz w:val="20"/>
                <w:szCs w:val="20"/>
                <w:color w:val="auto"/>
              </w:rPr>
            </w:pPr>
            <w:r>
              <w:rPr>
                <w:rFonts w:ascii="Arial" w:cs="Arial" w:eastAsia="Arial" w:hAnsi="Arial"/>
                <w:sz w:val="14"/>
                <w:szCs w:val="14"/>
                <w:b w:val="1"/>
                <w:bCs w:val="1"/>
                <w:color w:val="auto"/>
                <w:w w:val="84"/>
              </w:rPr>
              <w:t>Securities To Be Registered</w:t>
            </w:r>
          </w:p>
        </w:tc>
        <w:tc>
          <w:tcPr>
            <w:tcW w:w="1540" w:type="dxa"/>
            <w:vAlign w:val="bottom"/>
          </w:tcPr>
          <w:p>
            <w:pPr>
              <w:jc w:val="center"/>
              <w:ind w:left="47"/>
              <w:spacing w:after="0"/>
              <w:rPr>
                <w:sz w:val="20"/>
                <w:szCs w:val="20"/>
                <w:color w:val="auto"/>
              </w:rPr>
            </w:pPr>
            <w:r>
              <w:rPr>
                <w:rFonts w:ascii="Arial" w:cs="Arial" w:eastAsia="Arial" w:hAnsi="Arial"/>
                <w:sz w:val="14"/>
                <w:szCs w:val="14"/>
                <w:b w:val="1"/>
                <w:bCs w:val="1"/>
                <w:color w:val="auto"/>
                <w:w w:val="85"/>
              </w:rPr>
              <w:t>Registered</w:t>
            </w:r>
          </w:p>
        </w:tc>
        <w:tc>
          <w:tcPr>
            <w:tcW w:w="500" w:type="dxa"/>
            <w:vAlign w:val="bottom"/>
          </w:tcPr>
          <w:p>
            <w:pPr>
              <w:spacing w:after="0"/>
              <w:rPr>
                <w:sz w:val="15"/>
                <w:szCs w:val="15"/>
                <w:color w:val="auto"/>
              </w:rPr>
            </w:pPr>
          </w:p>
        </w:tc>
        <w:tc>
          <w:tcPr>
            <w:tcW w:w="1300" w:type="dxa"/>
            <w:vAlign w:val="bottom"/>
          </w:tcPr>
          <w:p>
            <w:pPr>
              <w:jc w:val="center"/>
              <w:ind w:right="587"/>
              <w:spacing w:after="0"/>
              <w:rPr>
                <w:sz w:val="20"/>
                <w:szCs w:val="20"/>
                <w:color w:val="auto"/>
              </w:rPr>
            </w:pPr>
            <w:r>
              <w:rPr>
                <w:rFonts w:ascii="Arial" w:cs="Arial" w:eastAsia="Arial" w:hAnsi="Arial"/>
                <w:sz w:val="14"/>
                <w:szCs w:val="14"/>
                <w:b w:val="1"/>
                <w:bCs w:val="1"/>
                <w:color w:val="auto"/>
                <w:w w:val="89"/>
              </w:rPr>
              <w:t>Per Unit</w:t>
            </w:r>
          </w:p>
        </w:tc>
        <w:tc>
          <w:tcPr>
            <w:tcW w:w="1760" w:type="dxa"/>
            <w:vAlign w:val="bottom"/>
          </w:tcPr>
          <w:p>
            <w:pPr>
              <w:jc w:val="center"/>
              <w:ind w:right="128"/>
              <w:spacing w:after="0"/>
              <w:rPr>
                <w:sz w:val="20"/>
                <w:szCs w:val="20"/>
                <w:color w:val="auto"/>
              </w:rPr>
            </w:pPr>
            <w:r>
              <w:rPr>
                <w:rFonts w:ascii="Arial" w:cs="Arial" w:eastAsia="Arial" w:hAnsi="Arial"/>
                <w:sz w:val="14"/>
                <w:szCs w:val="14"/>
                <w:b w:val="1"/>
                <w:bCs w:val="1"/>
                <w:color w:val="auto"/>
                <w:w w:val="90"/>
              </w:rPr>
              <w:t>Offering Price</w:t>
            </w:r>
          </w:p>
        </w:tc>
        <w:tc>
          <w:tcPr>
            <w:tcW w:w="1100" w:type="dxa"/>
            <w:vAlign w:val="bottom"/>
            <w:gridSpan w:val="2"/>
          </w:tcPr>
          <w:p>
            <w:pPr>
              <w:jc w:val="center"/>
              <w:ind w:left="267"/>
              <w:spacing w:after="0"/>
              <w:rPr>
                <w:sz w:val="20"/>
                <w:szCs w:val="20"/>
                <w:color w:val="auto"/>
              </w:rPr>
            </w:pPr>
            <w:r>
              <w:rPr>
                <w:rFonts w:ascii="Arial" w:cs="Arial" w:eastAsia="Arial" w:hAnsi="Arial"/>
                <w:sz w:val="14"/>
                <w:szCs w:val="14"/>
                <w:b w:val="1"/>
                <w:bCs w:val="1"/>
                <w:color w:val="auto"/>
                <w:w w:val="82"/>
              </w:rPr>
              <w:t>Fee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Common Shares of Beneficial Interest, par value $.01 per share (1)</w:t>
            </w:r>
          </w:p>
        </w:tc>
        <w:tc>
          <w:tcPr>
            <w:tcW w:w="1540" w:type="dxa"/>
            <w:vAlign w:val="bottom"/>
            <w:tcBorders>
              <w:top w:val="single" w:sz="8" w:color="auto"/>
            </w:tcBorders>
          </w:tcPr>
          <w:p>
            <w:pPr>
              <w:jc w:val="right"/>
              <w:ind w:right="327"/>
              <w:spacing w:after="0"/>
              <w:rPr>
                <w:sz w:val="20"/>
                <w:szCs w:val="20"/>
                <w:color w:val="auto"/>
              </w:rPr>
            </w:pPr>
            <w:r>
              <w:rPr>
                <w:rFonts w:ascii="Arial" w:cs="Arial" w:eastAsia="Arial" w:hAnsi="Arial"/>
                <w:sz w:val="18"/>
                <w:szCs w:val="18"/>
                <w:color w:val="auto"/>
              </w:rPr>
              <w:t>190,000</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287"/>
              <w:spacing w:after="0"/>
              <w:rPr>
                <w:sz w:val="20"/>
                <w:szCs w:val="20"/>
                <w:color w:val="auto"/>
              </w:rPr>
            </w:pPr>
            <w:r>
              <w:rPr>
                <w:rFonts w:ascii="Arial" w:cs="Arial" w:eastAsia="Arial" w:hAnsi="Arial"/>
                <w:sz w:val="18"/>
                <w:szCs w:val="18"/>
                <w:color w:val="auto"/>
              </w:rPr>
              <w:t>49.74 (2)</w:t>
            </w:r>
          </w:p>
        </w:tc>
        <w:tc>
          <w:tcPr>
            <w:tcW w:w="1760" w:type="dxa"/>
            <w:vAlign w:val="bottom"/>
            <w:tcBorders>
              <w:top w:val="single" w:sz="8" w:color="auto"/>
            </w:tcBorders>
          </w:tcPr>
          <w:p>
            <w:pPr>
              <w:jc w:val="right"/>
              <w:ind w:right="268"/>
              <w:spacing w:after="0"/>
              <w:rPr>
                <w:sz w:val="20"/>
                <w:szCs w:val="20"/>
                <w:color w:val="auto"/>
              </w:rPr>
            </w:pPr>
            <w:r>
              <w:rPr>
                <w:rFonts w:ascii="Arial" w:cs="Arial" w:eastAsia="Arial" w:hAnsi="Arial"/>
                <w:sz w:val="18"/>
                <w:szCs w:val="18"/>
                <w:color w:val="auto"/>
              </w:rPr>
              <w:t>$9,450,600 (2)</w:t>
            </w:r>
          </w:p>
        </w:tc>
        <w:tc>
          <w:tcPr>
            <w:tcW w:w="1080" w:type="dxa"/>
            <w:vAlign w:val="bottom"/>
            <w:tcBorders>
              <w:top w:val="single" w:sz="8" w:color="auto"/>
            </w:tcBorders>
          </w:tcPr>
          <w:p>
            <w:pPr>
              <w:jc w:val="center"/>
              <w:ind w:left="287"/>
              <w:spacing w:after="0"/>
              <w:rPr>
                <w:sz w:val="20"/>
                <w:szCs w:val="20"/>
                <w:color w:val="auto"/>
              </w:rPr>
            </w:pPr>
            <w:r>
              <w:rPr>
                <w:rFonts w:ascii="Arial" w:cs="Arial" w:eastAsia="Arial" w:hAnsi="Arial"/>
                <w:sz w:val="18"/>
                <w:szCs w:val="18"/>
                <w:color w:val="auto"/>
                <w:w w:val="84"/>
              </w:rPr>
              <w:t>$ 1,112.34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auto"/>
            </w:tcBorders>
          </w:tcPr>
          <w:p>
            <w:pPr>
              <w:spacing w:after="0"/>
              <w:rPr>
                <w:sz w:val="10"/>
                <w:szCs w:val="10"/>
                <w:color w:val="auto"/>
              </w:rPr>
            </w:pPr>
          </w:p>
        </w:tc>
        <w:tc>
          <w:tcPr>
            <w:tcW w:w="52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44"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associated rights to purchase common shares of beneficial interest of the registrant.</w:t>
      </w:r>
    </w:p>
    <w:p>
      <w:pPr>
        <w:spacing w:after="0" w:line="76"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purposes of calculating the registration fee pursuant to Rule 457(c) under the Securities Act of 1933 and based upon prices on the New York Stock Exchange on April 15, 2005.</w:t>
      </w:r>
    </w:p>
    <w:p>
      <w:pPr>
        <w:spacing w:after="0" w:line="118" w:lineRule="exact"/>
        <w:rPr>
          <w:sz w:val="24"/>
          <w:szCs w:val="24"/>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56"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b w:val="1"/>
          <w:bCs w:val="1"/>
          <w:color w:val="DE1A1E"/>
        </w:rPr>
        <w:t>The information in this prospectus is not complete and may be changed. The selling shareholder identified herein may not sell the securities covered by this prospectus until the Securities and Exchange Commission declares the registration statement of which this prospectus is a part effective. This prospectus is not an offer to sell these securities and it is not soliciting an offer to buy these securities in any state where such an offer or sale is not permitted.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Subject to Completion, Dated April 20,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[LOGO]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FEDERAL REALTY INVESTMENT TRUST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Shares of Beneficial Interest</w:t>
      </w:r>
    </w:p>
    <w:p>
      <w:pPr>
        <w:spacing w:after="0" w:line="17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person listed herein, who is a shareholder of Federal Realty Investment Trust, may offer and sell from time to time up to 190,000 common shares of beneficial interest under this prospectus. We refer to such person as the selling shareholder. We are registering the offered shares as required under the terms of a registration rights agreement between the selling shareholder and us. Our registration of the offered shares does not mean that the selling shareholder will offer or sell any of the offered shares. We will receive no proceeds of any sales of the offered shares by the selling shareholder, but we will incur expenses in connection with the offering.</w:t>
      </w:r>
    </w:p>
    <w:p>
      <w:pPr>
        <w:spacing w:after="0" w:line="12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selling shareholder may sell the offered shares in public or private transactions, on or off the New York Stock Exchange, at prevailing market prices or at privately negotiated prices. The selling shareholder may sell the offered shares directly or through agents or broker-dealers acting as principal or agent, or in a distribution by underwriters.</w:t>
      </w:r>
    </w:p>
    <w:p>
      <w:pPr>
        <w:spacing w:after="0" w:line="127" w:lineRule="exact"/>
        <w:rPr>
          <w:sz w:val="20"/>
          <w:szCs w:val="20"/>
          <w:color w:val="auto"/>
        </w:rPr>
      </w:pPr>
    </w:p>
    <w:p>
      <w:pPr>
        <w:ind w:left="460" w:right="4440"/>
        <w:spacing w:after="0" w:line="450" w:lineRule="auto"/>
        <w:rPr>
          <w:rFonts w:ascii="Arial" w:cs="Arial" w:eastAsia="Arial" w:hAnsi="Arial"/>
          <w:sz w:val="16"/>
          <w:szCs w:val="16"/>
          <w:color w:val="auto"/>
        </w:rPr>
      </w:pPr>
      <w:r>
        <w:rPr>
          <w:rFonts w:ascii="Arial" w:cs="Arial" w:eastAsia="Arial" w:hAnsi="Arial"/>
          <w:sz w:val="16"/>
          <w:szCs w:val="16"/>
          <w:color w:val="auto"/>
        </w:rPr>
        <w:t xml:space="preserve">Our common shares are listed on the New York Stock Exchange under the symbol “FRT.” Investing in our common shares involves risks. See </w:t>
      </w:r>
      <w:r>
        <w:rPr>
          <w:rFonts w:ascii="Arial" w:cs="Arial" w:eastAsia="Arial" w:hAnsi="Arial"/>
          <w:sz w:val="19"/>
          <w:szCs w:val="19"/>
          <w:color w:val="auto"/>
        </w:rPr>
        <w:t>“</w:t>
      </w:r>
      <w:r>
        <w:rPr>
          <w:rFonts w:ascii="Arial" w:cs="Arial" w:eastAsia="Arial" w:hAnsi="Arial"/>
          <w:sz w:val="16"/>
          <w:szCs w:val="16"/>
          <w:color w:val="auto"/>
        </w:rPr>
        <w:t xml:space="preserve"> </w:t>
      </w:r>
      <w:hyperlink w:anchor="page6">
        <w:r>
          <w:rPr>
            <w:rFonts w:ascii="Arial" w:cs="Arial" w:eastAsia="Arial" w:hAnsi="Arial"/>
            <w:sz w:val="19"/>
            <w:szCs w:val="19"/>
            <w:u w:val="single" w:color="auto"/>
            <w:color w:val="0000EE"/>
          </w:rPr>
          <w:t>Risk Factors</w:t>
        </w:r>
      </w:hyperlink>
      <w:r>
        <w:rPr>
          <w:rFonts w:ascii="Arial" w:cs="Arial" w:eastAsia="Arial" w:hAnsi="Arial"/>
          <w:sz w:val="19"/>
          <w:szCs w:val="19"/>
          <w:color w:val="auto"/>
        </w:rPr>
        <w:t>”</w:t>
      </w:r>
      <w:r>
        <w:rPr>
          <w:rFonts w:ascii="Arial" w:cs="Arial" w:eastAsia="Arial" w:hAnsi="Arial"/>
          <w:sz w:val="16"/>
          <w:szCs w:val="16"/>
          <w:color w:val="auto"/>
        </w:rPr>
        <w:t xml:space="preserve"> beginning on page 4.</w:t>
      </w:r>
    </w:p>
    <w:p>
      <w:pPr>
        <w:spacing w:after="0" w:line="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offered shares, or determined if this prospectus is truthful or complete. Any representation to the contrary is a criminal offense.</w:t>
      </w:r>
    </w:p>
    <w:p>
      <w:pPr>
        <w:spacing w:after="0" w:line="95" w:lineRule="exact"/>
        <w:rPr>
          <w:sz w:val="20"/>
          <w:szCs w:val="20"/>
          <w:color w:val="auto"/>
        </w:rPr>
      </w:pPr>
    </w:p>
    <w:tbl>
      <w:tblPr>
        <w:tblLayout w:type="fixed"/>
        <w:tblInd w:w="364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Arial" w:cs="Arial" w:eastAsia="Arial" w:hAnsi="Arial"/>
                <w:sz w:val="18"/>
                <w:szCs w:val="18"/>
                <w:b w:val="1"/>
                <w:bCs w:val="1"/>
                <w:color w:val="auto"/>
                <w:w w:val="86"/>
              </w:rPr>
              <w:t>The date of this prospectus is</w:t>
            </w:r>
          </w:p>
        </w:tc>
        <w:tc>
          <w:tcPr>
            <w:tcW w:w="8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 2005.</w:t>
            </w:r>
          </w:p>
        </w:tc>
      </w:tr>
    </w:tbl>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20" w:type="dxa"/>
            <w:vAlign w:val="bottom"/>
            <w:gridSpan w:val="2"/>
          </w:tcPr>
          <w:p>
            <w:pPr>
              <w:jc w:val="right"/>
              <w:ind w:right="4692"/>
              <w:spacing w:after="0"/>
              <w:rPr>
                <w:sz w:val="20"/>
                <w:szCs w:val="20"/>
                <w:color w:val="auto"/>
              </w:rPr>
            </w:pPr>
            <w:r>
              <w:rPr>
                <w:rFonts w:ascii="Arial" w:cs="Arial" w:eastAsia="Arial" w:hAnsi="Arial"/>
                <w:sz w:val="18"/>
                <w:szCs w:val="18"/>
                <w:b w:val="1"/>
                <w:bCs w:val="1"/>
                <w:color w:val="auto"/>
              </w:rPr>
              <w:t>TABLE OF CONTENTS</w:t>
            </w:r>
          </w:p>
        </w:tc>
      </w:tr>
      <w:tr>
        <w:trPr>
          <w:trHeight w:val="3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9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420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72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4200" w:type="dxa"/>
            <w:vAlign w:val="bottom"/>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Disclosure Regarding Forward-Looking Statements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36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The Trust</w:t>
              </w:r>
            </w:hyperlink>
          </w:p>
        </w:tc>
        <w:tc>
          <w:tcPr>
            <w:tcW w:w="560" w:type="dxa"/>
            <w:vAlign w:val="bottom"/>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3300" w:type="dxa"/>
            <w:vAlign w:val="bottom"/>
            <w:gridSpan w:val="8"/>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200" w:type="dxa"/>
            <w:vAlign w:val="bottom"/>
            <w:gridSpan w:val="1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Use of Proceeds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14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Selling Shareholder</w:t>
              </w:r>
            </w:hyperlink>
          </w:p>
        </w:tc>
        <w:tc>
          <w:tcPr>
            <w:tcW w:w="2800" w:type="dxa"/>
            <w:vAlign w:val="bottom"/>
            <w:gridSpan w:val="5"/>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4200" w:type="dxa"/>
            <w:vAlign w:val="bottom"/>
            <w:gridSpan w:val="1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Federal Income Tax Considerations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5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Plan of Distribution</w:t>
              </w:r>
            </w:hyperlink>
          </w:p>
        </w:tc>
        <w:tc>
          <w:tcPr>
            <w:tcW w:w="1700" w:type="dxa"/>
            <w:vAlign w:val="bottom"/>
            <w:gridSpan w:val="3"/>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Experts</w:t>
              </w:r>
            </w:hyperlink>
          </w:p>
        </w:tc>
        <w:tc>
          <w:tcPr>
            <w:tcW w:w="2800" w:type="dxa"/>
            <w:vAlign w:val="bottom"/>
            <w:gridSpan w:val="5"/>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4200" w:type="dxa"/>
            <w:vAlign w:val="bottom"/>
            <w:gridSpan w:val="1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980" w:type="dxa"/>
            <w:vAlign w:val="bottom"/>
            <w:gridSpan w:val="4"/>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r>
      <w:tr>
        <w:trPr>
          <w:trHeight w:val="196"/>
        </w:trPr>
        <w:tc>
          <w:tcPr>
            <w:tcW w:w="4200" w:type="dxa"/>
            <w:vAlign w:val="bottom"/>
            <w:gridSpan w:val="1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Where You Can Find More Information</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prospectus is part of a registration statement on Form S-3 that we filed with the Commission under the Securities Act of 1933. This prospectus and any accompanying prospectus supplement do not contain all of the information included in the registration statement. For further information, we refer you to the registration statement, including its exhibits. Statements contained in this prospectus and any accompanying prospectus supplement about the provisions or contents of any agreement or other document are not necessarily complete. If the Commission’s rules and regulations require that such agreement or document be filed as an exhibit to the registration statement, please see that agreement or document for a complete description of these matters. You should not assume that the information in this prospectus or any prospectus supplement is accurate as of any date other than the date on the front of each document.</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This prospectus provides you with a general description of the offered shares. Each time the selling shareholder sells any of the offered shares, the selling shareholder will provide you with this prospectus and a prospectus supplement, if applicable, that will contain specific information about the terms of that offering. The prospectus supplement may also add, update or change any information contained in this prospectus. You should read both this prospectus and any prospectus supplement together with additional information described under the heading “Where You Can Find More Information.”</w:t>
      </w:r>
    </w:p>
    <w:p>
      <w:pPr>
        <w:spacing w:after="0" w:line="9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used in this prospectus, references to “we,” “our,” the “Trust” and “Federal Realty” and similar references are to Federal Realty Investment Trust, a Maryland real estate investment trust and its consolidated subsidiaries. As used in this prospectus, references to the “selling shareholder” and similar references are to the person listed herein, who is a shareholder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Investment Trust and who may offer and sell from time to time up to 190,000 common shares of beneficial interest under this prospectus.</w:t>
      </w:r>
    </w:p>
    <w:p>
      <w:pPr>
        <w:spacing w:after="0" w:line="17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6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Some statements made in this prospectus and the documents incorporated herein by reference contain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the results of operations or plans expressed or implied by such forward-looking statements. Given these uncertainties, we caution you not to place undue reliance on any forward-looking statements that we make, including those in this prospectus. Such factors include, but are not limited to, the risk factors described below, and include the following:</w:t>
      </w:r>
    </w:p>
    <w:p>
      <w:pPr>
        <w:spacing w:after="0" w:line="21"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103"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joint venture partnership;</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fail to perform as expected,</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that new acquisitions may fail to perform as expected,</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environmental issues may develop risks at our properties and result in unanticipated costs, and</w:t>
      </w:r>
    </w:p>
    <w:p>
      <w:pPr>
        <w:spacing w:after="0" w:line="103" w:lineRule="exact"/>
        <w:rPr>
          <w:rFonts w:ascii="Arial" w:cs="Arial" w:eastAsia="Arial" w:hAnsi="Arial"/>
          <w:sz w:val="18"/>
          <w:szCs w:val="18"/>
          <w:color w:val="auto"/>
        </w:rPr>
      </w:pPr>
    </w:p>
    <w:p>
      <w:pPr>
        <w:ind w:left="1360" w:hanging="555"/>
        <w:spacing w:after="0"/>
        <w:tabs>
          <w:tab w:leader="none" w:pos="1360" w:val="left"/>
        </w:tabs>
        <w:numPr>
          <w:ilvl w:val="1"/>
          <w:numId w:val="2"/>
        </w:numPr>
        <w:rPr>
          <w:rFonts w:ascii="Arial" w:cs="Arial" w:eastAsia="Arial" w:hAnsi="Arial"/>
          <w:sz w:val="18"/>
          <w:szCs w:val="18"/>
          <w:color w:val="auto"/>
        </w:rPr>
      </w:pPr>
      <w:r>
        <w:rPr>
          <w:rFonts w:ascii="Arial" w:cs="Arial" w:eastAsia="Arial" w:hAnsi="Arial"/>
          <w:sz w:val="18"/>
          <w:szCs w:val="18"/>
          <w:color w:val="auto"/>
        </w:rPr>
        <w:t>because real estate is illiquid, that we may not be able to sell properties when appropriate;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03"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and the possibility of increases in interest rates that would result in increased interest expense; and</w:t>
      </w:r>
    </w:p>
    <w:p>
      <w:pPr>
        <w:spacing w:after="0" w:line="90" w:lineRule="exact"/>
        <w:rPr>
          <w:sz w:val="20"/>
          <w:szCs w:val="20"/>
          <w:color w:val="auto"/>
        </w:rPr>
      </w:pPr>
    </w:p>
    <w:p>
      <w:pPr>
        <w:ind w:left="900" w:right="4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identify forward-looking statements in this prospectus and other materials filed or to be filed by us with the Securities and Exchange Commission, or the Commission, and incorporated by reference into this prospectus by using words or phrases such as “anticipate,” “believe,” “estimate,” “expect,” “intend,” “may be,” “objective,” “plan,” “predict,” “project” and “will be” and similar words or phrases, or the negatives thereof or other similar variations thereof or comparable terminology. Except as may be required by law, we make no promise to update any of the forward-looking statements as a result of new information, future events, or otherwise.</w:t>
      </w:r>
    </w:p>
    <w:p>
      <w:pPr>
        <w:spacing w:after="0" w:line="1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TRUST</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an equity real estate investment trust specializing in the ownership, management, development and redevelopment of high quality retail and mixed-use properties. As of December 31, 2004, we owned or had a majority interest in 106 community and neighborhood shopping centers and retail mixed-use properties comprising approximately 16.9 million square feet, located primarily in densely populated and affluent communities throughout the Northeast and Mid-Atlantic United States, as well as California, and one apartment complex in Maryland. In total, these 106 commercial properties were 95.1% leased at December 31, 2004, 94.2% leased at June 30, 2004, 93.1% leased at December 31, 2003 and 93.1% leased at June 30, 2003. A joint venture in which we own a 30% interest owned four neighborhood shopping centers totaling approximately 0.5 million square feet as of December 31, 2004. We have paid quarterly dividends to our shareholders continuously since our founding in 1962, and have increased our dividend rate for 37 consecutive years.</w:t>
      </w:r>
    </w:p>
    <w:p>
      <w:pPr>
        <w:spacing w:after="0" w:line="10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operate our business on an asset management model, where focused teams are responsible for a portfolio of assets. We have divided our portfolio of properties into two operating regions: the East and West. Each region is operated under the direction of an asset manager, with dedicated leasing, property management and financial staff, and operates largely autonomously with respect to day-to-day operating decisions.</w:t>
      </w:r>
    </w:p>
    <w:p>
      <w:pPr>
        <w:spacing w:after="0" w:line="9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Our principal executive offices are located at 1626 East Jefferson Street, Rockville, Maryland 20852 and our telephone number is (301) 998-8100. Our Web site address is www.federalrealty.com. The information contained on our Web site is not a part of this prospectus.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our properties may be reduced or limited if the retail operations of our tenants are not successful.</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for reimbursement of real estate taxes and expenses of operating the property. The amount of rent and expense reimbursements we receive from our tenants generally will depend in part on the success of our tenants’ retail operations, making us vulnerable to general economic downturns and other conditions affecting the retail industry. Any reduction in our tenants’ ability to pay base rent, percentage rent or other charges, including the filing by any of our tenants for bankruptcy protection, may adversely affect our financial condition and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income depends on the success and continued presence of our “anchor” tenants.</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amounts of customers to a property. The closing of one or more anchor stores prior to the expiration of the lease of that store or the termination of a lease by one or more of a property’s anchor tenants could adversely affect that property and result in lease terminations by, or reductions in rent from, other tenants whose leases may permit termination or rent reduction in those circumstances or whose own operations may suffer as a result. This could reduce our net income.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difficulty or delay in renewing leases or re-leasing space.</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derive most of our revenue directly or indirectly from rent received from our tenants. We are subject to the risks that, upon expiration or termination of leases, whether by their terms, as a result of a tenant bankruptcy or otherwise, leases for space in our properties may not be renewed, the space may not be re-leased, or the terms of renewal or re-lease, including the cost of required renovations or concessions to tenants, may be less favorable than current lease terms. As a result, our results of operations and our net income could be reduced.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amount of debt we have and the restrictions imposed by that debt could adversely affect our business and financial condition.</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a substantial amount of debt. As of December 31, 2004, we had approximately $1.3 billion of debt outstanding. Of that outstanding debt, approximately $252 million was secured by 12 of our properties and approximately $159 million represented capital lease obligations on 11 of our properties. In addition, we own a 30% interest in a joint venture that had $47.2 million of debt secured by four properties as of December 3, 2004. All of our property secured debt (including the property secured debt of the joint venture), our capital lease obligations and approximately $729 million of our remaining debt is fixed rate debt. Our organizational documents do not limit the level or amount of debt that we may incur. We do not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have a policy limiting the ratio of our debt to total capitalization or assets. The amount of our debt outstanding from time to time could have important consequences to our shareholders. For example, it could:</w:t>
      </w:r>
    </w:p>
    <w:p>
      <w:pPr>
        <w:spacing w:after="0" w:line="37" w:lineRule="exact"/>
        <w:rPr>
          <w:sz w:val="20"/>
          <w:szCs w:val="20"/>
          <w:color w:val="auto"/>
        </w:rPr>
      </w:pPr>
    </w:p>
    <w:p>
      <w:pPr>
        <w:ind w:left="900" w:hanging="446"/>
        <w:spacing w:after="0" w:line="325"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ability to make distributions on our outstanding common shares and preferred shares;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it difficult to satisfy our debt service requirements;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require us to dedicate increased amounts of our cash flow from operations to payments on our variable rate, unhedged debt if interest rates rise;</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factors that affect the profitability of our business;</w:t>
      </w:r>
    </w:p>
    <w:p>
      <w:pPr>
        <w:spacing w:after="0" w:line="103" w:lineRule="exact"/>
        <w:rPr>
          <w:rFonts w:ascii="Arial" w:cs="Arial" w:eastAsia="Arial" w:hAnsi="Arial"/>
          <w:sz w:val="18"/>
          <w:szCs w:val="18"/>
          <w:color w:val="auto"/>
        </w:rPr>
      </w:pPr>
    </w:p>
    <w:p>
      <w:pPr>
        <w:ind w:left="900" w:right="940" w:hanging="446"/>
        <w:spacing w:after="0" w:line="325"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limit our ability to obtain any additional debt or equity financing we may need in the future for working capital, debt refinancing, capital expenditures, acquisitions, redevelopment or other general corporate purposes or to obtain such financing on favorable terms; and</w:t>
      </w:r>
    </w:p>
    <w:p>
      <w:pPr>
        <w:spacing w:after="0" w:line="1" w:lineRule="exact"/>
        <w:rPr>
          <w:rFonts w:ascii="Arial" w:cs="Arial" w:eastAsia="Arial" w:hAnsi="Arial"/>
          <w:sz w:val="16"/>
          <w:szCs w:val="16"/>
          <w:color w:val="auto"/>
        </w:rPr>
      </w:pPr>
    </w:p>
    <w:p>
      <w:pPr>
        <w:ind w:left="900" w:right="5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flexibility in conducting our business, which may place us at a disadvantage compared to competitors with less debt or debt with less restrictive terms.</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0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We are obligated to comply with financial and other covenants in our debt that could restrict our operating activities, and the failure to comply could result in defaults that accelerate payment under our debt.</w:t>
      </w:r>
    </w:p>
    <w:p>
      <w:pPr>
        <w:spacing w:after="0" w:line="3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credit facility and term loans include financial covenants that may limit our operating activities in the future. These covenants require us, among other things, to:</w:t>
      </w:r>
    </w:p>
    <w:p>
      <w:pPr>
        <w:spacing w:after="0" w:line="37" w:lineRule="exact"/>
        <w:rPr>
          <w:sz w:val="20"/>
          <w:szCs w:val="20"/>
          <w:color w:val="auto"/>
        </w:rPr>
      </w:pPr>
    </w:p>
    <w:p>
      <w:pPr>
        <w:jc w:val="center"/>
        <w:ind w:left="5620" w:right="560" w:hanging="5166"/>
        <w:spacing w:after="0" w:line="472" w:lineRule="auto"/>
        <w:tabs>
          <w:tab w:leader="none" w:pos="908"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 the amount of debt as a percentage of total asset value to less than .55 to 1 (we maintained a ratio of .454 to 1 as of December 31, 2004); -5-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limit the amount of secured debt as a percentage of total asset value to less than .30 to 1 (we maintained a ratio of .15 to 1 as of December 31, 2004);</w:t>
      </w:r>
    </w:p>
    <w:p>
      <w:pPr>
        <w:spacing w:after="0" w:line="138" w:lineRule="exact"/>
        <w:rPr>
          <w:rFonts w:ascii="Arial" w:cs="Arial" w:eastAsia="Arial" w:hAnsi="Arial"/>
          <w:sz w:val="15"/>
          <w:szCs w:val="15"/>
          <w:color w:val="auto"/>
        </w:rPr>
      </w:pPr>
    </w:p>
    <w:p>
      <w:pPr>
        <w:ind w:left="9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the amount of debt so that our interest and other fixed charge coverage will exceed 1.75 to 1 (we maintained a ratio of 2.19 to 1 as of December 31, 2004);</w:t>
      </w:r>
    </w:p>
    <w:p>
      <w:pPr>
        <w:spacing w:after="0" w:line="37"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the amount of unsecured debt so that unencumbered asset value to unsecured debt will equal or exceed 1.75 to 1 (we maintained a ratio of 2.65 to 1 as of December 31, 2004); and</w:t>
      </w:r>
    </w:p>
    <w:p>
      <w:pPr>
        <w:spacing w:after="0" w:line="37"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the total cost of development projects under construction to 15% or less of total asset value (the budgeted total cost of our projects under construction at December 31, 2004 represented 2.8% of gross asset value).</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Because these covenants are calculated in accordance with the terms of our credit facility, there is no relevant reconciliation to these ratios under generally accepted accounting principles.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obligated to comply with additional covenants, including, among others, provisions:</w:t>
      </w:r>
    </w:p>
    <w:p>
      <w:pPr>
        <w:spacing w:after="0" w:line="7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relating to the maintenance of property securing a mortgage;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other liens;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8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of December 31, 2004, we were in compliance with all of our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under our debt covenants could have an adverse effect on our financial condition, our results of operations, our ability to meet our obligations and the market value of our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activities are inherently risky.</w:t>
      </w:r>
    </w:p>
    <w:p>
      <w:pPr>
        <w:spacing w:after="0" w:line="8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i w:val="1"/>
          <w:iCs w:val="1"/>
          <w:color w:val="auto"/>
        </w:rPr>
        <w:t>General</w:t>
      </w:r>
      <w:r>
        <w:rPr>
          <w:rFonts w:ascii="Arial" w:cs="Arial" w:eastAsia="Arial" w:hAnsi="Arial"/>
          <w:sz w:val="15"/>
          <w:szCs w:val="15"/>
          <w:color w:val="auto"/>
        </w:rPr>
        <w:t>. The ground-up development of improvements on real property, as opposed to the renovation and redevelopment of existing improvements,</w:t>
      </w:r>
      <w:r>
        <w:rPr>
          <w:rFonts w:ascii="Arial" w:cs="Arial" w:eastAsia="Arial" w:hAnsi="Arial"/>
          <w:sz w:val="15"/>
          <w:szCs w:val="15"/>
          <w:i w:val="1"/>
          <w:iCs w:val="1"/>
          <w:color w:val="auto"/>
        </w:rPr>
        <w:t xml:space="preserve"> </w:t>
      </w:r>
      <w:r>
        <w:rPr>
          <w:rFonts w:ascii="Arial" w:cs="Arial" w:eastAsia="Arial" w:hAnsi="Arial"/>
          <w:sz w:val="15"/>
          <w:szCs w:val="15"/>
          <w:color w:val="auto"/>
        </w:rPr>
        <w:t>presents substantial risks. We do not intend to undertake construction of any new large-scale mixed-use, ground-up development projects; however, we do intend to complete the development and construction of remaining phases of projects we have already started, such as Bethesda Row in Bethesda, Maryland and Santana Row in San Jose, California. If the additional phases of these projects are not successful, it may adversely affect our financial condition and results of operations.</w:t>
      </w:r>
    </w:p>
    <w:p>
      <w:pPr>
        <w:spacing w:after="0" w:line="8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to the risks associated with real estate investment in general as described elsewhere, the risks associated with our remaining development activities include:</w:t>
      </w:r>
    </w:p>
    <w:p>
      <w:pPr>
        <w:spacing w:after="0" w:line="3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time lag between commencement and completion subjects us to greater risks due to fluctuation in the general economy;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or inability to obtain construction or permanent financing on favorable terms;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expenditure of money and time on projects that may never be completed;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achieve projected rental rates or anticipated pace of lease-up;</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higher-than-estimated construction costs, including labor and material costs; and</w:t>
      </w:r>
    </w:p>
    <w:p>
      <w:pPr>
        <w:spacing w:after="0" w:line="103"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delay in completion of the project because of a number of factors, including weather, labor disruptions, construction delays or delays in receipt of zoning or other regulatory approvals, or acts of God (such as fires, earthquakes or floods).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Santana Row</w:t>
      </w:r>
      <w:r>
        <w:rPr>
          <w:rFonts w:ascii="Arial" w:cs="Arial" w:eastAsia="Arial" w:hAnsi="Arial"/>
          <w:sz w:val="16"/>
          <w:szCs w:val="16"/>
          <w:color w:val="auto"/>
        </w:rPr>
        <w:t>. Santana Row is our largest single investment, and if it is not successful it could have a material adverse effect on our financial condition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of operations. As of December 31, 2004, we had approximately $492 million invested at Santana Row, and we expect to invest an additional $46 million to complete ongoing redevelopment projects at Santana Row over the next 12-18 months. We are currently in the process of constructing Phase IV of the project, which consists of rebuilding on Building 7 256 residential units that were destroyed by the August 2002 fire. We have estimated the incremental cost of completing Phase IV to be approximately $60 million, $29 million of which had already been invested as of December 31, 2004.</w:t>
      </w:r>
    </w:p>
    <w:p>
      <w:pPr>
        <w:spacing w:after="0" w:line="10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success of Santana Row will depend on many factors which cannot be assured and are not entirely within our control. These factors include, among others, the demand for retail and residential space, the cost of operations, including utilities and insurance, the availability and cost of capital, and the general economy, particularly in and around the Silicon Valley.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addition, our financial condition and results of operations may be adversely affected by delays or cost overruns in completing Phase IV or future phases of Santana Row, by an inability to achieve the market rents that were projected when the project was commenced, or by slower than projected lease-up of the project.</w:t>
      </w:r>
    </w:p>
    <w:p>
      <w:pPr>
        <w:spacing w:after="0" w:line="12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are currently exploring the possibility of selling some of the residential units at Santana Row as condominium units. If we complete any of those sales, our costs of operating the project could increase which would reduce our net income from the project. In addition, the condominium associations for those units we sell would have some rights to vote on budgets and some ability to impact the way in which the project is operated which could adversely impact the success of the project or reduce our net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Redevelopments and acquisitions may fail to perform as expected.</w:t>
      </w:r>
    </w:p>
    <w:p>
      <w:pPr>
        <w:spacing w:after="0" w:line="8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Our investment strategy is focused on the redevelopment and acquisition of community and neighborhood shopping centers that are anchored by grocery stores, drugstores or high volume, value-oriented retailers that provide consumer necessities. The redevelopment and acquisition of properties entails risks that include the following, any of which could adversely affect our results of operations and our ability to meet our obligations:</w:t>
      </w:r>
    </w:p>
    <w:p>
      <w:pPr>
        <w:spacing w:after="0" w:line="12" w:lineRule="exact"/>
        <w:rPr>
          <w:sz w:val="20"/>
          <w:szCs w:val="20"/>
          <w:color w:val="auto"/>
        </w:rPr>
      </w:pPr>
    </w:p>
    <w:p>
      <w:pPr>
        <w:ind w:left="900" w:right="3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time;</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not be able to identify suitable properties to acquire or may be unable to complete the acquisition of the properties we identify;</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integrate any acquisitions into our existing operations successfully;</w:t>
      </w:r>
    </w:p>
    <w:p>
      <w:pPr>
        <w:spacing w:after="0" w:line="103" w:lineRule="exact"/>
        <w:rPr>
          <w:rFonts w:ascii="Arial" w:cs="Arial" w:eastAsia="Arial" w:hAnsi="Arial"/>
          <w:sz w:val="18"/>
          <w:szCs w:val="18"/>
          <w:color w:val="auto"/>
        </w:rPr>
      </w:pPr>
    </w:p>
    <w:p>
      <w:pPr>
        <w:ind w:left="900" w:right="400" w:hanging="446"/>
        <w:spacing w:after="0" w:line="325"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properties we redevelop or acquire may fail to achieve within the time frames we project the occupancy or rental rates we project at the time we make the decision to invest, which may result in the properties’ failure to achieve the returns we projected;</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pre-acquisition evaluation of the physical condition of each new investment may not detect certain defects or identify necessary repairs until after the property is acquired, which could significantly increase our total acquisition costs;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investigation of a property or building prior to our acquisition, and any representations we may receive from the seller, may fail to reveal various liabilities, which could reduce the cash flow from the property or increase our acquisition cost.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will be limited if we cannot obtain additional capital.</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required to distribute to our shareholders at least 90% of our REIT taxable income each year to continue to qualify as a real estate investment trust, or REIT, for federal income tax purposes. As a result, we must rely primarily upon the availability of debt or equity capital, which may or may not be available on favorable terms or at all. The debt could include mortgage loans from third parties or the sale of debt securities. Equity capital could include our common shares or preferred shares. We cannot guarantee that additional financing, refinancing or other capital will be available in the amounts we desire or on favorable terms. Our access to debt or equity capital depends on a number of factors, including the market’s perception of our growth potential, our ability to pay dividends, and our current and potential future earnings. Depending on the outcome of these factors, we could experience delay or difficulty in implementing our growth strategy on satisfactory terms, or be unable to implement this strategy.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interest rates could adversely affect our cash flow and the market price of our outstanding debt and preferred shares.</w:t>
      </w:r>
    </w:p>
    <w:p>
      <w:pPr>
        <w:spacing w:after="0" w:line="83"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Of our approximately $1.3 billion of debt outstanding as of December 31, 2004, approximately $164 million bears interest at variable rates and was unhedged. We also may borrow additional funds at variable interest rates in the future. Increases in interest rates would increase our interest expense on our variable rate debt and reduce our cash flow, which could adversely affect our ability to service our debt and meet our other obligations and also could reduce the amount we are able to distribute to our shareholders. Although we have in the past and may in the future enter into hedging arrangements or other transactions as to a portion of our variable rate debt to limit our exposure to rising interest rates, the amounts we are required to pay under the variable rate debt to which the hedging or similar arrangements relate may increase in the event of non-performance by the counterparties to any of our hedging arrangements. In addition, an increase in market interest rates may lead purchasers of our securities, both debt and preferred shares, to demand a higher annual yield, which could adversely affect the market price of our outstanding debt securities and preferred shares and the cost of issuing additional debt securities or preferred shares.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and value are subject to general risks associated with the real estate industry.</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1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downturns in the areas where our properties are located;</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changes in local real estate market conditions, such as oversupply or reduction in demand;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of our properties to tenants;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zoning or regulatory restrictions;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decreases in market rental rates;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weather conditions that may increase or decrease energy costs and other weather-related expenses;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and re-lease space; and</w:t>
      </w:r>
    </w:p>
    <w:p>
      <w:pPr>
        <w:spacing w:after="0" w:line="10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real estate costs are fixed, even if income from our properties decreases.</w:t>
      </w:r>
    </w:p>
    <w:p>
      <w:pPr>
        <w:spacing w:after="0" w:line="8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develop may not produce any significant revenue immediately, and the cash flow from existing operations may be insufficient to pay the operating expenses and debt service associated with that property until the property is fully leased.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may limit our ability to purchase new properties and generate sufficient income from tenants.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Numerous commercial developers and real estate companies compete with us in seeking tenants for our existing properties and properties for acquisition.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competition may:</w:t>
      </w:r>
    </w:p>
    <w:p>
      <w:pPr>
        <w:spacing w:after="0" w:line="7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properties available for acquisition;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rents payable to 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lead to increased vacancy rates at our properties;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Retailers at our properties also face increasing competition from outlet stores, discount shopping clubs, and other forms of marketing of goods, such as direct mail, internet marketing and telemarketing.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sell properties when appropriate because real estate investments are illiquid.</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Our inability to respond quickly to adverse changes in the performance of our investments could have an adverse effect on our ability to meet our obligations and make distributions to our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 on our properties may be inadequate or may become inadequate.</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March 2, 2005, we carry comprehensive insurance on all of our properties, including insurance for liability, fire, flood, and rental loss. We also carry earthquake insurance on all of our properties in California and environmental insurance on most of our properties. All of these policies contain coverage limitations. We believe these coverages are of the types and amounts customarily obtained for or by an owner of real property assets. We intend to obtain similar insurance coverage on subsequently acquired properties.</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consequence of significant losses incurred by the insurance industry, the availability of insurance coverage may decrease and the prices for insurance may increase. As a result, we may be unable to renew or duplicate our current insurance coverage in adequate amounts or at reasonable prices.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 in large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expenses to repair or rebuild the property. Also, due to inflation, changes in codes and ordinances, environmental considerations and other factors, it may not be feasible to use insurance proceeds to replace a building after it has been damaged or destroyed. Events such as these could adversely affect our results of operations and our ability to meet our obligations, including distributions to our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flexibility in dealing with our jointly owned investments.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organizational documents do not limit the amount of funds that we may invest in properties and assets jointly with other persons or entities and as of March 2, 2005, excluding our joint venture with Clarion Lion Properties Fund we hold eight shopping centers and five urban retail and mixed-use properties jointly with other persons.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and that those partners or co-investors might be in a position to take action contrary to our suggestions or instructions, or in opposition to our policies or objectives. Although we hold the managing general partnership or membership interest in all 17 of our existing co-investments as of March 2, 2005, we must obtain the consent of the co-investor or meet defined criteria to sell or to finance five of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10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on July 1, 2004, we entered into a new joint venture with affiliates of Clarion Lion Properties Fund for purposes of acquiring properties. Although we are the managing general partner of that entity, we have only a 30% ownership interest in that entity. Our partner’s consent is required to take certain actions with respect to the properties acquired by the venture, and as a result, we may not be able to take actions that we believe are necessary or desirable to protect or increase the value of the property or the property’s income stream. Pursuant to the terms of our partnership, we must obtain our partner’s consent to do the following:</w:t>
      </w:r>
    </w:p>
    <w:p>
      <w:pPr>
        <w:spacing w:after="0" w:line="48"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enter into new leases, modify existing leases or enforce remedies against, anchor tenants;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certain repairs, renovations or other changes or improvements to properties;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or finance the property with secured debt.</w:t>
      </w:r>
    </w:p>
    <w:p>
      <w:pPr>
        <w:spacing w:after="0" w:line="1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terms of our partnership require that certain acquisition opportunities be presented first to the joint venture which limit our ability to acquire properties for our own account which could, in turn, limit our ability to grow. Our investment in this joint venture is also subject to the risks described above for jointly owned investments. As of December 31, 2004, this joint venture owned four properties.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 and regulations could reduce the value or profitability of our properties.</w:t>
      </w:r>
    </w:p>
    <w:p>
      <w:pPr>
        <w:spacing w:after="0" w:line="83"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properly to remediate contamination at any of our properties may adversely affect our ability to sell or lease those properties or to borrow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12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Americans with Disabilities Act of 1990 could require us to take remedial steps with respect to existing or newly acquired properties.</w:t>
      </w:r>
    </w:p>
    <w:p>
      <w:pPr>
        <w:spacing w:after="0" w:line="10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Act, or of other federal, state or local laws, also may change in the future and restrict further renovations of our properties with respect to access for disabled persons. Future compliance with the Act may require expensive changes to the properties.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revenues generated by our tenants could be negatively affected by various federal, state and local laws to which they are subject.</w:t>
      </w:r>
    </w:p>
    <w:p>
      <w:pPr>
        <w:spacing w:after="0" w:line="10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96"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Failure to qualify as a REIT for federal income tax purposes would cause us to be taxed as a corporation, which would substantially reduce funds available for payment of distributions.</w:t>
      </w:r>
    </w:p>
    <w:p>
      <w:pPr>
        <w:spacing w:after="0" w:line="3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believe that we are organized and qualified as a REIT for federal income tax purposes and currently intend to operate in a manner that will allow us to continue to qualify as a REIT under the Internal Revenue Code of 1986, as amended (“Code”). However, we cannot assure you that we will remain qualified as such in the future.</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other income. Satisfying this requirement could be difficult, for example, if defaults by tenants were to reduce the amount of income from qualifying rents. Also, we must make annual distributions to shareholders of at least 90% of our REIT taxable income (excluding capital gains). In addition, new legislation, new regulations, new administrative interpretations or new court decisions may significantly change the tax laws with respect to qualification as a REIT or the federal income tax consequences of such qualification.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fail to qualify as a REIT:</w:t>
      </w:r>
    </w:p>
    <w:p>
      <w:pPr>
        <w:spacing w:after="0" w:line="77"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shareholders in computing taxable income;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would be subject to federal income tax at regular corporate rates;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could be subject to the federal alternative minimum tax;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unless we are entitled to relief under specific statutory provisions, we could not elect to be taxed as a REIT for four taxable years following the year during which we were disqualified;</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would no longer be required by law to make any distributions to our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incur additional debt to qualify as a REIT.</w:t>
      </w:r>
    </w:p>
    <w:p>
      <w:pPr>
        <w:spacing w:after="0" w:line="8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As a REIT, we must make annual distributions to shareholders of at least 90% of our REIT taxable income. We are subject to income tax on amounts of undistributed REIT taxable income and net capital gain. In addition, we would be subject to a 4% excise tax if we fail to distribute sufficient income to meet a minimum distribution test based on our ordinary income, capital gain and aggregate undistributed income from prior years.</w:t>
      </w:r>
    </w:p>
    <w:p>
      <w:pPr>
        <w:spacing w:after="0" w:line="9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intend to make distributions to shareholders to comply with the Code’s distribution provisions and to avoid federal income and excise tax. We may need to borrow funds to meet our distribution requirements because:</w:t>
      </w:r>
    </w:p>
    <w:p>
      <w:pPr>
        <w:spacing w:after="0" w:line="37" w:lineRule="exact"/>
        <w:rPr>
          <w:sz w:val="20"/>
          <w:szCs w:val="20"/>
          <w:color w:val="auto"/>
        </w:rPr>
      </w:pPr>
    </w:p>
    <w:p>
      <w:pPr>
        <w:ind w:left="900" w:right="1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income may not be matched by our related expenses at the time the income is considered received for purposes of determining taxable income;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non-deductible capital expenditures, creation of reserves, or debt service requirements may reduce available cash but not taxable income.</w:t>
      </w:r>
    </w:p>
    <w:p>
      <w:pPr>
        <w:spacing w:after="0" w:line="20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these circumstances, we might have to borrow funds on unfavorable terms and we may have to borrow funds even if our management believes the market conditions make borrowing financially unattractive.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maintain our status as a REIT, we limit the amount of shares any one shareholder can own.</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Code imposes certain limitations on the ownership of the stock of a REIT. For example, not more than 50% in value of our outstanding shares of capital stock may be owned, actually or constructively, by five or fewer individuals (as defined in the Code).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shares or preferred shares), by an individual or entity could cause that individual or entity (or another) to own constructively more than 9.8% in value of the outstanding stock. If that happened, either the transfer or ownership would be void or the shares would be transferred to a charitable trust and then sold to someone who can own those shares without violating the 9.8% ownership limit.</w:t>
      </w:r>
    </w:p>
    <w:p>
      <w:pPr>
        <w:spacing w:after="0" w:line="12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we will continue to pay dividends at historical rates.</w:t>
      </w:r>
    </w:p>
    <w:p>
      <w:pPr>
        <w:spacing w:after="0" w:line="83" w:lineRule="exact"/>
        <w:rPr>
          <w:sz w:val="20"/>
          <w:szCs w:val="20"/>
          <w:color w:val="auto"/>
        </w:rPr>
      </w:pPr>
    </w:p>
    <w:p>
      <w:pPr>
        <w:ind w:right="380" w:firstLine="456"/>
        <w:spacing w:after="0" w:line="325" w:lineRule="auto"/>
        <w:rPr>
          <w:sz w:val="20"/>
          <w:szCs w:val="20"/>
          <w:color w:val="auto"/>
        </w:rPr>
      </w:pPr>
      <w:r>
        <w:rPr>
          <w:rFonts w:ascii="Arial" w:cs="Arial" w:eastAsia="Arial" w:hAnsi="Arial"/>
          <w:sz w:val="16"/>
          <w:szCs w:val="16"/>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financial condition and results of future operations;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performance of lease terms by tenants;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of our loan covenants;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acquire, finance, develop or redevelop and lease additional properties at attractive rates.</w:t>
      </w:r>
    </w:p>
    <w:p>
      <w:pPr>
        <w:spacing w:after="0" w:line="1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do not maintain or increase the dividend rate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tax and anti-takeover provisions of our declaration of trust and bylaws may inhibit a change of our control.</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49"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REIT ownership limit described above;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authorization of the issuance of our preferred shares with powers, preferences or rights to be determined by the Board of Trustees;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staggered, fixed-size Board of Trustees consisting of three classes of trustees;</w:t>
      </w:r>
    </w:p>
    <w:p>
      <w:pPr>
        <w:spacing w:after="0" w:line="103" w:lineRule="exact"/>
        <w:rPr>
          <w:rFonts w:ascii="Arial" w:cs="Arial" w:eastAsia="Arial" w:hAnsi="Arial"/>
          <w:sz w:val="18"/>
          <w:szCs w:val="18"/>
          <w:color w:val="auto"/>
        </w:rPr>
      </w:pPr>
    </w:p>
    <w:p>
      <w:pPr>
        <w:ind w:left="900" w:right="440" w:hanging="446"/>
        <w:spacing w:after="0" w:line="325"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special meetings of our shareholders may be called by the chairman of the board, the chief executive officer, the president, by one-third of the trustees or by shareholders possessing no less than 25% of all the votes entitled to be cast at the meeting;</w:t>
      </w:r>
    </w:p>
    <w:p>
      <w:pPr>
        <w:spacing w:after="0" w:line="1" w:lineRule="exact"/>
        <w:rPr>
          <w:rFonts w:ascii="Arial" w:cs="Arial" w:eastAsia="Arial" w:hAnsi="Arial"/>
          <w:sz w:val="16"/>
          <w:szCs w:val="16"/>
          <w:color w:val="auto"/>
        </w:rPr>
      </w:pPr>
    </w:p>
    <w:p>
      <w:pPr>
        <w:ind w:left="900" w:right="1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of Trustees, without a shareholder vote, can classify or reclassify unissued shares of beneficial interest, including the reclassification of common shares into preferred shares and vice-versa;</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two-thirds shareholder vote is required to approve some amendments to the declaration of trust;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advance-notice requirements for proposals to be presented at shareholder meetings; and</w:t>
      </w:r>
    </w:p>
    <w:p>
      <w:pPr>
        <w:spacing w:after="0" w:line="10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shareholder rights plan that provides, among other things, that when specified events occur, our shareholders will be entitled to purchase from us a number of common shares equal in value to two times the purchase price, which initially will be equal to $65 per share, subject to certain adjustments.</w:t>
      </w:r>
    </w:p>
    <w:p>
      <w:pPr>
        <w:spacing w:after="0" w:line="12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02"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69"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may amend or revise our business policies without your approval, and we have adopted a business plan that involves changes in our operational policies.</w:t>
      </w:r>
    </w:p>
    <w:p>
      <w:pPr>
        <w:spacing w:after="0" w:line="3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Board of Trustees may amend or revise our operating policies without shareholder approval. Our investment, financing and borrowing policies and policies with respect to all other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current business plan adopted by our Board of Trustees focuses on our investment in neighborhood and community shopping centers, principally through redevelopments and acquisitions. If this business plan is not successful, it could have a material adverse effect on our financial condition and results of operations.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We will not receive any of the proceeds from sales of the common shares covered by this prospectus by the selling shareholder. We will pay all costs and expenses incurred in connection with the offering of the offered shares, other than any brokerage fees and commissions, fees and disbursements of legal counsel for the selling shareholder and share transfer and other taxes attributable to the sale of the common shares, which will be paid by the selling shareholder.</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164"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selling shareholder received the common shares in connection with a prior redemption of the sole limited partnership interest in Loehmann’s Plaza Limited Partnership. The following table provides the name of the selling shareholder and the number of common shares that may be offered by the selling shareholder. The address for the selling shareholder is Francis O. Day, III, Francis O. Day Co., Inc., 850 East Gude Drive, Suite A, Rockville, Maryland 20850. Since the selling shareholder may sell all, some or none of the offered shares, no estimate can be made of the number of offered shares that will be sold by the selling shareholder or that will be owned by the selling shareholder upon completion of the offering. The offered shares represent approximately 0.36% of our total common shares outstanding as of April 14, 2005.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6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5"/>
              </w:rPr>
              <w:t>Shares Beneficially</w:t>
            </w: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6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Owned Prior to the</w:t>
            </w: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20" w:type="dxa"/>
            <w:vAlign w:val="bottom"/>
            <w:gridSpan w:val="4"/>
          </w:tcPr>
          <w:p>
            <w:pPr>
              <w:jc w:val="right"/>
              <w:ind w:right="460"/>
              <w:spacing w:after="0" w:line="149" w:lineRule="exact"/>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0" w:type="dxa"/>
            <w:vAlign w:val="bottom"/>
            <w:gridSpan w:val="2"/>
          </w:tcPr>
          <w:p>
            <w:pPr>
              <w:jc w:val="center"/>
              <w:ind w:left="552"/>
              <w:spacing w:after="0"/>
              <w:rPr>
                <w:sz w:val="20"/>
                <w:szCs w:val="20"/>
                <w:color w:val="auto"/>
              </w:rPr>
            </w:pPr>
            <w:r>
              <w:rPr>
                <w:rFonts w:ascii="Arial" w:cs="Arial" w:eastAsia="Arial" w:hAnsi="Arial"/>
                <w:sz w:val="14"/>
                <w:szCs w:val="14"/>
                <w:b w:val="1"/>
                <w:bCs w:val="1"/>
                <w:color w:val="auto"/>
                <w:w w:val="91"/>
              </w:rPr>
              <w:t>Offering</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After the Offering(1)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of Selling</w:t>
            </w:r>
          </w:p>
        </w:tc>
        <w:tc>
          <w:tcPr>
            <w:tcW w:w="3220" w:type="dxa"/>
            <w:vAlign w:val="bottom"/>
            <w:gridSpan w:val="3"/>
          </w:tcPr>
          <w:p>
            <w:pPr>
              <w:jc w:val="center"/>
              <w:ind w:left="1422"/>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Shares Being</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Stockholder</w:t>
            </w:r>
          </w:p>
        </w:tc>
        <w:tc>
          <w:tcPr>
            <w:tcW w:w="2020" w:type="dxa"/>
            <w:vAlign w:val="bottom"/>
          </w:tcPr>
          <w:p>
            <w:pPr>
              <w:spacing w:after="0"/>
              <w:rPr>
                <w:sz w:val="15"/>
                <w:szCs w:val="15"/>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Owned</w:t>
            </w: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4"/>
              </w:rPr>
              <w:t>Percent(2)</w:t>
            </w: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Offered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Percent(2)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Francis O. Day, III</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Assuming the sale of all of the shares being offered under this registration statement.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upon 52,493,212 common shares outstanding as of April 14, 2005.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INCOME TAX CONSIDERATIONS</w:t>
      </w:r>
    </w:p>
    <w:p>
      <w:pPr>
        <w:spacing w:after="0" w:line="16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Because this section is a summary, it does not address all of the tax issues that may be important to you.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Tax—Exempt U.S. Shareholders” below), financial institutions and broker-dealers, and non-U.S. individuals and foreign corporations (except to the extent discussed in “— Taxation of Non-U.S. Shareholders” below).</w:t>
      </w:r>
    </w:p>
    <w:p>
      <w:pPr>
        <w:spacing w:after="0" w:line="10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7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2004;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For a discussion of the tax treatment of us and our shareholders if we fail to qualify as a REIT, see “— Requirements for REIT Qualification — Failure to Qualify.”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stockholder levels) that generally results from owning stock in a corporation. However, we will be subject to federal tax in the following circumstances:</w:t>
      </w:r>
    </w:p>
    <w:p>
      <w:pPr>
        <w:spacing w:after="0" w:line="46" w:lineRule="exact"/>
        <w:rPr>
          <w:sz w:val="20"/>
          <w:szCs w:val="20"/>
          <w:color w:val="auto"/>
        </w:rPr>
      </w:pPr>
    </w:p>
    <w:p>
      <w:pPr>
        <w:ind w:left="900" w:right="5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126" w:lineRule="exact"/>
        <w:rPr>
          <w:rFonts w:ascii="Arial" w:cs="Arial" w:eastAsia="Arial" w:hAnsi="Arial"/>
          <w:sz w:val="16"/>
          <w:szCs w:val="16"/>
          <w:color w:val="auto"/>
        </w:rPr>
      </w:pPr>
    </w:p>
    <w:p>
      <w:pPr>
        <w:ind w:left="900" w:right="40" w:hanging="446"/>
        <w:spacing w:after="0" w:line="325"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37"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described below under “—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48" w:lineRule="exact"/>
        <w:rPr>
          <w:rFonts w:ascii="Arial" w:cs="Arial" w:eastAsia="Arial" w:hAnsi="Arial"/>
          <w:sz w:val="18"/>
          <w:szCs w:val="18"/>
          <w:color w:val="auto"/>
        </w:rPr>
      </w:pPr>
    </w:p>
    <w:p>
      <w:pPr>
        <w:ind w:left="900" w:right="40" w:hanging="446"/>
        <w:spacing w:after="0" w:line="298"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beginning with our 2005 taxable year, 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18" w:lineRule="exact"/>
        <w:rPr>
          <w:rFonts w:ascii="Arial" w:cs="Arial" w:eastAsia="Arial" w:hAnsi="Arial"/>
          <w:sz w:val="16"/>
          <w:szCs w:val="16"/>
          <w:color w:val="auto"/>
        </w:rPr>
      </w:pPr>
    </w:p>
    <w:p>
      <w:pPr>
        <w:jc w:val="both"/>
        <w:ind w:left="900" w:right="120" w:hanging="446"/>
        <w:spacing w:after="0" w:line="30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beginning with our 2005 taxable year, if we fail to satisfy one or more of the requirements for REIT qualification (other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w:t>
      </w:r>
    </w:p>
    <w:p>
      <w:pPr>
        <w:spacing w:after="0" w:line="12"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excise tax on the excess of such required distribution over the amount we actually distributed;</w:t>
      </w:r>
    </w:p>
    <w:p>
      <w:pPr>
        <w:spacing w:after="0" w:line="7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03" w:lineRule="exact"/>
        <w:rPr>
          <w:rFonts w:ascii="Arial" w:cs="Arial" w:eastAsia="Arial" w:hAnsi="Arial"/>
          <w:sz w:val="18"/>
          <w:szCs w:val="18"/>
          <w:color w:val="auto"/>
        </w:rPr>
      </w:pPr>
    </w:p>
    <w:p>
      <w:pPr>
        <w:ind w:left="900" w:right="20" w:hanging="446"/>
        <w:spacing w:after="0" w:line="294"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58" w:lineRule="exact"/>
        <w:rPr>
          <w:sz w:val="20"/>
          <w:szCs w:val="20"/>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57" w:lineRule="exact"/>
        <w:rPr>
          <w:rFonts w:ascii="Arial" w:cs="Arial" w:eastAsia="Arial" w:hAnsi="Arial"/>
          <w:sz w:val="18"/>
          <w:szCs w:val="18"/>
          <w:color w:val="auto"/>
        </w:rPr>
      </w:pPr>
    </w:p>
    <w:p>
      <w:pPr>
        <w:ind w:firstLine="464"/>
        <w:spacing w:after="0" w:line="268"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118" w:lineRule="exact"/>
        <w:rPr>
          <w:rFonts w:ascii="Arial" w:cs="Arial" w:eastAsia="Arial" w:hAnsi="Arial"/>
          <w:sz w:val="18"/>
          <w:szCs w:val="18"/>
          <w:color w:val="auto"/>
        </w:rPr>
      </w:pPr>
    </w:p>
    <w:p>
      <w:pPr>
        <w:ind w:right="480" w:firstLine="464"/>
        <w:spacing w:after="0" w:line="268"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Internal Revenue Service that must be met to elect and maintain REIT status;</w:t>
      </w:r>
    </w:p>
    <w:p>
      <w:pPr>
        <w:spacing w:after="0" w:line="118" w:lineRule="exact"/>
        <w:rPr>
          <w:rFonts w:ascii="Arial" w:cs="Arial" w:eastAsia="Arial" w:hAnsi="Arial"/>
          <w:sz w:val="18"/>
          <w:szCs w:val="18"/>
          <w:color w:val="auto"/>
        </w:rPr>
      </w:pPr>
    </w:p>
    <w:p>
      <w:pPr>
        <w:ind w:right="160" w:firstLine="464"/>
        <w:spacing w:after="0" w:line="268"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U.S. Department of Treasury (“Treasury”); and</w:t>
      </w:r>
    </w:p>
    <w:p>
      <w:pPr>
        <w:spacing w:after="0" w:line="118" w:lineRule="exact"/>
        <w:rPr>
          <w:rFonts w:ascii="Arial" w:cs="Arial" w:eastAsia="Arial" w:hAnsi="Arial"/>
          <w:sz w:val="18"/>
          <w:szCs w:val="18"/>
          <w:color w:val="auto"/>
        </w:rPr>
      </w:pPr>
    </w:p>
    <w:p>
      <w:pPr>
        <w:ind w:left="640" w:hanging="17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we have issued sufficient common shares with sufficient diversity of ownership to satisfy requirements 5 and 6 set forth above. In addition, our declaration of trust restricts the ownership and transfer of the common shares so that we should continue to satisfy requirements 5 and 6. The provisions of our declaration of trust restricting the ownership and transfer of the common shares are described in “Risk Factors – To maintain our status as a REIT, we limit the amount of shares any one shareholder can own.”</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they are not subject to federal corporate income taxation, though they may be subject to state and local taxation.</w:t>
      </w:r>
    </w:p>
    <w:p>
      <w:pPr>
        <w:spacing w:after="0" w:line="105"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liabilities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77" w:lineRule="exact"/>
        <w:rPr>
          <w:sz w:val="20"/>
          <w:szCs w:val="20"/>
          <w:color w:val="auto"/>
        </w:rPr>
      </w:pPr>
    </w:p>
    <w:p>
      <w:pPr>
        <w:ind w:left="900" w:right="60" w:hanging="446"/>
        <w:spacing w:after="0" w:line="255"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48" w:lineRule="exact"/>
        <w:rPr>
          <w:rFonts w:ascii="Arial" w:cs="Arial" w:eastAsia="Arial" w:hAnsi="Arial"/>
          <w:sz w:val="18"/>
          <w:szCs w:val="18"/>
          <w:color w:val="auto"/>
        </w:rPr>
      </w:pPr>
    </w:p>
    <w:p>
      <w:pPr>
        <w:ind w:left="900" w:right="320" w:hanging="446"/>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At least 95% of our gross income (excluding gross income from prohibited transactions and certain real estate hedges)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Rental Income</w:t>
      </w:r>
      <w:r>
        <w:rPr>
          <w:rFonts w:ascii="Arial" w:cs="Arial" w:eastAsia="Arial" w:hAnsi="Arial"/>
          <w:sz w:val="18"/>
          <w:szCs w:val="18"/>
          <w:color w:val="auto"/>
        </w:rPr>
        <w:t>. Our primary source of income derives from leasing properties. Rent that we receive from real property that we own and lease to tenants will</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“rents from real property” (which is qualifying income for purposes of the 75% and 95% gross income tests) only if several conditions are met under the REIT tax rules:</w:t>
      </w:r>
    </w:p>
    <w:p>
      <w:pPr>
        <w:spacing w:after="0" w:line="46" w:lineRule="exact"/>
        <w:rPr>
          <w:sz w:val="20"/>
          <w:szCs w:val="20"/>
          <w:color w:val="auto"/>
        </w:rPr>
      </w:pPr>
    </w:p>
    <w:p>
      <w:pPr>
        <w:jc w:val="both"/>
        <w:ind w:left="900" w:right="16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rent must not be based, in whole or in part, on the income or profits of any person although, generally, rent may be based on a fixed percentage or percentages of receipts or sales. We have not entered into any lease based in whole or part on the net income of any person and do not anticipate entering into such arrangements.</w:t>
      </w:r>
    </w:p>
    <w:p>
      <w:pPr>
        <w:spacing w:after="0" w:line="45"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28" w:lineRule="exact"/>
        <w:rPr>
          <w:rFonts w:ascii="Arial" w:cs="Arial" w:eastAsia="Arial" w:hAnsi="Arial"/>
          <w:sz w:val="16"/>
          <w:szCs w:val="16"/>
          <w:color w:val="auto"/>
        </w:rPr>
      </w:pPr>
    </w:p>
    <w:p>
      <w:pPr>
        <w:ind w:left="900" w:right="36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certain rent from a taxable REIT subsidiary which would, but for this exception, be considered rent from a related party tenant, the space leased to the taxable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80"/>
        <w:spacing w:after="0" w:line="255" w:lineRule="auto"/>
        <w:rPr>
          <w:sz w:val="20"/>
          <w:szCs w:val="20"/>
          <w:color w:val="auto"/>
        </w:rPr>
      </w:pPr>
      <w:r>
        <w:rPr>
          <w:rFonts w:ascii="Arial" w:cs="Arial" w:eastAsia="Arial" w:hAnsi="Arial"/>
          <w:sz w:val="18"/>
          <w:szCs w:val="18"/>
          <w:color w:val="auto"/>
        </w:rPr>
        <w:t>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48" w:lineRule="exact"/>
        <w:rPr>
          <w:sz w:val="20"/>
          <w:szCs w:val="20"/>
          <w:color w:val="auto"/>
        </w:rPr>
      </w:pPr>
    </w:p>
    <w:p>
      <w:pPr>
        <w:ind w:left="900" w:right="120" w:hanging="446"/>
        <w:spacing w:after="0" w:line="298"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rent attributable to any personal property leased in connection with a lease of property is no more than 15% of the total rent received under the lease. In general, we have not leased a significant 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w:t>
      </w:r>
    </w:p>
    <w:p>
      <w:pPr>
        <w:spacing w:after="0" w:line="18" w:lineRule="exact"/>
        <w:rPr>
          <w:rFonts w:ascii="Arial" w:cs="Arial" w:eastAsia="Arial" w:hAnsi="Arial"/>
          <w:sz w:val="16"/>
          <w:szCs w:val="16"/>
          <w:color w:val="auto"/>
        </w:rPr>
      </w:pPr>
    </w:p>
    <w:p>
      <w:pPr>
        <w:ind w:left="900" w:hanging="446"/>
        <w:spacing w:after="0" w:line="290"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generally must not operate or manage our property or furnish or render services to our tenants, other than through an “independent contractor” who is adequately 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foregoing, we believe that rent from leases should qualify as “rents from real property” for purposes of the 75% and 95% gross income tests.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described above, however, the IRS may assert successfully a contrary position and, therefore, prevent us from qualifying as a REIT.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ongoing basis, we will use our best efforts not to:</w:t>
      </w:r>
    </w:p>
    <w:p>
      <w:pPr>
        <w:spacing w:after="0" w:line="77" w:lineRule="exact"/>
        <w:rPr>
          <w:sz w:val="20"/>
          <w:szCs w:val="20"/>
          <w:color w:val="auto"/>
        </w:rPr>
      </w:pPr>
    </w:p>
    <w:p>
      <w:pPr>
        <w:ind w:left="900" w:right="8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37"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37" w:lineRule="exact"/>
        <w:rPr>
          <w:rFonts w:ascii="Arial" w:cs="Arial" w:eastAsia="Arial" w:hAnsi="Arial"/>
          <w:sz w:val="18"/>
          <w:szCs w:val="18"/>
          <w:color w:val="auto"/>
        </w:rPr>
      </w:pPr>
    </w:p>
    <w:p>
      <w:pPr>
        <w:jc w:val="both"/>
        <w:ind w:left="900" w:right="400" w:hanging="446"/>
        <w:spacing w:after="0" w:line="30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5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2" w:lineRule="exact"/>
        <w:rPr>
          <w:sz w:val="20"/>
          <w:szCs w:val="20"/>
          <w:color w:val="auto"/>
        </w:rPr>
      </w:pPr>
    </w:p>
    <w:p>
      <w:pPr>
        <w:ind w:left="900" w:right="200" w:hanging="446"/>
        <w:spacing w:after="0" w:line="325"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85" w:lineRule="exact"/>
        <w:rPr>
          <w:sz w:val="20"/>
          <w:szCs w:val="20"/>
          <w:color w:val="auto"/>
        </w:rPr>
      </w:pPr>
    </w:p>
    <w:p>
      <w:pPr>
        <w:jc w:val="both"/>
        <w:ind w:right="20" w:firstLine="456"/>
        <w:spacing w:after="0" w:line="34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1" w:lineRule="exact"/>
        <w:rPr>
          <w:sz w:val="20"/>
          <w:szCs w:val="20"/>
          <w:color w:val="auto"/>
        </w:rPr>
      </w:pPr>
    </w:p>
    <w:p>
      <w:pPr>
        <w:ind w:left="900" w:right="18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37"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45"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first day on which any construction takes place on such property (other than completion of a building, or any other improvement, where more than 10%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construction of such building or other improvement was completed before default became imminent); or</w:t>
      </w:r>
    </w:p>
    <w:p>
      <w:pPr>
        <w:spacing w:after="0" w:line="77" w:lineRule="exact"/>
        <w:rPr>
          <w:sz w:val="20"/>
          <w:szCs w:val="20"/>
          <w:color w:val="auto"/>
        </w:rPr>
      </w:pPr>
    </w:p>
    <w:p>
      <w:pPr>
        <w:ind w:left="900" w:right="100" w:hanging="446"/>
        <w:spacing w:after="0" w:line="370" w:lineRule="auto"/>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4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Tax on Prohibited Transactions</w:t>
      </w:r>
      <w:r>
        <w:rPr>
          <w:rFonts w:ascii="Arial" w:cs="Arial" w:eastAsia="Arial" w:hAnsi="Arial"/>
          <w:sz w:val="16"/>
          <w:szCs w:val="16"/>
          <w:color w:val="auto"/>
        </w:rPr>
        <w:t>. A REIT will incur a 100% tax on net income derived from any “prohibited transaction.” A “prohibited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is a sale or other disposition of property (other than foreclosure property) that the REIT holds primarily for sale to customers in the ordinary course of a trade or business. We believe that none of our assets are held for sale to customers and that a sale of any such asset would not be in the ordinary course of its business. Whether a REIT holds an asset “primarily for sale to customers in the ordinary course of a trade or business” depends, however, on the facts and circumstances in effect from time to time, including those related to a particular asset. Nevertheless, we will attempt to comply with the terms of safe-harbor 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Tax and Deduction Limits on Certain Transactions with Taxable REIT Subsidiaries</w:t>
      </w:r>
      <w:r>
        <w:rPr>
          <w:rFonts w:ascii="Arial" w:cs="Arial" w:eastAsia="Arial" w:hAnsi="Arial"/>
          <w:sz w:val="16"/>
          <w:szCs w:val="16"/>
          <w:color w:val="auto"/>
        </w:rPr>
        <w:t>. A REIT will incur a 100% tax on certain transactions between a REIT</w:t>
      </w:r>
      <w:r>
        <w:rPr>
          <w:rFonts w:ascii="Arial" w:cs="Arial" w:eastAsia="Arial" w:hAnsi="Arial"/>
          <w:sz w:val="16"/>
          <w:szCs w:val="16"/>
          <w:i w:val="1"/>
          <w:iCs w:val="1"/>
          <w:color w:val="auto"/>
        </w:rPr>
        <w:t xml:space="preserve"> </w:t>
      </w:r>
      <w:r>
        <w:rPr>
          <w:rFonts w:ascii="Arial" w:cs="Arial" w:eastAsia="Arial" w:hAnsi="Arial"/>
          <w:sz w:val="16"/>
          <w:szCs w:val="16"/>
          <w:color w:val="auto"/>
        </w:rPr>
        <w:t>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9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Relief from Consequences of Failing to Meet Income Tests</w:t>
      </w:r>
      <w:r>
        <w:rPr>
          <w:rFonts w:ascii="Arial" w:cs="Arial" w:eastAsia="Arial" w:hAnsi="Arial"/>
          <w:sz w:val="18"/>
          <w:szCs w:val="18"/>
          <w:color w:val="auto"/>
        </w:rPr>
        <w:t>. If we fail to satisfy one or both of the 75% and 95% gross income tests for any taxable year, we</w:t>
      </w:r>
      <w:r>
        <w:rPr>
          <w:rFonts w:ascii="Arial" w:cs="Arial" w:eastAsia="Arial" w:hAnsi="Arial"/>
          <w:sz w:val="18"/>
          <w:szCs w:val="18"/>
          <w:i w:val="1"/>
          <w:iCs w:val="1"/>
          <w:color w:val="auto"/>
        </w:rPr>
        <w:t xml:space="preserve"> </w:t>
      </w:r>
      <w:r>
        <w:rPr>
          <w:rFonts w:ascii="Arial" w:cs="Arial" w:eastAsia="Arial" w:hAnsi="Arial"/>
          <w:sz w:val="18"/>
          <w:szCs w:val="18"/>
          <w:color w:val="auto"/>
        </w:rPr>
        <w:t>nevertheless may qualify as a REIT for such year if we qualify for relief under certain provisions of the Code. Those relief provisions generally will be available if our failure to meet such tests is due to reasonable cause and not due to willful neglect, and we attach a schedule of the sources of our income to our tax return. We may not qualify for the relief provisions in all circumstances. In addition, as discussed above in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Asset Tests</w:t>
      </w:r>
      <w:r>
        <w:rPr>
          <w:rFonts w:ascii="Arial" w:cs="Arial" w:eastAsia="Arial" w:hAnsi="Arial"/>
          <w:sz w:val="16"/>
          <w:szCs w:val="16"/>
          <w:color w:val="auto"/>
        </w:rPr>
        <w:t>. To maintain our qualification as a REIT, we also must satisfy two asset tests at the close of each quarter of each taxable year:</w:t>
      </w:r>
    </w:p>
    <w:p>
      <w:pPr>
        <w:spacing w:after="0" w:line="100" w:lineRule="exact"/>
        <w:rPr>
          <w:sz w:val="20"/>
          <w:szCs w:val="20"/>
          <w:color w:val="auto"/>
        </w:rPr>
      </w:pPr>
    </w:p>
    <w:p>
      <w:pPr>
        <w:ind w:left="900" w:right="3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37" w:lineRule="exact"/>
        <w:rPr>
          <w:rFonts w:ascii="Arial" w:cs="Arial" w:eastAsia="Arial" w:hAnsi="Arial"/>
          <w:sz w:val="18"/>
          <w:szCs w:val="18"/>
          <w:color w:val="auto"/>
        </w:rPr>
      </w:pPr>
    </w:p>
    <w:p>
      <w:pPr>
        <w:jc w:val="both"/>
        <w:ind w:left="900" w:right="12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45"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37" w:lineRule="exact"/>
        <w:rPr>
          <w:rFonts w:ascii="Arial" w:cs="Arial" w:eastAsia="Arial" w:hAnsi="Arial"/>
          <w:sz w:val="18"/>
          <w:szCs w:val="18"/>
          <w:color w:val="auto"/>
        </w:rPr>
      </w:pPr>
    </w:p>
    <w:p>
      <w:pPr>
        <w:ind w:left="900" w:right="60" w:hanging="446"/>
        <w:spacing w:after="0" w:line="294"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 (B) we may not own more than 10% of the voting power or value of any one issuer’s outstanding securities, which does not include our equity ownership in other REITs, any qualified REIT subsidiary, or any taxable REIT subsidiary (the “10% asset test”), and (C) the value of our securities in one or more taxable REIT subsidiaries may not exceed 20% of the value of our total assets.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failed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Relief from Consequences of Failing to Meet Asset Tests. </w:t>
      </w:r>
      <w:r>
        <w:rPr>
          <w:rFonts w:ascii="Arial" w:cs="Arial" w:eastAsia="Arial" w:hAnsi="Arial"/>
          <w:sz w:val="16"/>
          <w:szCs w:val="16"/>
          <w:color w:val="auto"/>
        </w:rPr>
        <w:t>Beginning with our 2005 taxable year, if we fail to satisfy one or more of the asset tests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a taxable year, we nevertheless may qualify as a REIT for such year if we qualify for relief under certain provisions of the Code. Those relief provisions generally are available for failures of the 5% asset test and the 10% asset test if (i) the failure is due to the ownership of assets that do not exceed the lesser of 1% of our total assets or $10 million, and the failure is corrected within 6 months following the quarter in which it was discovered, or (ii) the failure is due to ownership of assets that exceed the amount in (i) above, the failure is due to reasonable cause and not due to willful neglect, we file a schedule with a description of each asset causing the failure in accordance with regulations prescribed by the Treasury, the failure is corrected within 6 months following the quarter in which it was discovered, and we pay a tax consisting of the greater of $50,000 or a tax computed at the highest corporate rate on the amount of net income generated by the assets causing the failure from the date of failure until the assets are disposed of or we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otherwise return to compliance with the asset test. We may not qualify for the relief provisions in all circumstances.</w:t>
      </w:r>
    </w:p>
    <w:p>
      <w:pPr>
        <w:spacing w:after="0" w:line="15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Distribution Requirements</w:t>
      </w:r>
      <w:r>
        <w:rPr>
          <w:rFonts w:ascii="Arial" w:cs="Arial" w:eastAsia="Arial" w:hAnsi="Arial"/>
          <w:sz w:val="18"/>
          <w:szCs w:val="18"/>
          <w:color w:val="auto"/>
        </w:rPr>
        <w:t>. Each taxable year, we must distribute dividends (other than capital gain dividends and deemed distributions of retained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3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declare the distribution before we timely file our federal income tax return for such year and pay the distribution on or before the first regular dividend payment date after such declaration.</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Record Keeping Requirements</w:t>
      </w:r>
      <w:r>
        <w:rPr>
          <w:rFonts w:ascii="Arial" w:cs="Arial" w:eastAsia="Arial" w:hAnsi="Arial"/>
          <w:sz w:val="18"/>
          <w:szCs w:val="18"/>
          <w:color w:val="auto"/>
        </w:rPr>
        <w:t>. We must maintain certain records to qualify as a REIT. In addition, to avoid a monetary penalty, we must request on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stock. We have complied, and we intend to continue to comply, with such requirements.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Relief from Other Failures of the REIT Qualification Provisions. </w:t>
      </w:r>
      <w:r>
        <w:rPr>
          <w:rFonts w:ascii="Arial" w:cs="Arial" w:eastAsia="Arial" w:hAnsi="Arial"/>
          <w:sz w:val="18"/>
          <w:szCs w:val="18"/>
          <w:color w:val="auto"/>
        </w:rPr>
        <w:t>Beginning with our 2005 taxable year, if we fail to satisfy one or more of the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REIT qualification (other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3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Failure to Qualify</w:t>
      </w:r>
      <w:r>
        <w:rPr>
          <w:rFonts w:ascii="Arial" w:cs="Arial" w:eastAsia="Arial" w:hAnsi="Arial"/>
          <w:sz w:val="16"/>
          <w:szCs w:val="16"/>
          <w:color w:val="auto"/>
        </w:rPr>
        <w:t>. If we failed to qualify as a REIT in any taxable year, and no relief provision applied, we would be subject to federal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any applicable alternative minimum tax) on our taxable income at regular corporate rates. In calculating our taxable income in a year in which we failed to qualify as a REIT, we would not be able to deduct amounts paid out to shareholders. In fact, we would not be required to distribute any amounts to shareholders in such year. In such event, to the extent of our current and accumulated earnings and profits, all distributions to shareholders would be taxable as ordinary income. Such distributions would, however, be “qualified dividend income,” which is taxable at long-term capital gain rates for individual stockholders.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“U.S. shareholder” means a holder of common shares that for U.S. federal income tax purposes is</w:t>
      </w:r>
    </w:p>
    <w:p>
      <w:pPr>
        <w:spacing w:after="0" w:line="77"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corporation, partnership, or other entity created or organized in or under the laws of the United States, any of its states or the District of Columbia;</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03"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trust with respect to which (A) a U.S. court is able to exercise primary supervision over the administration of such trust and (B) one or more U.S. persons have the authority to control all substantial decisions of the trust. Notwithstanding the preceding sentence, to the extent provided in the Treasury regulations, some trusts in existence on August 20, 1996, and treated as United States persons prior to this date that elect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continue to be treated as United States persons, shall be considered United States shareholders.</w:t>
      </w:r>
    </w:p>
    <w:p>
      <w:pPr>
        <w:spacing w:after="0" w:line="15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a partnership, including an entity that is treated as a partnership for U.S. federal income tax purposes, is a beneficial owner of our common stock, the treatment of a partner in the partnership will generally depend on the status of the partner and the activities of the partnership.</w:t>
      </w:r>
    </w:p>
    <w:p>
      <w:pPr>
        <w:spacing w:after="0" w:line="72"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i w:val="1"/>
          <w:iCs w:val="1"/>
          <w:color w:val="auto"/>
        </w:rPr>
        <w:t xml:space="preserve">Dividends and Other U.S. Shareholder Distributions. </w:t>
      </w:r>
      <w:r>
        <w:rPr>
          <w:rFonts w:ascii="Arial" w:cs="Arial" w:eastAsia="Arial" w:hAnsi="Arial"/>
          <w:sz w:val="16"/>
          <w:szCs w:val="16"/>
          <w:color w:val="auto"/>
        </w:rPr>
        <w:t>As long as we qualify as a REIT, a taxable U.S. shareholder must take into account distributions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shares out of our current or accumulated earnings and profits (and that we do not designate as capital gain dividends or retained long-term capital gain) as ordinary income. Such distributions will not qualify for the dividends received deduction generally available to corporations.</w:t>
      </w:r>
    </w:p>
    <w:p>
      <w:pPr>
        <w:spacing w:after="0" w:line="9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U.S. shareholder will recognize distributions that we designate as capital gain dividends as long-term capital gain (to the extent they do not exceed our actual net capital gain for the taxable year) without regard to the period for which the U.S. shareholder has held its common shares. Subject to certain limitations, we will designate our capital gain dividends as either 20% or 25% rate distributions. A corporate U.S. shareholder, however, may be required to treat up to 20% of certain capital gain dividends as ordinary income.</w:t>
      </w:r>
    </w:p>
    <w:p>
      <w:pPr>
        <w:spacing w:after="0" w:line="13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U.S. shareholder would be taxed on its proportionate share of our undistributed long-term capital gain. The U.S. shareholder would receive a credit or refund for its proportionate share of the tax we paid. The U.S. shareholder would increase the basis in its stock by the amount of its proportionate share of our undistributed long-term capital gain, minus its share of the tax we paid.</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U.S. shareholder will not incur tax on a distribution to the extent it exceeds our current and accumulated earnings and profits if such distribution does not exceed the adjusted basis of the U.S. shareholder’s common shares. Instead, such distribution in excess of earnings and profits will reduce the adjusted basis of such common shares. To the extent a distribution exceeds both our current and accumulated earnings and profits and the U.S. shareholder’s adjusted basis in its common shares, the U.S. shareholder will recognize long-term capital gain (or short-term capital gain if the common shares have been held for one year or less), assuming</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common shares are a capital asset in the hands of the U.S. shareholder. In addition, if we declare a distribution in October, November, or December of any year that is payable to a U.S. shareholder of record on a specified date in any such month, such distribution shall be treated as both paid by us and received by the U.S. shareholder on December 31 of such year, provided that we actually pay the distribution during January of the following calendar year. We will notify U.S. shareholders after the close of our taxable year as to the portions of the distributions attributable to that year that constitute ordinary income or capital gain dividends.</w:t>
      </w:r>
    </w:p>
    <w:p>
      <w:pPr>
        <w:spacing w:after="0" w:line="1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Taxation of U.S. Shareholders on the Disposition of the Common Shares</w:t>
      </w:r>
      <w:r>
        <w:rPr>
          <w:rFonts w:ascii="Arial" w:cs="Arial" w:eastAsia="Arial" w:hAnsi="Arial"/>
          <w:sz w:val="16"/>
          <w:szCs w:val="16"/>
          <w:color w:val="auto"/>
        </w:rPr>
        <w:t>. In general, a U.S. shareholder who is not a dealer in securities must treat any gain</w:t>
      </w:r>
      <w:r>
        <w:rPr>
          <w:rFonts w:ascii="Arial" w:cs="Arial" w:eastAsia="Arial" w:hAnsi="Arial"/>
          <w:sz w:val="16"/>
          <w:szCs w:val="16"/>
          <w:i w:val="1"/>
          <w:iCs w:val="1"/>
          <w:color w:val="auto"/>
        </w:rPr>
        <w:t xml:space="preserve"> </w:t>
      </w:r>
      <w:r>
        <w:rPr>
          <w:rFonts w:ascii="Arial" w:cs="Arial" w:eastAsia="Arial" w:hAnsi="Arial"/>
          <w:sz w:val="16"/>
          <w:szCs w:val="16"/>
          <w:color w:val="auto"/>
        </w:rPr>
        <w:t>or loss realized upon a taxable disposition of the common shares as long-term capital gain or loss if the U.S. shareholder has held the common stock for more than one year and otherwise as short-term capital gain or loss. However, a U.S. shareholder must treat any loss upon a sale or exchange of common shares held by such shareholder for six months or less (after applying certain holding period rules) as a long-term capital loss to the extent of capital gain dividends and other distributions from us that such U.S. shareholder treats as long-term capital gain. All or a portion of any loss a U.S. shareholder realizes upon a taxable disposition of the common shares may be disallowed if the U.S. shareholder purchases additional common shares within the 61-day period beginning 30 days before and ending 30 days after the disposition.</w:t>
      </w:r>
    </w:p>
    <w:p>
      <w:pPr>
        <w:spacing w:after="0" w:line="10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color w:val="auto"/>
        </w:rPr>
        <w:t>Capital Gains and Losses</w:t>
      </w:r>
      <w:r>
        <w:rPr>
          <w:rFonts w:ascii="Arial" w:cs="Arial" w:eastAsia="Arial" w:hAnsi="Arial"/>
          <w:sz w:val="16"/>
          <w:szCs w:val="16"/>
          <w:color w:val="auto"/>
        </w:rPr>
        <w:t>. A taxpayer generally must hold a capital asset for more than one year for gain or loss derived from its sale or exchange to be</w:t>
      </w:r>
      <w:r>
        <w:rPr>
          <w:rFonts w:ascii="Arial" w:cs="Arial" w:eastAsia="Arial" w:hAnsi="Arial"/>
          <w:sz w:val="16"/>
          <w:szCs w:val="16"/>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tax rate differential between capital gain and ordinary income for non-corporate taxpayers is significant. A U.S. shareholder required to include retained long-term capital gains in income will be deemed to have paid, in the taxable year of the inclusion, its proportionate share of the tax paid by us in respect of such undistributed net capital gains. U.S. shareholders subject to these rules will be allowed a credit or a refund, as the case may be, for the tax deemed to have been paid by such shareholders. U.S. shareholders will increase their basis in their common shares by the difference between the amount of such includible gains and the tax deemed paid by the U.S. shareholder in respect of such gains. In addition, the characterization of income as capital gain or ordinary income may affect the deductibility of capital losses. A non-corporate taxpayer generally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The Jobs and Growth Tax Relief Reconciliation Act of 2003. </w:t>
      </w:r>
      <w:r>
        <w:rPr>
          <w:rFonts w:ascii="Arial" w:cs="Arial" w:eastAsia="Arial" w:hAnsi="Arial"/>
          <w:sz w:val="16"/>
          <w:szCs w:val="16"/>
          <w:color w:val="auto"/>
        </w:rPr>
        <w:t>Under the Act, which was signed into law on May 28, 2003, the maximum tax rate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capital gains of domestic non-corporate taxpayers is reduced to 15% for taxable years beginning on or before December 31, 2008. The Act also reduced the tax rate on “qualified dividend income” to the maximum capital gains rate. Because, as a REIT, we are not generally subject to tax on the portion of our REIT taxable income or capital gains distributed to our shareholders, our distributions are not generally eligible for this new tax rate on dividends. As a result, our ordinary REIT distributions continue to be taxed at the higher tax rates applicable to ordinary income. However, the new 15% rate does generally apply to:</w:t>
      </w:r>
    </w:p>
    <w:p>
      <w:pPr>
        <w:spacing w:after="0" w:line="21"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03"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and</w:t>
      </w:r>
    </w:p>
    <w:p>
      <w:pPr>
        <w:spacing w:after="0" w:line="103"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Without further legislation, the maximum tax rate on long-term capital gains will revert to 20% in 2009.</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Information Reporting Requirements and Back-up Withholding</w:t>
      </w:r>
      <w:r>
        <w:rPr>
          <w:rFonts w:ascii="Arial" w:cs="Arial" w:eastAsia="Arial" w:hAnsi="Arial"/>
          <w:sz w:val="16"/>
          <w:szCs w:val="16"/>
          <w:color w:val="auto"/>
        </w:rPr>
        <w:t>. We will report to our shareholders and to the IRS the amount of distributions we pay during</w:t>
      </w:r>
      <w:r>
        <w:rPr>
          <w:rFonts w:ascii="Arial" w:cs="Arial" w:eastAsia="Arial" w:hAnsi="Arial"/>
          <w:sz w:val="16"/>
          <w:szCs w:val="16"/>
          <w:i w:val="1"/>
          <w:iCs w:val="1"/>
          <w:color w:val="auto"/>
        </w:rPr>
        <w:t xml:space="preserve"> </w:t>
      </w:r>
      <w:r>
        <w:rPr>
          <w:rFonts w:ascii="Arial" w:cs="Arial" w:eastAsia="Arial" w:hAnsi="Arial"/>
          <w:sz w:val="16"/>
          <w:szCs w:val="16"/>
          <w:color w:val="auto"/>
        </w:rPr>
        <w:t>each calendar year, and the amount of tax we withhold, if any. Under the backup withholding rules, a shareholder may be subject to backup withholding (at the rate of 28% through December 31, 2010 and thereafter at a rate of 31%) with respect to distributions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Any amount paid as back-up withholding will be creditable against the shareholder’s income tax liability. In addition, we may be required to withhold a portion of capital gain distributions to any shareholders who fail to certify their non-foreign status to 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8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UBTI. However, if an exempt organization were to finance its acquisition of common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common stock.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it were a pension trust) divided by our total gross income for the year in which we pay the dividends. The UBTI rule applies to a pension trust holding more than 10% of our shares only if:</w:t>
      </w:r>
    </w:p>
    <w:p>
      <w:pPr>
        <w:spacing w:after="0" w:line="25"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03"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37" w:lineRule="exact"/>
        <w:rPr>
          <w:rFonts w:ascii="Arial" w:cs="Arial" w:eastAsia="Arial" w:hAnsi="Arial"/>
          <w:sz w:val="18"/>
          <w:szCs w:val="18"/>
          <w:color w:val="auto"/>
        </w:rPr>
      </w:pPr>
    </w:p>
    <w:p>
      <w:pPr>
        <w:ind w:left="900" w:right="480" w:hanging="446"/>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rules governing U.S. federal income taxation of non-U.S. shareholders are complex. This section is only a summary of such rules. We urge non-U.S. shareholders to consult their own tax advisors to determine the impact of federal, state, and local income tax laws on ownership of common shares, including any reporting requirements. As used herein, the term “non-U.S. shareholder” means any beneficial owner of our shares that is not a U.S. shareholder.</w:t>
      </w:r>
    </w:p>
    <w:p>
      <w:pPr>
        <w:spacing w:after="0" w:line="9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Ordinary Dividends</w:t>
      </w:r>
      <w:r>
        <w:rPr>
          <w:rFonts w:ascii="Arial" w:cs="Arial" w:eastAsia="Arial" w:hAnsi="Arial"/>
          <w:sz w:val="18"/>
          <w:szCs w:val="18"/>
          <w:color w:val="auto"/>
        </w:rPr>
        <w:t>. A non-U.S. shareholder that receives a distribution that is not attributable to gain from our sale or exchange of U.S. real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(as defined below) and that we do not designate as a capital gain dividend or retained capital gain will recognize ordinary income to the extent that we pay such distribution out of our current or accumulated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earnings and profits. A withholding tax equal to 30% of the 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(or beneficial owner in the case of shares owned through a pass-through entity that is not acting as a withholding foreign partnership or trust) provides IRS Form W-8BEN to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10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i w:val="1"/>
          <w:iCs w:val="1"/>
          <w:color w:val="auto"/>
        </w:rPr>
        <w:t xml:space="preserve"> </w:t>
      </w:r>
      <w:r>
        <w:rPr>
          <w:rFonts w:ascii="Arial" w:cs="Arial" w:eastAsia="Arial" w:hAnsi="Arial"/>
          <w:sz w:val="16"/>
          <w:szCs w:val="16"/>
          <w:color w:val="auto"/>
        </w:rPr>
        <w:t>such distribution does not exceed the adjusted basis of its common shares. Instead, such distribution in excess of earnings and profits will reduce the adjusted basis of such common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common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Capital Gain Dividends</w:t>
      </w:r>
      <w:r>
        <w:rPr>
          <w:rFonts w:ascii="Arial" w:cs="Arial" w:eastAsia="Arial" w:hAnsi="Arial"/>
          <w:sz w:val="16"/>
          <w:szCs w:val="16"/>
          <w:color w:val="auto"/>
        </w:rPr>
        <w:t>. For years prior to our 2005 taxable year, a non-U.S. shareholder incurs tax on distributions that are attributable to gain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non-U.S.shareholder. A non-U.S. shareholder thus would be taxed on such a distribution at the normal capital gain rates applicable to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distributions withheld at 35% equals the amount of the distribution designated as a capital gain dividend. A non-U.S. shareholder may receive a credit against its FIRPTA tax liability for the amount we withhold.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Beginning with our 2005 taxable year, the above taxation under FIRPTA of capital gain dividends (or retained capital gain that is deemed to be distributed) does not apply, provided our common shares are “regularly traded” on an established securities market in the United States, and the non-U.S. shareholder does not own more than 5% of the common stock at any time during the taxable year. Instead, such amounts are treated as an ordinary dividend not effectively connected to a U.S. trade or business, taxable as described above under “Taxation of Non-U.S. Shareholders – Ordinary Dividends.”</w:t>
      </w:r>
    </w:p>
    <w:p>
      <w:pPr>
        <w:spacing w:after="0" w:line="9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i w:val="1"/>
          <w:iCs w:val="1"/>
          <w:color w:val="auto"/>
        </w:rPr>
        <w:t>Sale of Shares</w:t>
      </w:r>
      <w:r>
        <w:rPr>
          <w:rFonts w:ascii="Arial" w:cs="Arial" w:eastAsia="Arial" w:hAnsi="Arial"/>
          <w:sz w:val="16"/>
          <w:szCs w:val="16"/>
          <w:color w:val="auto"/>
        </w:rPr>
        <w:t>. A non-U.S. shareholder generally will not incur tax under FIRPTA on gain from the sale of its common shares as long as we are a</w:t>
      </w:r>
      <w:r>
        <w:rPr>
          <w:rFonts w:ascii="Arial" w:cs="Arial" w:eastAsia="Arial" w:hAnsi="Arial"/>
          <w:sz w:val="16"/>
          <w:szCs w:val="16"/>
          <w:i w:val="1"/>
          <w:iCs w:val="1"/>
          <w:color w:val="auto"/>
        </w:rPr>
        <w:t xml:space="preserve"> </w:t>
      </w:r>
      <w:r>
        <w:rPr>
          <w:rFonts w:ascii="Arial" w:cs="Arial" w:eastAsia="Arial" w:hAnsi="Arial"/>
          <w:sz w:val="16"/>
          <w:szCs w:val="16"/>
          <w:color w:val="auto"/>
        </w:rPr>
        <w:t>“domestically controlled REIT.” A “domestically controlled REIT” is a REIT in which at all times during a specified testing period non-U.S. persons held, directly or indirectly, less than 50% in value of the stock. We anticipate that we will continue to be a “domestically controlled REIT.” In addition, a non-U.S. shareholder that owns, actually or constructively, 5% or less of outstanding common shares at all times during a specified testing period will not incur tax under FIRPTA if the common shares are “regularly traded” on an established securities market. If neither of these exceptions were to apply, the gain on the sale of the common shares would be taxed under FIRPTA, in which case a non-U.S. shareholder would be taxed in the same manner as U.S. shareholders with respect to such gain (subject to applicable alternative minimum tax and a special alternative minimum tax in the case of nonresident alien individuals).</w:t>
      </w:r>
    </w:p>
    <w:p>
      <w:pPr>
        <w:spacing w:after="0" w:line="105"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9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Back-up Withholding</w:t>
      </w:r>
      <w:r>
        <w:rPr>
          <w:rFonts w:ascii="Arial" w:cs="Arial" w:eastAsia="Arial" w:hAnsi="Arial"/>
          <w:sz w:val="16"/>
          <w:szCs w:val="16"/>
          <w:color w:val="auto"/>
        </w:rPr>
        <w:t>. Back-up withholding tax (which generally is withholding at the rate of 28% through December 31, 2010 and thereafter at a rate of</w:t>
      </w:r>
      <w:r>
        <w:rPr>
          <w:rFonts w:ascii="Arial" w:cs="Arial" w:eastAsia="Arial" w:hAnsi="Arial"/>
          <w:sz w:val="16"/>
          <w:szCs w:val="16"/>
          <w:i w:val="1"/>
          <w:iCs w:val="1"/>
          <w:color w:val="auto"/>
        </w:rPr>
        <w:t xml:space="preserve"> </w:t>
      </w:r>
      <w:r>
        <w:rPr>
          <w:rFonts w:ascii="Arial" w:cs="Arial" w:eastAsia="Arial" w:hAnsi="Arial"/>
          <w:sz w:val="16"/>
          <w:szCs w:val="16"/>
          <w:color w:val="auto"/>
        </w:rPr>
        <w:t>31%), on certain payments to persons that fail to furnish certain information under the United States information reporting requirements) and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shares effected at a foreign office of a foreign broker. Information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reporting (but not back-up withholding) will apply, however, to a payment of the proceeds of a sale of common shares by a foreign office of a broker that:</w:t>
      </w:r>
    </w:p>
    <w:p>
      <w:pPr>
        <w:spacing w:after="0" w:line="100"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U.S. shareholders) for U.S. tax purposes; or</w:t>
      </w:r>
    </w:p>
    <w:p>
      <w:pPr>
        <w:spacing w:after="0" w:line="103"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50% or more of its income or capital interest are held by U.S. persons or if it is engaged in the conduct of a trade or business in the U.S.,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Consequences</w:t>
      </w:r>
    </w:p>
    <w:p>
      <w:pPr>
        <w:spacing w:after="0" w:line="8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8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from the sale of the common shares covered by this prospectus.</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sale or distribution of all or any portion of the commons shares covered by this prospectus may be effected from time to time by the selling shareholder, or any of its pledgees, donees, transferees or other successors in interest to the selling shareholder. The sales may be made directly, indirectly through brokers or dealers or in a distribution by one or more underwriters on a firm commitment or best efforts basis, in the over-the-counter market, on any national securities exchange or automated quotation system on which the common shares covered by this prospectus may be listed or traded, in privately negotiated transactions, to or through a market maker, or through any other legally available means. In addition, the sales will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be made at market prices prevailing at the time of sale, at prices related to such prevailing market prices or at negotiated prices.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the common shares covered by this prospectus may be sold or distributed include:</w:t>
      </w:r>
    </w:p>
    <w:p>
      <w:pPr>
        <w:spacing w:after="0" w:line="77" w:lineRule="exact"/>
        <w:rPr>
          <w:sz w:val="20"/>
          <w:szCs w:val="20"/>
          <w:color w:val="auto"/>
        </w:rPr>
      </w:pPr>
    </w:p>
    <w:p>
      <w:pPr>
        <w:ind w:left="900" w:right="740" w:hanging="446"/>
        <w:spacing w:after="0" w:line="325"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block trade (which may involve crosses) in which the broker or dealer so engaged will attempt to sell the common shares covered by this prospectus as agent but may position and resell a portion of the block as principal to facilitate the transaction;</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account pursuant to this prospectus;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 rata distributions as part of the liquidation and winding up of the affairs of the selling shareholder or successor in interest that is an entity;</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pledges to a lender as collateral to secure loans, credit or other financing arrangements and any subsequent foreclosure, if any, thereunder; or</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effecting sales, brokers or dealers engaged by the selling shareholder may arrange for other brokers or dealers to participate. Any public offering price and any discount, concession or commission allowed or reallowed or paid to dealers may be changed from time to time and, as to any particular underwriter, broker, dealer or agent, may be in excess of those customary in the types of transactions involved.</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selling shareholder may from time to time sell all or a portion of the common shares covered by this prospectus short and deliver those securities to cover the short sale or sales, or may deliver the common shares covered by this prospectus upon the exercise, settlement or closing of a call equivalent position or a put equivalent position. The selling shareholder also may enter into hedging transactions with brokers, dealers or other financial institutions, which may in turn engage in short sales of the common shares covered by this prospectus in the course of hedging the positions they assume.</w:t>
      </w:r>
    </w:p>
    <w:p>
      <w:pPr>
        <w:spacing w:after="0" w:line="99"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selling shareholder and the brokers or dealers participating in the distribution of the common shares covered by this prospectus may be deemed “underwriters” within the meaning of the Securities Act. Any profit on the sale of the common shares covered by this prospectus by the selling shareholder and any discounts, concessions or commissions received by any such brokers or dealers may be regarded as underwriting commissions under the Securities Act.</w:t>
      </w:r>
    </w:p>
    <w:p>
      <w:pPr>
        <w:spacing w:after="0" w:line="9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connection with the sale or distribution of the common shares covered by this prospectus, the rules of the Commission permit any underwriter to engage in certain transactions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that stabilize the price of the common shares covered by this prospectus. These transactions may consist of bids or purchases for the purpose of pegging, fixing or maintaining the price of the common shares covered by this prospectus.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Underwriters, brokers, dealers or agents may be entitled, under agreements with us, to indemnification against the contribution toward certain civil liabilities, including liabilities under the Securities Act.</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pay all expenses in connection with the registration of the common shares covered by this prospectus. The selling shareholder will pay for any brokerage or underwriting commissions and taxes of any kind (including, without limitation, transfer taxes) with respect to any disposition, sale or transfer of the common shares covered by this prospectus.</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common shares covered by this prospectus not sold pursuant to the registration statement on Form S-3 of which this prospectus is a part may be subject to certain restrictions under the Securities Act and could be sold, if at all, only pursuant to Rule 144 or another exemption from the registration requirements of the Securities Act. In general, under Rule 144, a person (or persons whose offered shares are aggregated) who has satisfied a one-year holding period may, under certain circumstances, sell within any three-month period a number of the common shares covered by this prospectus which does not exceed the greater of one percent of the our outstanding common shares or the average weekly reported trading volume of the common shares covered by this prospectus during the four calendar weeks prior to such sale. Rule 144 also permits, under certain circumstances, the sale of the common shares covered by this prospectus by a person who is not an affiliate of ours and who has satisfied a two-year holding period without any volume limitation. Therefore, both during and after the effectiveness of the registration statement, the selling shareholder may sell the common shares covered by this prospectus pursuant to Rule 144.</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Pursuant to the Securities Act of 1933 and the rules promulgated thereunder, we are required to, and have incorporated into this registration statement our Annual Report on Form 10-K for the year ended December 31, 2004. Grant Thornton LLP, independent registered public accounting firm, have audited our consolidated financial statements and schedules and management’s assessment of the effectiveness of internal control over financial reporting included in our Annual Report on Form 10-K for the year ended December 31, 2004, as set forth in their reports, which are incorporated by reference in this prospectus and elsewhere in the registration statement. Our financial statements and schedules and management’s assessment of the effectiveness of internal control over financial reporting contained in the 2004 Form 10-K are incorporated by reference in reliance on Grant Thornton LLP’s report, given on their authority as experts in accounting and auditing.</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validity of the offered shares and the accuracy of the discussion under “Federal Income Tax Considerations” will be passed upon for us by Pillsbury Winthrop Shaw Pittman LLP, Washington,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D.C. If any portion of the offered shares is distributed in an underwritten offering or through agents, certain legal matters may be passed upon for any agents or underwriters by counsel for such agents or underwriters identified in the applicable prospectus supplement.</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40" w:firstLine="456"/>
        <w:spacing w:after="0" w:line="347" w:lineRule="auto"/>
        <w:rPr>
          <w:sz w:val="20"/>
          <w:szCs w:val="20"/>
          <w:color w:val="auto"/>
        </w:rPr>
      </w:pPr>
      <w:r>
        <w:rPr>
          <w:rFonts w:ascii="Arial" w:cs="Arial" w:eastAsia="Arial" w:hAnsi="Arial"/>
          <w:sz w:val="15"/>
          <w:szCs w:val="15"/>
          <w:color w:val="auto"/>
        </w:rPr>
        <w:t>We file annual, quarterly and special reports, proxy statements and other information with the Commission. Our Commission filings are available to the public over the Commission’s website at http://www.sec.gov. You may also read and copy any document we file at the Commission’s Public Reference Room at: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Public Reference Section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Room 1200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Please call the Commission at (800) SEC-0330 for further information on the operating rules and procedures for the public reference room.</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Commission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Commission will automatically update and supersede this information. We incorporate by reference the documents listed below as well as any future filings made with the Commission under Sections 13(a), 13(c), 14, or 15(d) of the Securities Exchange Act from the date of the initial registration statement and prior to the effectiveness of this registration statement, and any filings made from the date of this prospectus until we sell all of the securities under this prospectus as supplemented.</w:t>
      </w:r>
    </w:p>
    <w:p>
      <w:pPr>
        <w:spacing w:after="0" w:line="50"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2004 filed March 7, 2005.</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Current Report on Form 8-K, filed March 2, 2005.</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Current Report on Form 8-K, filed February 18, 2005.</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w:t>
      </w:r>
    </w:p>
    <w:p>
      <w:pPr>
        <w:spacing w:after="0" w:line="103" w:lineRule="exact"/>
        <w:rPr>
          <w:rFonts w:ascii="Arial" w:cs="Arial" w:eastAsia="Arial" w:hAnsi="Arial"/>
          <w:sz w:val="18"/>
          <w:szCs w:val="18"/>
          <w:color w:val="auto"/>
        </w:rPr>
      </w:pPr>
    </w:p>
    <w:p>
      <w:pPr>
        <w:ind w:left="900" w:right="40" w:hanging="446"/>
        <w:spacing w:after="0" w:line="370" w:lineRule="auto"/>
        <w:tabs>
          <w:tab w:leader="none" w:pos="9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Description of our Common Share Purchase Rights included in the Registration Statement on Form 8-A/A, filed March 11, 1999 and in the First Amendment to Amended and Restated Rights Agreement, dated as of November 2003, between us and American Stock Transfer &amp; Trust Company.</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you may request a copy of these filings and any amendments thereto, at no cost, by writing or telephoning us. Those copies will not include exhibits to those documents unless the exhibits are specifically incorporated by reference in the documents or unless you specifically request them. You may also request copies of any exhibits to the registration statement. Please direct your request to:</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prospectus does not contain all of the information included in the registration statement. We have omitted certain parts of the registration statement in accordance with the rules and regulations of the Commission.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sets forth the estimated fees and expenses, other than underwriting discounts and commissions, payable by us in connection with the issuance and distribution of the securities being registered: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Borders>
              <w:right w:val="single" w:sz="8" w:color="CCEEFF"/>
            </w:tcBorders>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1,112.34</w:t>
            </w:r>
          </w:p>
        </w:tc>
        <w:tc>
          <w:tcPr>
            <w:tcW w:w="80" w:type="dxa"/>
            <w:vAlign w:val="bottom"/>
            <w:shd w:val="clear" w:color="auto" w:fill="CCEEFF"/>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Printing and Duplicating Expenses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3,000.00*</w:t>
            </w:r>
          </w:p>
        </w:tc>
      </w:tr>
      <w:tr>
        <w:trPr>
          <w:trHeight w:val="216"/>
        </w:trPr>
        <w:tc>
          <w:tcPr>
            <w:tcW w:w="1180" w:type="dxa"/>
            <w:vAlign w:val="bottom"/>
            <w:tcBorders>
              <w:right w:val="single" w:sz="8" w:color="CCEEFF"/>
            </w:tcBorders>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15,000.00*</w:t>
            </w:r>
          </w:p>
        </w:tc>
      </w:tr>
      <w:tr>
        <w:trPr>
          <w:trHeight w:val="216"/>
        </w:trPr>
        <w:tc>
          <w:tcPr>
            <w:tcW w:w="11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1180" w:type="dxa"/>
            <w:vAlign w:val="bottom"/>
            <w:tcBorders>
              <w:right w:val="single" w:sz="8" w:color="CCEEFF"/>
            </w:tcBorders>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108"/>
        </w:trPr>
        <w:tc>
          <w:tcPr>
            <w:tcW w:w="118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118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1180" w:type="dxa"/>
            <w:vAlign w:val="bottom"/>
            <w:tcBorders>
              <w:right w:val="single" w:sz="8" w:color="CCEEFF"/>
            </w:tcBorders>
          </w:tcPr>
          <w:p>
            <w:pPr>
              <w:spacing w:after="0"/>
              <w:rPr>
                <w:sz w:val="18"/>
                <w:szCs w:val="18"/>
                <w:color w:val="auto"/>
              </w:rPr>
            </w:pPr>
          </w:p>
        </w:tc>
        <w:tc>
          <w:tcPr>
            <w:tcW w:w="5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25,112.34*</w:t>
            </w:r>
          </w:p>
        </w:tc>
      </w:tr>
      <w:tr>
        <w:trPr>
          <w:trHeight w:val="129"/>
        </w:trPr>
        <w:tc>
          <w:tcPr>
            <w:tcW w:w="118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1180" w:type="dxa"/>
            <w:vAlign w:val="bottom"/>
            <w:tcBorders>
              <w:bottom w:val="single" w:sz="8" w:color="auto"/>
            </w:tcBorders>
          </w:tcPr>
          <w:p>
            <w:pPr>
              <w:spacing w:after="0"/>
              <w:rPr>
                <w:sz w:val="18"/>
                <w:szCs w:val="18"/>
                <w:color w:val="auto"/>
              </w:rPr>
            </w:pPr>
          </w:p>
        </w:tc>
        <w:tc>
          <w:tcPr>
            <w:tcW w:w="53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-172720</wp:posOffset>
            </wp:positionV>
            <wp:extent cx="53594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Estimated</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Trustees and Officers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to indemnify and advance expenses to any person who served a predecessor of the Registrant in any of the capacities described above and to any employee or agent of the Registrant or a predecessor of the Registrant.</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partner or trustee of such real estate investment trust,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 will,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Title 8 of the Corporations and Associations Code of the State of Maryland, as amended, a shareholder or Trustee of a Maryland real estate investment trust is not personally liable for the obligations of the real estate investment trust, except in any case in which a Trustee otherwise would be liable and such liability to the real estate investment trust or its shareholders constitutes bad faith, willful misfeasance, gross negligence or reckless disregard of the Trustee’s duties. Title 1 of the Corporations and Associations Code of the State of Maryland, as amended, permits a corporation to indemnify its present and former Trustees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Trustee or officer was material to the matter giving rise to the proceeding and (i) was committed in bad faith or (ii) was the result of active and deliberate dishonesty, (b) the Trustee or officer actually received an improper personal benefit in money, property or services or (c) in the case of any criminal proceeding, the Trustee or officer had reasonable cause to believe that the act or omission was unlawful. However, a Maryland corporation may not indemnify a Trustee or officer in a suit by or in the right of the trust if such Trustee or officer has been adjudged to be liable to the corporation.</w:t>
      </w:r>
    </w:p>
    <w:p>
      <w:pPr>
        <w:spacing w:after="0" w:line="10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Trustees, officers or persons controlling the registrant pursuant to the foregoing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provisions, the registrant has been informed that in the opinion of the Securities and Exchange Commission such indemnification is against public policy as expressed in the Securities Act and is therefore unenforceable.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20"/>
                <w:szCs w:val="20"/>
                <w:color w:val="auto"/>
              </w:rPr>
            </w:pPr>
            <w:r>
              <w:rPr>
                <w:rFonts w:ascii="Arial" w:cs="Arial" w:eastAsia="Arial" w:hAnsi="Arial"/>
                <w:sz w:val="18"/>
                <w:szCs w:val="18"/>
                <w:b w:val="1"/>
                <w:bCs w:val="1"/>
                <w:color w:val="auto"/>
                <w:w w:val="98"/>
              </w:rPr>
              <w:t>Item 16.</w:t>
            </w:r>
          </w:p>
        </w:tc>
        <w:tc>
          <w:tcPr>
            <w:tcW w:w="10720" w:type="dxa"/>
            <w:vAlign w:val="bottom"/>
            <w:gridSpan w:val="3"/>
          </w:tcPr>
          <w:p>
            <w:pPr>
              <w:ind w:left="360"/>
              <w:spacing w:after="0"/>
              <w:rPr>
                <w:sz w:val="20"/>
                <w:szCs w:val="20"/>
                <w:color w:val="auto"/>
              </w:rPr>
            </w:pPr>
            <w:r>
              <w:rPr>
                <w:rFonts w:ascii="Arial" w:cs="Arial" w:eastAsia="Arial" w:hAnsi="Arial"/>
                <w:sz w:val="18"/>
                <w:szCs w:val="18"/>
                <w:b w:val="1"/>
                <w:bCs w:val="1"/>
                <w:color w:val="auto"/>
              </w:rPr>
              <w:t>Exhibits</w:t>
            </w:r>
          </w:p>
        </w:tc>
      </w:tr>
      <w:tr>
        <w:trPr>
          <w:trHeight w:val="312"/>
        </w:trPr>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Number</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940" w:type="dxa"/>
            <w:vAlign w:val="bottom"/>
          </w:tcPr>
          <w:p>
            <w:pPr>
              <w:spacing w:after="0"/>
              <w:rPr>
                <w:sz w:val="8"/>
                <w:szCs w:val="8"/>
                <w:color w:val="auto"/>
              </w:rPr>
            </w:pPr>
          </w:p>
        </w:tc>
      </w:tr>
      <w:tr>
        <w:trPr>
          <w:trHeight w:val="417"/>
        </w:trPr>
        <w:tc>
          <w:tcPr>
            <w:tcW w:w="680" w:type="dxa"/>
            <w:vAlign w:val="bottom"/>
          </w:tcPr>
          <w:p>
            <w:pPr>
              <w:ind w:left="100"/>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Specimen Common Share certificate (filed as Exhibit 4(i) to the Trust’s Annual Report on Form 10-K for the year ended December 31, 1999,</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680" w:type="dxa"/>
            <w:vAlign w:val="bottom"/>
          </w:tcPr>
          <w:p>
            <w:pPr>
              <w:ind w:left="100"/>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7"/>
              </w:rPr>
              <w:t>Amended and Restated Rights Agreement, dated March 11, 1999, between the Trust and American Stock Transfer &amp; Trust Company (filed as</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0"/>
              </w:rPr>
              <w:t>Exhibit 1 to the Trust’s Registration Statement No. 1-07533 on Form 8-A/A filed on March 11, 1999, and incorporated herein by reference)</w:t>
            </w:r>
          </w:p>
        </w:tc>
      </w:tr>
      <w:tr>
        <w:trPr>
          <w:trHeight w:val="324"/>
        </w:trPr>
        <w:tc>
          <w:tcPr>
            <w:tcW w:w="680" w:type="dxa"/>
            <w:vAlign w:val="bottom"/>
          </w:tcPr>
          <w:p>
            <w:pPr>
              <w:ind w:left="100"/>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8"/>
              </w:rPr>
              <w:t>First Amendment to Amended and Restated Rights Agreement, dated as of November 2003, between the Trust and American Stock Transfer</w:t>
            </w:r>
          </w:p>
        </w:tc>
      </w:tr>
    </w:tbl>
    <w:p>
      <w:pPr>
        <w:ind w:left="1460" w:right="60" w:hanging="7"/>
        <w:spacing w:after="0" w:line="261" w:lineRule="auto"/>
        <w:tabs>
          <w:tab w:leader="none" w:pos="1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Trust Company (filed as Exhibit 4.5 to the Trust’s Annual Report on Form 10-K for the year ended December 31, 2003 filed on March 15, 2004, and incorporated herein by reference)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jc w:val="right"/>
              <w:ind w:right="412"/>
              <w:spacing w:after="0"/>
              <w:rPr>
                <w:sz w:val="20"/>
                <w:szCs w:val="20"/>
                <w:color w:val="auto"/>
              </w:rPr>
            </w:pPr>
            <w:r>
              <w:rPr>
                <w:rFonts w:ascii="Arial" w:cs="Arial" w:eastAsia="Arial" w:hAnsi="Arial"/>
                <w:sz w:val="18"/>
                <w:szCs w:val="18"/>
                <w:color w:val="auto"/>
              </w:rPr>
              <w:t>4.4</w:t>
            </w:r>
          </w:p>
        </w:tc>
        <w:tc>
          <w:tcPr>
            <w:tcW w:w="9060" w:type="dxa"/>
            <w:vAlign w:val="bottom"/>
          </w:tcPr>
          <w:p>
            <w:pPr>
              <w:ind w:left="640"/>
              <w:spacing w:after="0"/>
              <w:rPr>
                <w:sz w:val="20"/>
                <w:szCs w:val="20"/>
                <w:color w:val="auto"/>
              </w:rPr>
            </w:pPr>
            <w:r>
              <w:rPr>
                <w:rFonts w:ascii="Arial" w:cs="Arial" w:eastAsia="Arial" w:hAnsi="Arial"/>
                <w:sz w:val="18"/>
                <w:szCs w:val="18"/>
                <w:color w:val="auto"/>
                <w:w w:val="88"/>
              </w:rPr>
              <w:t>Registration Rights Agreement, dated as of February 1, 2005, between the Trust and Francis O. Day, III (filed herewith)</w:t>
            </w:r>
          </w:p>
        </w:tc>
      </w:tr>
      <w:tr>
        <w:trPr>
          <w:trHeight w:val="324"/>
        </w:trPr>
        <w:tc>
          <w:tcPr>
            <w:tcW w:w="820" w:type="dxa"/>
            <w:vAlign w:val="bottom"/>
          </w:tcPr>
          <w:p>
            <w:pPr>
              <w:jc w:val="right"/>
              <w:ind w:right="412"/>
              <w:spacing w:after="0"/>
              <w:rPr>
                <w:sz w:val="20"/>
                <w:szCs w:val="20"/>
                <w:color w:val="auto"/>
              </w:rPr>
            </w:pPr>
            <w:r>
              <w:rPr>
                <w:rFonts w:ascii="Arial" w:cs="Arial" w:eastAsia="Arial" w:hAnsi="Arial"/>
                <w:sz w:val="18"/>
                <w:szCs w:val="18"/>
                <w:color w:val="auto"/>
              </w:rPr>
              <w:t>5.1</w:t>
            </w:r>
          </w:p>
        </w:tc>
        <w:tc>
          <w:tcPr>
            <w:tcW w:w="9060" w:type="dxa"/>
            <w:vAlign w:val="bottom"/>
          </w:tcPr>
          <w:p>
            <w:pPr>
              <w:ind w:left="640"/>
              <w:spacing w:after="0"/>
              <w:rPr>
                <w:sz w:val="20"/>
                <w:szCs w:val="20"/>
                <w:color w:val="auto"/>
              </w:rPr>
            </w:pPr>
            <w:r>
              <w:rPr>
                <w:rFonts w:ascii="Arial" w:cs="Arial" w:eastAsia="Arial" w:hAnsi="Arial"/>
                <w:sz w:val="18"/>
                <w:szCs w:val="18"/>
                <w:color w:val="auto"/>
              </w:rPr>
              <w:t>Opinion of Pillsbury Winthrop Shaw Pittman LLP regarding the validity of the shares (filed herewith)</w:t>
            </w:r>
          </w:p>
        </w:tc>
      </w:tr>
      <w:tr>
        <w:trPr>
          <w:trHeight w:val="324"/>
        </w:trPr>
        <w:tc>
          <w:tcPr>
            <w:tcW w:w="820" w:type="dxa"/>
            <w:vAlign w:val="bottom"/>
          </w:tcPr>
          <w:p>
            <w:pPr>
              <w:jc w:val="right"/>
              <w:ind w:right="412"/>
              <w:spacing w:after="0"/>
              <w:rPr>
                <w:sz w:val="20"/>
                <w:szCs w:val="20"/>
                <w:color w:val="auto"/>
              </w:rPr>
            </w:pPr>
            <w:r>
              <w:rPr>
                <w:rFonts w:ascii="Arial" w:cs="Arial" w:eastAsia="Arial" w:hAnsi="Arial"/>
                <w:sz w:val="18"/>
                <w:szCs w:val="18"/>
                <w:color w:val="auto"/>
              </w:rPr>
              <w:t>8.1</w:t>
            </w:r>
          </w:p>
        </w:tc>
        <w:tc>
          <w:tcPr>
            <w:tcW w:w="9060" w:type="dxa"/>
            <w:vAlign w:val="bottom"/>
          </w:tcPr>
          <w:p>
            <w:pPr>
              <w:ind w:left="640"/>
              <w:spacing w:after="0"/>
              <w:rPr>
                <w:sz w:val="20"/>
                <w:szCs w:val="20"/>
                <w:color w:val="auto"/>
              </w:rPr>
            </w:pPr>
            <w:r>
              <w:rPr>
                <w:rFonts w:ascii="Arial" w:cs="Arial" w:eastAsia="Arial" w:hAnsi="Arial"/>
                <w:sz w:val="18"/>
                <w:szCs w:val="18"/>
                <w:color w:val="auto"/>
              </w:rPr>
              <w:t>Opinion of Pillsbury Winthrop Shaw Pittman LLP regarding certain tax matters (filed herewith)</w:t>
            </w:r>
          </w:p>
        </w:tc>
      </w:tr>
      <w:tr>
        <w:trPr>
          <w:trHeight w:val="324"/>
        </w:trPr>
        <w:tc>
          <w:tcPr>
            <w:tcW w:w="820" w:type="dxa"/>
            <w:vAlign w:val="bottom"/>
          </w:tcPr>
          <w:p>
            <w:pPr>
              <w:jc w:val="right"/>
              <w:ind w:right="412"/>
              <w:spacing w:after="0"/>
              <w:rPr>
                <w:sz w:val="20"/>
                <w:szCs w:val="20"/>
                <w:color w:val="auto"/>
              </w:rPr>
            </w:pPr>
            <w:r>
              <w:rPr>
                <w:rFonts w:ascii="Arial" w:cs="Arial" w:eastAsia="Arial" w:hAnsi="Arial"/>
                <w:sz w:val="18"/>
                <w:szCs w:val="18"/>
                <w:color w:val="auto"/>
                <w:w w:val="85"/>
              </w:rPr>
              <w:t>23.1</w:t>
            </w:r>
          </w:p>
        </w:tc>
        <w:tc>
          <w:tcPr>
            <w:tcW w:w="9060" w:type="dxa"/>
            <w:vAlign w:val="bottom"/>
          </w:tcPr>
          <w:p>
            <w:pPr>
              <w:ind w:left="640"/>
              <w:spacing w:after="0"/>
              <w:rPr>
                <w:sz w:val="20"/>
                <w:szCs w:val="20"/>
                <w:color w:val="auto"/>
              </w:rPr>
            </w:pPr>
            <w:r>
              <w:rPr>
                <w:rFonts w:ascii="Arial" w:cs="Arial" w:eastAsia="Arial" w:hAnsi="Arial"/>
                <w:sz w:val="18"/>
                <w:szCs w:val="18"/>
                <w:color w:val="auto"/>
              </w:rPr>
              <w:t>Consent of Grant Thornton LLP, independent registered public accounting firm (filed herewith)</w:t>
            </w:r>
          </w:p>
        </w:tc>
      </w:tr>
      <w:tr>
        <w:trPr>
          <w:trHeight w:val="324"/>
        </w:trPr>
        <w:tc>
          <w:tcPr>
            <w:tcW w:w="820" w:type="dxa"/>
            <w:vAlign w:val="bottom"/>
          </w:tcPr>
          <w:p>
            <w:pPr>
              <w:jc w:val="right"/>
              <w:ind w:right="412"/>
              <w:spacing w:after="0"/>
              <w:rPr>
                <w:sz w:val="20"/>
                <w:szCs w:val="20"/>
                <w:color w:val="auto"/>
              </w:rPr>
            </w:pPr>
            <w:r>
              <w:rPr>
                <w:rFonts w:ascii="Arial" w:cs="Arial" w:eastAsia="Arial" w:hAnsi="Arial"/>
                <w:sz w:val="18"/>
                <w:szCs w:val="18"/>
                <w:color w:val="auto"/>
                <w:w w:val="85"/>
              </w:rPr>
              <w:t>23.2</w:t>
            </w:r>
          </w:p>
        </w:tc>
        <w:tc>
          <w:tcPr>
            <w:tcW w:w="9060" w:type="dxa"/>
            <w:vAlign w:val="bottom"/>
          </w:tcPr>
          <w:p>
            <w:pPr>
              <w:ind w:left="640"/>
              <w:spacing w:after="0"/>
              <w:rPr>
                <w:sz w:val="20"/>
                <w:szCs w:val="20"/>
                <w:color w:val="auto"/>
              </w:rPr>
            </w:pPr>
            <w:r>
              <w:rPr>
                <w:rFonts w:ascii="Arial" w:cs="Arial" w:eastAsia="Arial" w:hAnsi="Arial"/>
                <w:sz w:val="18"/>
                <w:szCs w:val="18"/>
                <w:color w:val="auto"/>
              </w:rPr>
              <w:t>Consent of Pillsbury Winthrop Shaw Pittman LLP (included in Exhibit 5.1)</w:t>
            </w:r>
          </w:p>
        </w:tc>
      </w:tr>
      <w:tr>
        <w:trPr>
          <w:trHeight w:val="324"/>
        </w:trPr>
        <w:tc>
          <w:tcPr>
            <w:tcW w:w="820" w:type="dxa"/>
            <w:vAlign w:val="bottom"/>
          </w:tcPr>
          <w:p>
            <w:pPr>
              <w:jc w:val="right"/>
              <w:ind w:right="412"/>
              <w:spacing w:after="0"/>
              <w:rPr>
                <w:sz w:val="20"/>
                <w:szCs w:val="20"/>
                <w:color w:val="auto"/>
              </w:rPr>
            </w:pPr>
            <w:r>
              <w:rPr>
                <w:rFonts w:ascii="Arial" w:cs="Arial" w:eastAsia="Arial" w:hAnsi="Arial"/>
                <w:sz w:val="18"/>
                <w:szCs w:val="18"/>
                <w:color w:val="auto"/>
                <w:w w:val="85"/>
              </w:rPr>
              <w:t>23.3</w:t>
            </w:r>
          </w:p>
        </w:tc>
        <w:tc>
          <w:tcPr>
            <w:tcW w:w="9060" w:type="dxa"/>
            <w:vAlign w:val="bottom"/>
          </w:tcPr>
          <w:p>
            <w:pPr>
              <w:ind w:left="640"/>
              <w:spacing w:after="0"/>
              <w:rPr>
                <w:sz w:val="20"/>
                <w:szCs w:val="20"/>
                <w:color w:val="auto"/>
              </w:rPr>
            </w:pPr>
            <w:r>
              <w:rPr>
                <w:rFonts w:ascii="Arial" w:cs="Arial" w:eastAsia="Arial" w:hAnsi="Arial"/>
                <w:sz w:val="18"/>
                <w:szCs w:val="18"/>
                <w:color w:val="auto"/>
              </w:rPr>
              <w:t>Consent of Pillsbury Winthrop Shaw Pittman LLP (included in Exhibit 8.1)</w:t>
            </w:r>
          </w:p>
        </w:tc>
      </w:tr>
      <w:tr>
        <w:trPr>
          <w:trHeight w:val="324"/>
        </w:trPr>
        <w:tc>
          <w:tcPr>
            <w:tcW w:w="820" w:type="dxa"/>
            <w:vAlign w:val="bottom"/>
          </w:tcPr>
          <w:p>
            <w:pPr>
              <w:jc w:val="right"/>
              <w:ind w:right="412"/>
              <w:spacing w:after="0"/>
              <w:rPr>
                <w:sz w:val="20"/>
                <w:szCs w:val="20"/>
                <w:color w:val="auto"/>
              </w:rPr>
            </w:pPr>
            <w:r>
              <w:rPr>
                <w:rFonts w:ascii="Arial" w:cs="Arial" w:eastAsia="Arial" w:hAnsi="Arial"/>
                <w:sz w:val="18"/>
                <w:szCs w:val="18"/>
                <w:color w:val="auto"/>
                <w:w w:val="85"/>
              </w:rPr>
              <w:t>24.1</w:t>
            </w:r>
          </w:p>
        </w:tc>
        <w:tc>
          <w:tcPr>
            <w:tcW w:w="9060" w:type="dxa"/>
            <w:vAlign w:val="bottom"/>
          </w:tcPr>
          <w:p>
            <w:pPr>
              <w:ind w:left="640"/>
              <w:spacing w:after="0"/>
              <w:rPr>
                <w:sz w:val="20"/>
                <w:szCs w:val="20"/>
                <w:color w:val="auto"/>
              </w:rPr>
            </w:pPr>
            <w:r>
              <w:rPr>
                <w:rFonts w:ascii="Arial" w:cs="Arial" w:eastAsia="Arial" w:hAnsi="Arial"/>
                <w:sz w:val="18"/>
                <w:szCs w:val="18"/>
                <w:color w:val="auto"/>
              </w:rPr>
              <w:t>Power of Attorney (included on signature page)</w:t>
            </w:r>
          </w:p>
        </w:tc>
      </w:tr>
      <w:tr>
        <w:trPr>
          <w:trHeight w:val="365"/>
        </w:trPr>
        <w:tc>
          <w:tcPr>
            <w:tcW w:w="820" w:type="dxa"/>
            <w:vAlign w:val="bottom"/>
          </w:tcPr>
          <w:p>
            <w:pPr>
              <w:jc w:val="right"/>
              <w:ind w:right="112"/>
              <w:spacing w:after="0"/>
              <w:rPr>
                <w:sz w:val="20"/>
                <w:szCs w:val="20"/>
                <w:color w:val="auto"/>
              </w:rPr>
            </w:pPr>
            <w:r>
              <w:rPr>
                <w:rFonts w:ascii="Arial" w:cs="Arial" w:eastAsia="Arial" w:hAnsi="Arial"/>
                <w:sz w:val="18"/>
                <w:szCs w:val="18"/>
                <w:b w:val="1"/>
                <w:bCs w:val="1"/>
                <w:color w:val="auto"/>
                <w:w w:val="89"/>
              </w:rPr>
              <w:t>Item 17.</w:t>
            </w:r>
          </w:p>
        </w:tc>
        <w:tc>
          <w:tcPr>
            <w:tcW w:w="9060" w:type="dxa"/>
            <w:vAlign w:val="bottom"/>
          </w:tcPr>
          <w:p>
            <w:pPr>
              <w:ind w:left="220"/>
              <w:spacing w:after="0"/>
              <w:rPr>
                <w:sz w:val="20"/>
                <w:szCs w:val="20"/>
                <w:color w:val="auto"/>
              </w:rPr>
            </w:pPr>
            <w:r>
              <w:rPr>
                <w:rFonts w:ascii="Arial" w:cs="Arial" w:eastAsia="Arial" w:hAnsi="Arial"/>
                <w:sz w:val="18"/>
                <w:szCs w:val="18"/>
                <w:b w:val="1"/>
                <w:bCs w:val="1"/>
                <w:color w:val="auto"/>
              </w:rPr>
              <w:t>Undertakings</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158"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680" w:hanging="216"/>
        <w:spacing w:after="0"/>
        <w:tabs>
          <w:tab w:leader="none" w:pos="6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jc w:val="both"/>
        <w:ind w:left="460" w:right="40" w:firstLine="4"/>
        <w:spacing w:after="0" w:line="256" w:lineRule="auto"/>
        <w:tabs>
          <w:tab w:leader="none" w:pos="719"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720"/>
        <w:spacing w:after="0" w:line="259" w:lineRule="auto"/>
        <w:rPr>
          <w:sz w:val="20"/>
          <w:szCs w:val="20"/>
          <w:color w:val="auto"/>
        </w:rPr>
      </w:pPr>
      <w:r>
        <w:rPr>
          <w:rFonts w:ascii="Arial" w:cs="Arial" w:eastAsia="Arial" w:hAnsi="Arial"/>
          <w:sz w:val="18"/>
          <w:szCs w:val="18"/>
          <w:color w:val="auto"/>
        </w:rPr>
        <w:t>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46" w:lineRule="exact"/>
        <w:rPr>
          <w:sz w:val="20"/>
          <w:szCs w:val="20"/>
          <w:color w:val="auto"/>
        </w:rPr>
      </w:pPr>
    </w:p>
    <w:p>
      <w:pPr>
        <w:ind w:left="460" w:right="500" w:firstLine="4"/>
        <w:spacing w:after="0" w:line="268" w:lineRule="auto"/>
        <w:tabs>
          <w:tab w:leader="none" w:pos="76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this registration statement;</w:t>
      </w:r>
    </w:p>
    <w:p>
      <w:pPr>
        <w:spacing w:after="0" w:line="37" w:lineRule="exact"/>
        <w:rPr>
          <w:sz w:val="20"/>
          <w:szCs w:val="20"/>
          <w:color w:val="auto"/>
        </w:rPr>
      </w:pPr>
    </w:p>
    <w:p>
      <w:pPr>
        <w:jc w:val="both"/>
        <w:ind w:left="460" w:right="180"/>
        <w:spacing w:after="0" w:line="306" w:lineRule="auto"/>
        <w:rPr>
          <w:sz w:val="20"/>
          <w:szCs w:val="20"/>
          <w:color w:val="auto"/>
        </w:rPr>
      </w:pPr>
      <w:r>
        <w:rPr>
          <w:rFonts w:ascii="Arial" w:cs="Arial" w:eastAsia="Arial" w:hAnsi="Arial"/>
          <w:sz w:val="16"/>
          <w:szCs w:val="16"/>
          <w:color w:val="auto"/>
        </w:rPr>
        <w:t>provided, however, that paragraphs (a)(1)(i) and (a)(1)(ii) do not apply if the information required to be included in a post-effective amendment by those paragraphs is contained in the periodic reports filed with or furnished to the Commission by the Registrant pursuant to Section 13 or Section 15(d) of the Securities Exchange Act of 1934 that are incorporated by reference in this registration statement.</w:t>
      </w:r>
    </w:p>
    <w:p>
      <w:pPr>
        <w:spacing w:after="0" w:line="12" w:lineRule="exact"/>
        <w:rPr>
          <w:sz w:val="20"/>
          <w:szCs w:val="20"/>
          <w:color w:val="auto"/>
        </w:rPr>
      </w:pPr>
    </w:p>
    <w:p>
      <w:pPr>
        <w:ind w:left="460" w:right="240" w:firstLine="4"/>
        <w:spacing w:after="0" w:line="259" w:lineRule="auto"/>
        <w:tabs>
          <w:tab w:leader="none" w:pos="709"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460" w:right="180" w:firstLine="4"/>
        <w:spacing w:after="0" w:line="268" w:lineRule="auto"/>
        <w:tabs>
          <w:tab w:leader="none" w:pos="709"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ind w:firstLine="8"/>
        <w:spacing w:after="0" w:line="256"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the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right="80" w:firstLine="8"/>
        <w:spacing w:after="0" w:line="289" w:lineRule="auto"/>
        <w:tabs>
          <w:tab w:leader="none" w:pos="239"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Trustees,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Trustee, officer or controlling person of the registrant in the successful defense of any action, suit or proceeding) is asserted by such Trustee,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20" w:firstLine="456"/>
        <w:spacing w:after="0" w:line="27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Rockville, Maryland, on this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April, 2005.</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Donald C. Wood</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Chief Executive Officer and Trustee</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(Principal Executive Officer)</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Dawn M. Becker and Larry E. Finger,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we hereby ratify and confirm all that said attorneys and agents, or either of them, shall do or cause to be done by virtue thereof.</w:t>
      </w:r>
    </w:p>
    <w:p>
      <w:pPr>
        <w:spacing w:after="0" w:line="10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14" w:lineRule="exact"/>
        <w:rPr>
          <w:sz w:val="20"/>
          <w:szCs w:val="20"/>
          <w:color w:val="auto"/>
        </w:rPr>
      </w:pPr>
    </w:p>
    <w:p>
      <w:pPr>
        <w:spacing w:after="0"/>
        <w:tabs>
          <w:tab w:leader="none" w:pos="6580" w:val="left"/>
          <w:tab w:leader="none" w:pos="10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00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68580</wp:posOffset>
            </wp:positionV>
            <wp:extent cx="3600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68580</wp:posOffset>
            </wp:positionV>
            <wp:extent cx="3600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 Donald C. Wood</w:t>
            </w:r>
          </w:p>
        </w:tc>
        <w:tc>
          <w:tcPr>
            <w:tcW w:w="4380" w:type="dxa"/>
            <w:vAlign w:val="bottom"/>
          </w:tcPr>
          <w:p>
            <w:pPr>
              <w:ind w:left="240"/>
              <w:spacing w:after="0"/>
              <w:rPr>
                <w:sz w:val="20"/>
                <w:szCs w:val="20"/>
                <w:color w:val="auto"/>
              </w:rPr>
            </w:pPr>
            <w:r>
              <w:rPr>
                <w:rFonts w:ascii="Arial" w:cs="Arial" w:eastAsia="Arial" w:hAnsi="Arial"/>
                <w:sz w:val="18"/>
                <w:szCs w:val="18"/>
                <w:color w:val="auto"/>
              </w:rPr>
              <w:t>President, Chief Executive</w:t>
            </w:r>
          </w:p>
        </w:tc>
        <w:tc>
          <w:tcPr>
            <w:tcW w:w="1780" w:type="dxa"/>
            <w:vAlign w:val="bottom"/>
          </w:tcPr>
          <w:p>
            <w:pPr>
              <w:ind w:left="760"/>
              <w:spacing w:after="0"/>
              <w:rPr>
                <w:sz w:val="20"/>
                <w:szCs w:val="20"/>
                <w:color w:val="auto"/>
              </w:rPr>
            </w:pPr>
            <w:r>
              <w:rPr>
                <w:rFonts w:ascii="Arial" w:cs="Arial" w:eastAsia="Arial" w:hAnsi="Arial"/>
                <w:sz w:val="18"/>
                <w:szCs w:val="18"/>
                <w:color w:val="auto"/>
                <w:w w:val="89"/>
              </w:rPr>
              <w:t>April 15, 2005</w:t>
            </w:r>
          </w:p>
        </w:tc>
        <w:tc>
          <w:tcPr>
            <w:tcW w:w="0" w:type="dxa"/>
            <w:vAlign w:val="bottom"/>
          </w:tcPr>
          <w:p>
            <w:pPr>
              <w:spacing w:after="0"/>
              <w:rPr>
                <w:sz w:val="1"/>
                <w:szCs w:val="1"/>
                <w:color w:val="auto"/>
              </w:rPr>
            </w:pPr>
          </w:p>
        </w:tc>
      </w:tr>
      <w:tr>
        <w:trPr>
          <w:trHeight w:val="116"/>
        </w:trPr>
        <w:tc>
          <w:tcPr>
            <w:tcW w:w="4580" w:type="dxa"/>
            <w:vAlign w:val="bottom"/>
            <w:tcBorders>
              <w:bottom w:val="single" w:sz="8" w:color="auto"/>
            </w:tcBorders>
          </w:tcPr>
          <w:p>
            <w:pPr>
              <w:spacing w:after="0"/>
              <w:rPr>
                <w:sz w:val="10"/>
                <w:szCs w:val="10"/>
                <w:color w:val="auto"/>
              </w:rPr>
            </w:pPr>
          </w:p>
        </w:tc>
        <w:tc>
          <w:tcPr>
            <w:tcW w:w="4380" w:type="dxa"/>
            <w:vAlign w:val="bottom"/>
            <w:vMerge w:val="restart"/>
          </w:tcPr>
          <w:p>
            <w:pPr>
              <w:ind w:left="240"/>
              <w:spacing w:after="0"/>
              <w:rPr>
                <w:sz w:val="20"/>
                <w:szCs w:val="20"/>
                <w:color w:val="auto"/>
              </w:rPr>
            </w:pPr>
            <w:r>
              <w:rPr>
                <w:rFonts w:ascii="Arial" w:cs="Arial" w:eastAsia="Arial" w:hAnsi="Arial"/>
                <w:sz w:val="18"/>
                <w:szCs w:val="18"/>
                <w:color w:val="auto"/>
              </w:rPr>
              <w:t>Officer and Trustee (principal executive officer)</w:t>
            </w: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580" w:type="dxa"/>
            <w:vAlign w:val="bottom"/>
            <w:vMerge w:val="restart"/>
          </w:tcPr>
          <w:p>
            <w:pPr>
              <w:spacing w:after="0"/>
              <w:rPr>
                <w:sz w:val="20"/>
                <w:szCs w:val="20"/>
                <w:color w:val="auto"/>
              </w:rPr>
            </w:pPr>
            <w:r>
              <w:rPr>
                <w:rFonts w:ascii="Arial" w:cs="Arial" w:eastAsia="Arial" w:hAnsi="Arial"/>
                <w:sz w:val="18"/>
                <w:szCs w:val="18"/>
                <w:color w:val="auto"/>
              </w:rPr>
              <w:t>Donald C. Wood</w:t>
            </w:r>
          </w:p>
        </w:tc>
        <w:tc>
          <w:tcPr>
            <w:tcW w:w="438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580" w:type="dxa"/>
            <w:vAlign w:val="bottom"/>
            <w:vMerge w:val="continue"/>
          </w:tcPr>
          <w:p>
            <w:pPr>
              <w:spacing w:after="0"/>
              <w:rPr>
                <w:sz w:val="19"/>
                <w:szCs w:val="19"/>
                <w:color w:val="auto"/>
              </w:rPr>
            </w:pPr>
          </w:p>
        </w:tc>
        <w:tc>
          <w:tcPr>
            <w:tcW w:w="4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580" w:type="dxa"/>
            <w:vAlign w:val="bottom"/>
          </w:tcPr>
          <w:p>
            <w:pPr>
              <w:spacing w:after="0"/>
              <w:rPr>
                <w:sz w:val="24"/>
                <w:szCs w:val="24"/>
                <w:color w:val="auto"/>
              </w:rPr>
            </w:pPr>
          </w:p>
        </w:tc>
        <w:tc>
          <w:tcPr>
            <w:tcW w:w="4380" w:type="dxa"/>
            <w:vAlign w:val="bottom"/>
          </w:tcPr>
          <w:p>
            <w:pPr>
              <w:jc w:val="right"/>
              <w:ind w:right="3052"/>
              <w:spacing w:after="0"/>
              <w:rPr>
                <w:sz w:val="20"/>
                <w:szCs w:val="20"/>
                <w:color w:val="auto"/>
              </w:rPr>
            </w:pPr>
            <w:r>
              <w:rPr>
                <w:rFonts w:ascii="Arial" w:cs="Arial" w:eastAsia="Arial" w:hAnsi="Arial"/>
                <w:sz w:val="18"/>
                <w:szCs w:val="18"/>
                <w:color w:val="auto"/>
              </w:rPr>
              <w:t>-5-</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00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Larry E. Finger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David W. Faeder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Kristin Gamble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/s/ Joseph S. Vassalluzzo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29070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Joseph S. Vassalluzzo</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Mark S. 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Mark S. Ordan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Amy B.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Amy B. Lane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Walter F. Loeb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070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Walter F. Loeb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2600" w:type="dxa"/>
            <w:vAlign w:val="bottom"/>
            <w:gridSpan w:val="2"/>
          </w:tcPr>
          <w:p>
            <w:pPr>
              <w:ind w:left="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DATE</w:t>
            </w:r>
          </w:p>
        </w:tc>
      </w:tr>
      <w:tr>
        <w:trPr>
          <w:trHeight w:val="95"/>
        </w:trPr>
        <w:tc>
          <w:tcPr>
            <w:tcW w:w="17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r>
      <w:tr>
        <w:trPr>
          <w:trHeight w:val="525"/>
        </w:trPr>
        <w:tc>
          <w:tcPr>
            <w:tcW w:w="4320" w:type="dxa"/>
            <w:vAlign w:val="bottom"/>
            <w:gridSpan w:val="3"/>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600" w:type="dxa"/>
            <w:vAlign w:val="bottom"/>
            <w:gridSpan w:val="3"/>
          </w:tcPr>
          <w:p>
            <w:pPr>
              <w:ind w:left="580"/>
              <w:spacing w:after="0"/>
              <w:rPr>
                <w:sz w:val="20"/>
                <w:szCs w:val="20"/>
                <w:color w:val="auto"/>
              </w:rPr>
            </w:pPr>
            <w:r>
              <w:rPr>
                <w:rFonts w:ascii="Arial" w:cs="Arial" w:eastAsia="Arial" w:hAnsi="Arial"/>
                <w:sz w:val="18"/>
                <w:szCs w:val="18"/>
                <w:color w:val="auto"/>
                <w:w w:val="98"/>
              </w:rPr>
              <w:t>April 7, 2005</w:t>
            </w:r>
          </w:p>
        </w:tc>
      </w:tr>
      <w:tr>
        <w:trPr>
          <w:trHeight w:val="222"/>
        </w:trPr>
        <w:tc>
          <w:tcPr>
            <w:tcW w:w="4320" w:type="dxa"/>
            <w:vAlign w:val="bottom"/>
            <w:gridSpan w:val="3"/>
          </w:tcPr>
          <w:p>
            <w:pPr>
              <w:spacing w:after="0"/>
              <w:rPr>
                <w:sz w:val="20"/>
                <w:szCs w:val="20"/>
                <w:color w:val="auto"/>
              </w:rPr>
            </w:pPr>
            <w:r>
              <w:rPr>
                <w:rFonts w:ascii="Arial" w:cs="Arial" w:eastAsia="Arial" w:hAnsi="Arial"/>
                <w:sz w:val="18"/>
                <w:szCs w:val="18"/>
                <w:color w:val="auto"/>
              </w:rPr>
              <w:t>and Treasurer (principal accounting officer)</w:t>
            </w: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675"/>
        </w:trPr>
        <w:tc>
          <w:tcPr>
            <w:tcW w:w="4320" w:type="dxa"/>
            <w:vAlign w:val="bottom"/>
            <w:gridSpan w:val="3"/>
          </w:tcPr>
          <w:p>
            <w:pPr>
              <w:spacing w:after="0"/>
              <w:rPr>
                <w:sz w:val="20"/>
                <w:szCs w:val="20"/>
                <w:color w:val="auto"/>
              </w:rPr>
            </w:pPr>
            <w:r>
              <w:rPr>
                <w:rFonts w:ascii="Arial" w:cs="Arial" w:eastAsia="Arial" w:hAnsi="Arial"/>
                <w:sz w:val="18"/>
                <w:szCs w:val="18"/>
                <w:color w:val="auto"/>
              </w:rPr>
              <w:t>Trustee</w:t>
            </w:r>
          </w:p>
        </w:tc>
        <w:tc>
          <w:tcPr>
            <w:tcW w:w="1600" w:type="dxa"/>
            <w:vAlign w:val="bottom"/>
            <w:gridSpan w:val="3"/>
          </w:tcPr>
          <w:p>
            <w:pPr>
              <w:ind w:left="580"/>
              <w:spacing w:after="0"/>
              <w:rPr>
                <w:sz w:val="20"/>
                <w:szCs w:val="20"/>
                <w:color w:val="auto"/>
              </w:rPr>
            </w:pPr>
            <w:r>
              <w:rPr>
                <w:rFonts w:ascii="Arial" w:cs="Arial" w:eastAsia="Arial" w:hAnsi="Arial"/>
                <w:sz w:val="18"/>
                <w:szCs w:val="18"/>
                <w:color w:val="auto"/>
                <w:w w:val="89"/>
              </w:rPr>
              <w:t>April 15, 2005</w:t>
            </w:r>
          </w:p>
        </w:tc>
      </w:tr>
      <w:tr>
        <w:trPr>
          <w:trHeight w:val="891"/>
        </w:trPr>
        <w:tc>
          <w:tcPr>
            <w:tcW w:w="4320" w:type="dxa"/>
            <w:vAlign w:val="bottom"/>
            <w:gridSpan w:val="3"/>
          </w:tcPr>
          <w:p>
            <w:pPr>
              <w:spacing w:after="0"/>
              <w:rPr>
                <w:sz w:val="20"/>
                <w:szCs w:val="20"/>
                <w:color w:val="auto"/>
              </w:rPr>
            </w:pPr>
            <w:r>
              <w:rPr>
                <w:rFonts w:ascii="Arial" w:cs="Arial" w:eastAsia="Arial" w:hAnsi="Arial"/>
                <w:sz w:val="18"/>
                <w:szCs w:val="18"/>
                <w:color w:val="auto"/>
              </w:rPr>
              <w:t>Trustee</w:t>
            </w:r>
          </w:p>
        </w:tc>
        <w:tc>
          <w:tcPr>
            <w:tcW w:w="1600" w:type="dxa"/>
            <w:vAlign w:val="bottom"/>
            <w:gridSpan w:val="3"/>
          </w:tcPr>
          <w:p>
            <w:pPr>
              <w:ind w:left="580"/>
              <w:spacing w:after="0"/>
              <w:rPr>
                <w:sz w:val="20"/>
                <w:szCs w:val="20"/>
                <w:color w:val="auto"/>
              </w:rPr>
            </w:pPr>
            <w:r>
              <w:rPr>
                <w:rFonts w:ascii="Arial" w:cs="Arial" w:eastAsia="Arial" w:hAnsi="Arial"/>
                <w:sz w:val="18"/>
                <w:szCs w:val="18"/>
                <w:color w:val="auto"/>
                <w:w w:val="89"/>
              </w:rPr>
              <w:t>April 15, 2005</w:t>
            </w:r>
          </w:p>
        </w:tc>
      </w:tr>
      <w:tr>
        <w:trPr>
          <w:trHeight w:val="891"/>
        </w:trPr>
        <w:tc>
          <w:tcPr>
            <w:tcW w:w="4320" w:type="dxa"/>
            <w:vAlign w:val="bottom"/>
            <w:gridSpan w:val="3"/>
          </w:tcPr>
          <w:p>
            <w:pPr>
              <w:spacing w:after="0"/>
              <w:rPr>
                <w:sz w:val="20"/>
                <w:szCs w:val="20"/>
                <w:color w:val="auto"/>
              </w:rPr>
            </w:pPr>
            <w:r>
              <w:rPr>
                <w:rFonts w:ascii="Arial" w:cs="Arial" w:eastAsia="Arial" w:hAnsi="Arial"/>
                <w:sz w:val="18"/>
                <w:szCs w:val="18"/>
                <w:color w:val="auto"/>
              </w:rPr>
              <w:t>Trustee</w:t>
            </w:r>
          </w:p>
        </w:tc>
        <w:tc>
          <w:tcPr>
            <w:tcW w:w="1600" w:type="dxa"/>
            <w:vAlign w:val="bottom"/>
            <w:gridSpan w:val="3"/>
          </w:tcPr>
          <w:p>
            <w:pPr>
              <w:ind w:left="580"/>
              <w:spacing w:after="0"/>
              <w:rPr>
                <w:sz w:val="20"/>
                <w:szCs w:val="20"/>
                <w:color w:val="auto"/>
              </w:rPr>
            </w:pPr>
            <w:r>
              <w:rPr>
                <w:rFonts w:ascii="Arial" w:cs="Arial" w:eastAsia="Arial" w:hAnsi="Arial"/>
                <w:sz w:val="18"/>
                <w:szCs w:val="18"/>
                <w:color w:val="auto"/>
                <w:w w:val="89"/>
              </w:rPr>
              <w:t>April 15, 2005</w:t>
            </w:r>
          </w:p>
        </w:tc>
      </w:tr>
      <w:tr>
        <w:trPr>
          <w:trHeight w:val="891"/>
        </w:trPr>
        <w:tc>
          <w:tcPr>
            <w:tcW w:w="4320" w:type="dxa"/>
            <w:vAlign w:val="bottom"/>
            <w:gridSpan w:val="3"/>
          </w:tcPr>
          <w:p>
            <w:pPr>
              <w:spacing w:after="0"/>
              <w:rPr>
                <w:sz w:val="20"/>
                <w:szCs w:val="20"/>
                <w:color w:val="auto"/>
              </w:rPr>
            </w:pPr>
            <w:r>
              <w:rPr>
                <w:rFonts w:ascii="Arial" w:cs="Arial" w:eastAsia="Arial" w:hAnsi="Arial"/>
                <w:sz w:val="18"/>
                <w:szCs w:val="18"/>
                <w:color w:val="auto"/>
              </w:rPr>
              <w:t>Trustee</w:t>
            </w:r>
          </w:p>
        </w:tc>
        <w:tc>
          <w:tcPr>
            <w:tcW w:w="1600" w:type="dxa"/>
            <w:vAlign w:val="bottom"/>
            <w:gridSpan w:val="3"/>
          </w:tcPr>
          <w:p>
            <w:pPr>
              <w:ind w:left="580"/>
              <w:spacing w:after="0"/>
              <w:rPr>
                <w:sz w:val="20"/>
                <w:szCs w:val="20"/>
                <w:color w:val="auto"/>
              </w:rPr>
            </w:pPr>
            <w:r>
              <w:rPr>
                <w:rFonts w:ascii="Arial" w:cs="Arial" w:eastAsia="Arial" w:hAnsi="Arial"/>
                <w:sz w:val="18"/>
                <w:szCs w:val="18"/>
                <w:color w:val="auto"/>
                <w:w w:val="98"/>
              </w:rPr>
              <w:t>April 4, 2005</w:t>
            </w:r>
          </w:p>
        </w:tc>
      </w:tr>
      <w:tr>
        <w:trPr>
          <w:trHeight w:val="891"/>
        </w:trPr>
        <w:tc>
          <w:tcPr>
            <w:tcW w:w="4320" w:type="dxa"/>
            <w:vAlign w:val="bottom"/>
            <w:gridSpan w:val="3"/>
          </w:tcPr>
          <w:p>
            <w:pPr>
              <w:spacing w:after="0"/>
              <w:rPr>
                <w:sz w:val="20"/>
                <w:szCs w:val="20"/>
                <w:color w:val="auto"/>
              </w:rPr>
            </w:pPr>
            <w:r>
              <w:rPr>
                <w:rFonts w:ascii="Arial" w:cs="Arial" w:eastAsia="Arial" w:hAnsi="Arial"/>
                <w:sz w:val="18"/>
                <w:szCs w:val="18"/>
                <w:color w:val="auto"/>
              </w:rPr>
              <w:t>Trustee</w:t>
            </w:r>
          </w:p>
        </w:tc>
        <w:tc>
          <w:tcPr>
            <w:tcW w:w="1600" w:type="dxa"/>
            <w:vAlign w:val="bottom"/>
            <w:gridSpan w:val="3"/>
          </w:tcPr>
          <w:p>
            <w:pPr>
              <w:ind w:left="580"/>
              <w:spacing w:after="0"/>
              <w:rPr>
                <w:sz w:val="20"/>
                <w:szCs w:val="20"/>
                <w:color w:val="auto"/>
              </w:rPr>
            </w:pPr>
            <w:r>
              <w:rPr>
                <w:rFonts w:ascii="Arial" w:cs="Arial" w:eastAsia="Arial" w:hAnsi="Arial"/>
                <w:sz w:val="18"/>
                <w:szCs w:val="18"/>
                <w:color w:val="auto"/>
                <w:w w:val="98"/>
              </w:rPr>
              <w:t>April 8, 2005</w:t>
            </w:r>
          </w:p>
        </w:tc>
      </w:tr>
      <w:tr>
        <w:trPr>
          <w:trHeight w:val="891"/>
        </w:trPr>
        <w:tc>
          <w:tcPr>
            <w:tcW w:w="4320" w:type="dxa"/>
            <w:vAlign w:val="bottom"/>
            <w:gridSpan w:val="3"/>
          </w:tcPr>
          <w:p>
            <w:pPr>
              <w:spacing w:after="0"/>
              <w:rPr>
                <w:sz w:val="20"/>
                <w:szCs w:val="20"/>
                <w:color w:val="auto"/>
              </w:rPr>
            </w:pPr>
            <w:r>
              <w:rPr>
                <w:rFonts w:ascii="Arial" w:cs="Arial" w:eastAsia="Arial" w:hAnsi="Arial"/>
                <w:sz w:val="18"/>
                <w:szCs w:val="18"/>
                <w:color w:val="auto"/>
              </w:rPr>
              <w:t>Trustee</w:t>
            </w:r>
          </w:p>
        </w:tc>
        <w:tc>
          <w:tcPr>
            <w:tcW w:w="1600" w:type="dxa"/>
            <w:vAlign w:val="bottom"/>
            <w:gridSpan w:val="3"/>
          </w:tcPr>
          <w:p>
            <w:pPr>
              <w:ind w:left="580"/>
              <w:spacing w:after="0"/>
              <w:rPr>
                <w:sz w:val="20"/>
                <w:szCs w:val="20"/>
                <w:color w:val="auto"/>
              </w:rPr>
            </w:pPr>
            <w:r>
              <w:rPr>
                <w:rFonts w:ascii="Arial" w:cs="Arial" w:eastAsia="Arial" w:hAnsi="Arial"/>
                <w:sz w:val="18"/>
                <w:szCs w:val="18"/>
                <w:color w:val="auto"/>
                <w:w w:val="89"/>
              </w:rPr>
              <w:t>April 15, 2005</w:t>
            </w:r>
          </w:p>
        </w:tc>
      </w:tr>
      <w:tr>
        <w:trPr>
          <w:trHeight w:val="824"/>
        </w:trPr>
        <w:tc>
          <w:tcPr>
            <w:tcW w:w="1720" w:type="dxa"/>
            <w:vAlign w:val="bottom"/>
          </w:tcPr>
          <w:p>
            <w:pPr>
              <w:ind w:left="80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-4972050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0" w:num="2">
            <w:col w:w="4100" w:space="720"/>
            <w:col w:w="5920"/>
          </w:cols>
          <w:pgMar w:left="240" w:top="459" w:right="9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940" w:type="dxa"/>
            <w:vAlign w:val="bottom"/>
          </w:tcPr>
          <w:p>
            <w:pPr>
              <w:ind w:left="2380"/>
              <w:spacing w:after="0"/>
              <w:rPr>
                <w:sz w:val="20"/>
                <w:szCs w:val="20"/>
                <w:color w:val="auto"/>
              </w:rPr>
            </w:pPr>
            <w:r>
              <w:rPr>
                <w:rFonts w:ascii="Arial" w:cs="Arial" w:eastAsia="Arial" w:hAnsi="Arial"/>
                <w:sz w:val="18"/>
                <w:szCs w:val="18"/>
                <w:b w:val="1"/>
                <w:bCs w:val="1"/>
                <w:color w:val="auto"/>
              </w:rPr>
              <w:t>INDEX TO EXHIBITS</w:t>
            </w:r>
          </w:p>
        </w:tc>
      </w:tr>
      <w:tr>
        <w:trPr>
          <w:trHeight w:val="312"/>
        </w:trPr>
        <w:tc>
          <w:tcPr>
            <w:tcW w:w="680" w:type="dxa"/>
            <w:vAlign w:val="bottom"/>
          </w:tcPr>
          <w:p>
            <w:pPr>
              <w:jc w:val="right"/>
              <w:ind w:right="14"/>
              <w:spacing w:after="0"/>
              <w:rPr>
                <w:sz w:val="20"/>
                <w:szCs w:val="20"/>
                <w:color w:val="auto"/>
              </w:rPr>
            </w:pPr>
            <w:r>
              <w:rPr>
                <w:rFonts w:ascii="Arial" w:cs="Arial" w:eastAsia="Arial" w:hAnsi="Arial"/>
                <w:sz w:val="14"/>
                <w:szCs w:val="14"/>
                <w:b w:val="1"/>
                <w:bCs w:val="1"/>
                <w:color w:val="auto"/>
              </w:rPr>
              <w:t>Number</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940" w:type="dxa"/>
            <w:vAlign w:val="bottom"/>
          </w:tcPr>
          <w:p>
            <w:pPr>
              <w:spacing w:after="0"/>
              <w:rPr>
                <w:sz w:val="8"/>
                <w:szCs w:val="8"/>
                <w:color w:val="auto"/>
              </w:rPr>
            </w:pPr>
          </w:p>
        </w:tc>
      </w:tr>
      <w:tr>
        <w:trPr>
          <w:trHeight w:val="417"/>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9"/>
              </w:rPr>
              <w:t>Specimen Common Share certificate (filed as Exhibit 4(i) to the Trust’s Annual Report on Form 10-K for the year ended December 31, 1999</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87"/>
              </w:rPr>
              <w:t>Amended and Restated Rights Agreement, dated March 11, 1999, between the Trust and American Stock Transfer &amp; Trust Company (filed as</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0"/>
              </w:rPr>
              <w:t>Exhibit 1 to the Trust’s Registration Statement No. 1-07533 on Form 8-A/A filed on March 11, 1999 and incorporated herein by reference)</w:t>
            </w:r>
          </w:p>
        </w:tc>
      </w:tr>
      <w:tr>
        <w:trPr>
          <w:trHeight w:val="318"/>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2"/>
              </w:rPr>
              <w:t>First Amendment to Amended and Restated Rights Agreement, dated as of November _, 2003, between the Trust and American Stock</w:t>
            </w:r>
          </w:p>
        </w:tc>
      </w:tr>
      <w:tr>
        <w:trPr>
          <w:trHeight w:val="216"/>
        </w:trPr>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w w:val="90"/>
              </w:rPr>
              <w:t>Transfer &amp; Trust Company (filed as Exhibit 4.5 to the Trust’s Annual Report on Form 10-K for the year ended December 31, 2003 filed on</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March 15, 2004 and incorporated herein by reference)</w:t>
            </w:r>
          </w:p>
        </w:tc>
      </w:tr>
      <w:tr>
        <w:trPr>
          <w:trHeight w:val="324"/>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4.4</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Registration Rights Agreement, dated as of February 1, 2005, between the Trust and Francis O. Day, III (filed herewith)</w:t>
            </w:r>
          </w:p>
        </w:tc>
      </w:tr>
      <w:tr>
        <w:trPr>
          <w:trHeight w:val="324"/>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Opinion of Pillsbury Winthrop Shaw Pittman LLP regarding the validity of the shares (filed herewith)</w:t>
            </w:r>
          </w:p>
        </w:tc>
      </w:tr>
      <w:tr>
        <w:trPr>
          <w:trHeight w:val="324"/>
        </w:trPr>
        <w:tc>
          <w:tcPr>
            <w:tcW w:w="680" w:type="dxa"/>
            <w:vAlign w:val="bottom"/>
          </w:tcPr>
          <w:p>
            <w:pPr>
              <w:jc w:val="right"/>
              <w:ind w:right="274"/>
              <w:spacing w:after="0"/>
              <w:rPr>
                <w:sz w:val="20"/>
                <w:szCs w:val="20"/>
                <w:color w:val="auto"/>
              </w:rPr>
            </w:pPr>
            <w:r>
              <w:rPr>
                <w:rFonts w:ascii="Arial" w:cs="Arial" w:eastAsia="Arial" w:hAnsi="Arial"/>
                <w:sz w:val="18"/>
                <w:szCs w:val="18"/>
                <w:color w:val="auto"/>
              </w:rPr>
              <w:t>8.1</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Opinion of Pillsbury Winthrop Shaw Pittman LLP regarding certain tax matters (filed herewith)</w:t>
            </w:r>
          </w:p>
        </w:tc>
      </w:tr>
      <w:tr>
        <w:trPr>
          <w:trHeight w:val="324"/>
        </w:trPr>
        <w:tc>
          <w:tcPr>
            <w:tcW w:w="680" w:type="dxa"/>
            <w:vAlign w:val="bottom"/>
          </w:tcPr>
          <w:p>
            <w:pPr>
              <w:jc w:val="right"/>
              <w:ind w:right="274"/>
              <w:spacing w:after="0"/>
              <w:rPr>
                <w:sz w:val="20"/>
                <w:szCs w:val="20"/>
                <w:color w:val="auto"/>
              </w:rPr>
            </w:pPr>
            <w:r>
              <w:rPr>
                <w:rFonts w:ascii="Arial" w:cs="Arial" w:eastAsia="Arial" w:hAnsi="Arial"/>
                <w:sz w:val="18"/>
                <w:szCs w:val="18"/>
                <w:color w:val="auto"/>
                <w:w w:val="85"/>
              </w:rPr>
              <w:t>23.1</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Consent of Grant Thornton LLP, independent registered public accounting firm (filed herewith)</w:t>
            </w:r>
          </w:p>
        </w:tc>
      </w:tr>
      <w:tr>
        <w:trPr>
          <w:trHeight w:val="324"/>
        </w:trPr>
        <w:tc>
          <w:tcPr>
            <w:tcW w:w="680" w:type="dxa"/>
            <w:vAlign w:val="bottom"/>
          </w:tcPr>
          <w:p>
            <w:pPr>
              <w:jc w:val="right"/>
              <w:ind w:right="274"/>
              <w:spacing w:after="0"/>
              <w:rPr>
                <w:sz w:val="20"/>
                <w:szCs w:val="20"/>
                <w:color w:val="auto"/>
              </w:rPr>
            </w:pPr>
            <w:r>
              <w:rPr>
                <w:rFonts w:ascii="Arial" w:cs="Arial" w:eastAsia="Arial" w:hAnsi="Arial"/>
                <w:sz w:val="18"/>
                <w:szCs w:val="18"/>
                <w:color w:val="auto"/>
                <w:w w:val="85"/>
              </w:rPr>
              <w:t>23.2</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Consent of Pillsbury Winthrop Shaw Pittman LLP (included in Exhibit 5.1)</w:t>
            </w:r>
          </w:p>
        </w:tc>
      </w:tr>
      <w:tr>
        <w:trPr>
          <w:trHeight w:val="324"/>
        </w:trPr>
        <w:tc>
          <w:tcPr>
            <w:tcW w:w="680" w:type="dxa"/>
            <w:vAlign w:val="bottom"/>
          </w:tcPr>
          <w:p>
            <w:pPr>
              <w:jc w:val="right"/>
              <w:ind w:right="274"/>
              <w:spacing w:after="0"/>
              <w:rPr>
                <w:sz w:val="20"/>
                <w:szCs w:val="20"/>
                <w:color w:val="auto"/>
              </w:rPr>
            </w:pPr>
            <w:r>
              <w:rPr>
                <w:rFonts w:ascii="Arial" w:cs="Arial" w:eastAsia="Arial" w:hAnsi="Arial"/>
                <w:sz w:val="18"/>
                <w:szCs w:val="18"/>
                <w:color w:val="auto"/>
                <w:w w:val="85"/>
              </w:rPr>
              <w:t>23.3</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Consent of Pillsbury Winthrop Shaw Pittman LLP (included in Exhibit 8.1)</w:t>
            </w:r>
          </w:p>
        </w:tc>
      </w:tr>
      <w:tr>
        <w:trPr>
          <w:trHeight w:val="324"/>
        </w:trPr>
        <w:tc>
          <w:tcPr>
            <w:tcW w:w="680" w:type="dxa"/>
            <w:vAlign w:val="bottom"/>
          </w:tcPr>
          <w:p>
            <w:pPr>
              <w:jc w:val="right"/>
              <w:ind w:right="274"/>
              <w:spacing w:after="0"/>
              <w:rPr>
                <w:sz w:val="20"/>
                <w:szCs w:val="20"/>
                <w:color w:val="auto"/>
              </w:rPr>
            </w:pPr>
            <w:r>
              <w:rPr>
                <w:rFonts w:ascii="Arial" w:cs="Arial" w:eastAsia="Arial" w:hAnsi="Arial"/>
                <w:sz w:val="18"/>
                <w:szCs w:val="18"/>
                <w:color w:val="auto"/>
                <w:w w:val="85"/>
              </w:rPr>
              <w:t>24.1</w:t>
            </w:r>
          </w:p>
        </w:tc>
        <w:tc>
          <w:tcPr>
            <w:tcW w:w="7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w:t>
            </w:r>
          </w:p>
        </w:tc>
      </w:tr>
    </w:tbl>
    <w:p>
      <w:pPr>
        <w:sectPr>
          <w:pgSz w:w="11900" w:h="16838" w:orient="portrait"/>
          <w:cols w:equalWidth="0" w:num="1">
            <w:col w:w="11400"/>
          </w:cols>
          <w:pgMar w:left="240" w:top="459" w:right="2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4.4</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1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February 1, 2005, by and between Federal Realty Investment Trust, a Maryland real estate investment trust (the “</w:t>
      </w:r>
      <w:r>
        <w:rPr>
          <w:rFonts w:ascii="Arial" w:cs="Arial" w:eastAsia="Arial" w:hAnsi="Arial"/>
          <w:sz w:val="18"/>
          <w:szCs w:val="18"/>
          <w:u w:val="single" w:color="auto"/>
          <w:color w:val="auto"/>
        </w:rPr>
        <w:t>Company</w:t>
      </w:r>
      <w:r>
        <w:rPr>
          <w:rFonts w:ascii="Arial" w:cs="Arial" w:eastAsia="Arial" w:hAnsi="Arial"/>
          <w:sz w:val="18"/>
          <w:szCs w:val="18"/>
          <w:color w:val="auto"/>
        </w:rPr>
        <w:t>”), and Francis O. Day, III (the “</w:t>
      </w:r>
      <w:r>
        <w:rPr>
          <w:rFonts w:ascii="Arial" w:cs="Arial" w:eastAsia="Arial" w:hAnsi="Arial"/>
          <w:sz w:val="18"/>
          <w:szCs w:val="18"/>
          <w:u w:val="single" w:color="auto"/>
          <w:color w:val="auto"/>
        </w:rPr>
        <w:t>Investor</w:t>
      </w:r>
      <w:r>
        <w:rPr>
          <w:rFonts w:ascii="Arial" w:cs="Arial" w:eastAsia="Arial" w:hAnsi="Arial"/>
          <w:sz w:val="18"/>
          <w:szCs w:val="18"/>
          <w:color w:val="auto"/>
        </w:rPr>
        <w:t>”), including successors, assigns and permitted transferees (collectively, “</w:t>
      </w:r>
      <w:r>
        <w:rPr>
          <w:rFonts w:ascii="Arial" w:cs="Arial" w:eastAsia="Arial" w:hAnsi="Arial"/>
          <w:sz w:val="18"/>
          <w:szCs w:val="18"/>
          <w:u w:val="single" w:color="auto"/>
          <w:color w:val="auto"/>
        </w:rPr>
        <w:t>Holders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Holder</w:t>
      </w:r>
      <w:r>
        <w:rPr>
          <w:rFonts w:ascii="Arial" w:cs="Arial" w:eastAsia="Arial" w:hAnsi="Arial"/>
          <w:sz w:val="18"/>
          <w:szCs w:val="18"/>
          <w:color w:val="auto"/>
        </w:rPr>
        <w:t>”).</w:t>
      </w:r>
    </w:p>
    <w:p>
      <w:pPr>
        <w:spacing w:after="0" w:line="12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WHEREAS, James F. Whalen (“Whalen”) acquired 190,000 Common Shares (the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from Loehmanns’s Plaza Limited Partnership in connection with the Investor’s prior redemption of his limited partnership interest in Loehmann’s Plaza Limited Partnership;</w:t>
      </w:r>
    </w:p>
    <w:p>
      <w:pPr>
        <w:spacing w:after="0" w:line="7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WHEREAS, the Company, the Investor and Whalen executed a letter agreement pursuant to which they agreed to negotiate in good faith and use reasonable best efforts to execute and deliver this Agreement in connection with Whalen’s acquisition of the Registrable Securities and further agreed on certain of the terms to be included in the Agreement;</w:t>
      </w:r>
    </w:p>
    <w:p>
      <w:pPr>
        <w:spacing w:after="0" w:line="12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WHEREAS, Whalen has advised the Company that he plans to transfer the Registrable Securities to the Investor pursuant to a preexisting agreement between Whalen and the Investor; and</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WHEREAS, in consideration of the foregoing, Whalen, the Company and the Investor agree that it is appropriate and advisable for the Company to enter into this Agreement with the Investor rather than with Whalen;</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NOW, THEREFORE, the parties hereto, in consideration of the foregoing, the mutual covenants and agreements hereinafter set forth, and other good and valuable consideration, the receipt and sufficiency of which are hereby acknowledged, agree as follows:</w:t>
      </w:r>
    </w:p>
    <w:p>
      <w:pPr>
        <w:spacing w:after="0" w:line="118" w:lineRule="exact"/>
        <w:rPr>
          <w:sz w:val="20"/>
          <w:szCs w:val="20"/>
          <w:color w:val="auto"/>
        </w:rPr>
      </w:pPr>
    </w:p>
    <w:p>
      <w:pPr>
        <w:ind w:left="460" w:right="2700" w:firstLine="4"/>
        <w:spacing w:after="0" w:line="475" w:lineRule="auto"/>
        <w:tabs>
          <w:tab w:leader="none" w:pos="63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capitalized defined terms shall have the following meanings: “</w:t>
      </w:r>
      <w:r>
        <w:rPr>
          <w:rFonts w:ascii="Arial" w:cs="Arial" w:eastAsia="Arial" w:hAnsi="Arial"/>
          <w:sz w:val="16"/>
          <w:szCs w:val="16"/>
          <w:u w:val="single" w:color="auto"/>
          <w:color w:val="auto"/>
        </w:rPr>
        <w:t>Closing</w:t>
      </w:r>
      <w:r>
        <w:rPr>
          <w:rFonts w:ascii="Arial" w:cs="Arial" w:eastAsia="Arial" w:hAnsi="Arial"/>
          <w:sz w:val="16"/>
          <w:szCs w:val="16"/>
          <w:color w:val="auto"/>
        </w:rPr>
        <w:t>” shall mean the date on which the Investor acquired the Registrable Securities.</w:t>
      </w:r>
    </w:p>
    <w:p>
      <w:pPr>
        <w:spacing w:after="0" w:line="1" w:lineRule="exact"/>
        <w:rPr>
          <w:rFonts w:ascii="Arial" w:cs="Arial" w:eastAsia="Arial" w:hAnsi="Arial"/>
          <w:sz w:val="16"/>
          <w:szCs w:val="16"/>
          <w:color w:val="auto"/>
        </w:rPr>
      </w:pPr>
    </w:p>
    <w:p>
      <w:pPr>
        <w:ind w:left="460" w:right="2840"/>
        <w:spacing w:after="0" w:line="475"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Shares</w:t>
      </w:r>
      <w:r>
        <w:rPr>
          <w:rFonts w:ascii="Arial" w:cs="Arial" w:eastAsia="Arial" w:hAnsi="Arial"/>
          <w:sz w:val="16"/>
          <w:szCs w:val="16"/>
          <w:color w:val="auto"/>
        </w:rPr>
        <w:t>” shall mean the common shares of beneficial interest, par value $0.01 per share, of the Company. “</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Securities Exchange Act of 1934, as amended from time to time.</w:t>
      </w:r>
    </w:p>
    <w:p>
      <w:pPr>
        <w:spacing w:after="0" w:line="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partnership, corporation, limited liability company, trust, unincorporated organization or other legal entity or a government or agency or political subdivision thereof.</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the prospectus included in the Shelf Registration Statement, including any preliminary prospectus, and any amendment or supplement thereto, and in each case including all material incorporated by reference therein.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shall mean the Securities and Exchange Commission.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Holder</w:t>
      </w:r>
      <w:r>
        <w:rPr>
          <w:rFonts w:ascii="Arial" w:cs="Arial" w:eastAsia="Arial" w:hAnsi="Arial"/>
          <w:sz w:val="18"/>
          <w:szCs w:val="18"/>
          <w:color w:val="auto"/>
        </w:rPr>
        <w:t>” shall mean any Holder who sells Registrable Securities pursuant to the Shelf Registration.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shall mean the registration required to be effected pursuant to Section 2 hereof.</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shall mean the registration statement of the Company (and any other entity required to be a registrant with respect to the Shelf Registration Statement pursuant to the requirements of the Securities Act), as the same may be amended or supplemented, filed in connection with the Shelf Registration.</w:t>
      </w:r>
    </w:p>
    <w:p>
      <w:pPr>
        <w:sectPr>
          <w:pgSz w:w="11900" w:h="16838" w:orient="portrait"/>
          <w:cols w:equalWidth="0" w:num="1">
            <w:col w:w="11420"/>
          </w:cols>
          <w:pgMar w:left="240" w:top="131" w:right="239" w:bottom="1440" w:gutter="0" w:footer="0" w:header="0"/>
        </w:sectPr>
      </w:pPr>
    </w:p>
    <w:bookmarkStart w:id="50" w:name="page51"/>
    <w:bookmarkEnd w:id="50"/>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Shelf Registration Under the Securities Act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firstLine="443"/>
        <w:spacing w:after="0" w:line="286" w:lineRule="auto"/>
        <w:tabs>
          <w:tab w:leader="none" w:pos="1137" w:val="left"/>
        </w:tabs>
        <w:numPr>
          <w:ilvl w:val="1"/>
          <w:numId w:val="47"/>
        </w:numPr>
        <w:rPr>
          <w:rFonts w:ascii="Arial" w:cs="Arial" w:eastAsia="Arial" w:hAnsi="Arial"/>
          <w:sz w:val="16"/>
          <w:szCs w:val="16"/>
          <w:color w:val="auto"/>
        </w:rPr>
      </w:pPr>
      <w:r>
        <w:rPr>
          <w:rFonts w:ascii="Arial" w:cs="Arial" w:eastAsia="Arial" w:hAnsi="Arial"/>
          <w:sz w:val="16"/>
          <w:szCs w:val="16"/>
          <w:color w:val="auto"/>
        </w:rPr>
        <w:t>As soon as reasonably practicable, but in no event later than the first anniversary of the date of the Closing, the Company agrees, subject to the terms of this Agreement, to file a registration statement pursuant to Rule 415 under the Securities Act (the “Shelf Registration”) for the registration of the resale of all of the Registrable Securities (whether or not then issued) of each Holder. Each Holder agrees to provide in a timely manner information regarding any proposed distribution by such Holder of the Registrable Securities and such other information reasonably requested by the Company in connection with preparation of and for inclusion in the Shelf Registration Statement. Subject to the other terms hereof, the Company shall use commercially reasonable efforts to effect such a registration. If the Company is unable to file or obtain effectiveness of the Shelf Registration Statement for such Shelf Registration due to prohibitions under the applicable securities laws or interpretations thereof, it shall do so as soon as practicable thereafter. The Company agrees to use commercially reasonable efforts to keep the Shelf Registration Statement with respect to the Registrable Securities continuously effective for a period expiring on the earlier of (i) the date on which the Registrable Securities covered by the Shelf Registration Statement have been sold and (ii) one year following the initial effectiveness of the Shelf Registration Statement. The Company shall not be required to file more than one Shelf Registration Statement hereunder.</w:t>
      </w:r>
    </w:p>
    <w:p>
      <w:pPr>
        <w:spacing w:after="0" w:line="32" w:lineRule="exact"/>
        <w:rPr>
          <w:rFonts w:ascii="Arial" w:cs="Arial" w:eastAsia="Arial" w:hAnsi="Arial"/>
          <w:sz w:val="16"/>
          <w:szCs w:val="16"/>
          <w:color w:val="auto"/>
        </w:rPr>
      </w:pPr>
    </w:p>
    <w:p>
      <w:pPr>
        <w:ind w:left="460" w:right="20" w:firstLine="443"/>
        <w:spacing w:after="0" w:line="290" w:lineRule="auto"/>
        <w:tabs>
          <w:tab w:leader="none" w:pos="1147"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Investor will reimburse the Company for its out-of-pocket expenses incurred (including, however, the fees, costs and expenses of the Company’s in-house legal staff utilized) in connection with the negotiation, preparation and execution of this Agreement, the preparation of the Shelf Registration Statement, and, subject to compliance with applicable laws and regulations, obtaining and maintaining the effectiveness of the Shelf Registration Statement in accordance with this Agreement, including, without limitation, the Company Fees. The Investor shall make all such reimbursements to the Company within 30 days of receipt from the Company of an invoice, or other reasonably detailed notice, setting forth the amounts to be reimbursed. In addition, each Holder shall be responsible for the payment of any brokerage and sales commission, fees and disbursement of such Holder’s counsel and any transfer taxes relating to the sale or disposition of the Common Shares being sold by such Holder.</w:t>
      </w:r>
    </w:p>
    <w:p>
      <w:pPr>
        <w:spacing w:after="0" w:line="23" w:lineRule="exact"/>
        <w:rPr>
          <w:rFonts w:ascii="Arial" w:cs="Arial" w:eastAsia="Arial" w:hAnsi="Arial"/>
          <w:sz w:val="16"/>
          <w:szCs w:val="16"/>
          <w:color w:val="auto"/>
        </w:rPr>
      </w:pPr>
    </w:p>
    <w:p>
      <w:pPr>
        <w:ind w:left="460" w:right="20" w:firstLine="443"/>
        <w:spacing w:after="0" w:line="294" w:lineRule="auto"/>
        <w:tabs>
          <w:tab w:leader="none" w:pos="1137"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Holder who receives a written request from the Company to supply written information reasonably necessary for the Company to complete the Shelf Registration Statement ten days thereafter, shall not be entitled to have its Registrable Securities included in the Shelf Registration Statement until such time as the Holder supplies the information in connection with either (i) the Company otherwise being required to amend the Shelf Registration Statement prior to such Shelf Registration Statement becoming effective or (ii) such Holder’s agreement to pay the costs of including such Holder’s securities in another registration statement being filed by the Company with respect to the resale of additional securities of the Company.</w:t>
      </w:r>
    </w:p>
    <w:p>
      <w:pPr>
        <w:spacing w:after="0" w:line="21" w:lineRule="exact"/>
        <w:rPr>
          <w:rFonts w:ascii="Arial" w:cs="Arial" w:eastAsia="Arial" w:hAnsi="Arial"/>
          <w:sz w:val="16"/>
          <w:szCs w:val="16"/>
          <w:color w:val="auto"/>
        </w:rPr>
      </w:pPr>
    </w:p>
    <w:p>
      <w:pPr>
        <w:ind w:left="460" w:right="20" w:firstLine="443"/>
        <w:spacing w:after="0" w:line="259" w:lineRule="auto"/>
        <w:tabs>
          <w:tab w:leader="none" w:pos="11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During the period in which the Company is to use its commercially reasonable efforts to keep the Shelf Registration Statement continuously effective as set forth in the penultimate sentence of Section 2(a), the Investor agrees to sell no more than one-third of the Registrable Shares in any calendar month from and after the initial effectiveness of the Shelf Registration Statement.</w:t>
      </w:r>
    </w:p>
    <w:p>
      <w:pPr>
        <w:spacing w:after="0" w:line="126" w:lineRule="exact"/>
        <w:rPr>
          <w:rFonts w:ascii="Arial" w:cs="Arial" w:eastAsia="Arial" w:hAnsi="Arial"/>
          <w:sz w:val="18"/>
          <w:szCs w:val="18"/>
          <w:color w:val="auto"/>
        </w:rPr>
      </w:pPr>
    </w:p>
    <w:p>
      <w:pPr>
        <w:ind w:right="420" w:firstLine="464"/>
        <w:spacing w:after="0" w:line="268" w:lineRule="auto"/>
        <w:tabs>
          <w:tab w:leader="none" w:pos="63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Shelf Registration Procedures</w:t>
      </w:r>
      <w:r>
        <w:rPr>
          <w:rFonts w:ascii="Arial" w:cs="Arial" w:eastAsia="Arial" w:hAnsi="Arial"/>
          <w:sz w:val="18"/>
          <w:szCs w:val="18"/>
          <w:color w:val="auto"/>
        </w:rPr>
        <w:t>. In connection with the obligations of the Company with respect to the Shelf Registration Statement contemplated by Section 2 hereof, the Company shall:</w:t>
      </w:r>
    </w:p>
    <w:p>
      <w:pPr>
        <w:spacing w:after="0" w:line="37" w:lineRule="exact"/>
        <w:rPr>
          <w:rFonts w:ascii="Arial" w:cs="Arial" w:eastAsia="Arial" w:hAnsi="Arial"/>
          <w:sz w:val="18"/>
          <w:szCs w:val="18"/>
          <w:color w:val="auto"/>
        </w:rPr>
      </w:pPr>
    </w:p>
    <w:p>
      <w:pPr>
        <w:ind w:left="460" w:right="260" w:firstLine="443"/>
        <w:spacing w:after="0" w:line="306" w:lineRule="auto"/>
        <w:tabs>
          <w:tab w:leader="none" w:pos="1137" w:val="left"/>
        </w:tabs>
        <w:numPr>
          <w:ilvl w:val="1"/>
          <w:numId w:val="47"/>
        </w:numPr>
        <w:rPr>
          <w:rFonts w:ascii="Arial" w:cs="Arial" w:eastAsia="Arial" w:hAnsi="Arial"/>
          <w:sz w:val="16"/>
          <w:szCs w:val="16"/>
          <w:color w:val="auto"/>
        </w:rPr>
      </w:pPr>
      <w:r>
        <w:rPr>
          <w:rFonts w:ascii="Arial" w:cs="Arial" w:eastAsia="Arial" w:hAnsi="Arial"/>
          <w:sz w:val="16"/>
          <w:szCs w:val="16"/>
          <w:color w:val="auto"/>
        </w:rPr>
        <w:t>prepare and file with the SEC the Shelf Registration Statement, which Shelf Registration Statement shall (i) be available for the sale of the Registrable Securities in accordance with the intended method or methods of distribution by the Selling Holders thereof and (ii) comply as to form in all material respects with the requirements of the applicable form and include all financial statements required by the SEC to be filed therewith;</w:t>
      </w:r>
    </w:p>
    <w:p>
      <w:pPr>
        <w:spacing w:after="0" w:line="12" w:lineRule="exact"/>
        <w:rPr>
          <w:rFonts w:ascii="Arial" w:cs="Arial" w:eastAsia="Arial" w:hAnsi="Arial"/>
          <w:sz w:val="16"/>
          <w:szCs w:val="16"/>
          <w:color w:val="auto"/>
        </w:rPr>
      </w:pPr>
    </w:p>
    <w:p>
      <w:pPr>
        <w:ind w:left="460" w:right="280" w:firstLine="443"/>
        <w:spacing w:after="0" w:line="298" w:lineRule="auto"/>
        <w:tabs>
          <w:tab w:leader="none" w:pos="1147" w:val="left"/>
        </w:tabs>
        <w:numPr>
          <w:ilvl w:val="1"/>
          <w:numId w:val="47"/>
        </w:numPr>
        <w:rPr>
          <w:rFonts w:ascii="Arial" w:cs="Arial" w:eastAsia="Arial" w:hAnsi="Arial"/>
          <w:sz w:val="16"/>
          <w:szCs w:val="16"/>
          <w:color w:val="auto"/>
        </w:rPr>
      </w:pPr>
      <w:r>
        <w:rPr>
          <w:rFonts w:ascii="Arial" w:cs="Arial" w:eastAsia="Arial" w:hAnsi="Arial"/>
          <w:sz w:val="16"/>
          <w:szCs w:val="16"/>
          <w:color w:val="auto"/>
        </w:rPr>
        <w:t>subject to the last sentence of this Section 3(b) and to Section 3(i) hereof, (i) prepare and file with the SEC such amendments to the Shelf Registration Statement as may be necessary to keep such Shelf Registration Statement effective for the applicable period; (ii) cause the Prospectus to be amended or supplemented as required and to be filed as required by Rule 424 or any similar rule which may be adopted under the Securities Act; (iii) respond promptly to any comments received from the SEC with respect to the Shelf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1" w:name="page52"/>
    <w:bookmarkEnd w:id="5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Statement or any amendment thereto; and (iv) comply with the provisions of the Securities Act with respect to the disposition of all securities covered by the Shelf Registration Statement during the applicable period in accordance with the intended method or methods of distribution by the Selling Holders thereof. Notwithstanding anything to the contrary contained herein, the Company shall not be required to take any of the actions described in Section 3(a), clauses (i), (ii) or (iii) in this Section 3(b), Section 3(d) or Section 3(i) with respect to each Holder of Registrable Securities for a period not to exceed ninety (90) days from the date of the Suspension Notice (as defined below) to the extent that the Company is in possession of material non-public information which the Board of Trustees in good faith deems advisable not to disclose or the Company is engaged in active negotiations or planning for a merger or material acquisition or disposition transaction and, in either case, the Company delivers written notice ( a “</w:t>
      </w:r>
      <w:r>
        <w:rPr>
          <w:rFonts w:ascii="Arial" w:cs="Arial" w:eastAsia="Arial" w:hAnsi="Arial"/>
          <w:sz w:val="16"/>
          <w:szCs w:val="16"/>
          <w:u w:val="single" w:color="auto"/>
          <w:color w:val="auto"/>
        </w:rPr>
        <w:t>Suspension Notice</w:t>
      </w:r>
      <w:r>
        <w:rPr>
          <w:rFonts w:ascii="Arial" w:cs="Arial" w:eastAsia="Arial" w:hAnsi="Arial"/>
          <w:sz w:val="16"/>
          <w:szCs w:val="16"/>
          <w:color w:val="auto"/>
        </w:rPr>
        <w:t xml:space="preserve">”) to each such Selling Holder of Registrable Securities to the effect that it would be impractical or unadvisable to cause the Shelf Registration Statement or such filings to be made or to become effective or to amend or supplement the Shelf Registration Statement, and that such Selling Holder may not make offers or sales under the Shelf Registration Statement for a period not to exceed ninety (90) days from the date of such Suspension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deliver only two such Suspension Notices within any twelve-month period;</w:t>
      </w:r>
    </w:p>
    <w:p>
      <w:pPr>
        <w:spacing w:after="0" w:line="33" w:lineRule="exact"/>
        <w:rPr>
          <w:sz w:val="20"/>
          <w:szCs w:val="20"/>
          <w:color w:val="auto"/>
        </w:rPr>
      </w:pPr>
    </w:p>
    <w:p>
      <w:pPr>
        <w:ind w:right="80" w:firstLine="443"/>
        <w:spacing w:after="0" w:line="298" w:lineRule="auto"/>
        <w:tabs>
          <w:tab w:leader="none" w:pos="677" w:val="left"/>
        </w:tabs>
        <w:numPr>
          <w:ilvl w:val="1"/>
          <w:numId w:val="48"/>
        </w:numPr>
        <w:rPr>
          <w:rFonts w:ascii="Arial" w:cs="Arial" w:eastAsia="Arial" w:hAnsi="Arial"/>
          <w:sz w:val="16"/>
          <w:szCs w:val="16"/>
          <w:color w:val="auto"/>
        </w:rPr>
      </w:pPr>
      <w:r>
        <w:rPr>
          <w:rFonts w:ascii="Arial" w:cs="Arial" w:eastAsia="Arial" w:hAnsi="Arial"/>
          <w:sz w:val="16"/>
          <w:szCs w:val="16"/>
          <w:color w:val="auto"/>
        </w:rPr>
        <w:t>furnish to each Selling Holder of Registrable Securities as many copies of the Prospectus and any amendment or supplement thereto as such Selling Holder may reasonably request in order to facilitate the public sale or other disposition of the Registrable Securities; the Company consents to the use of the Prospectus and any amendment or supplement thereto by each such Selling Holder of Registrable Securities in connection with the offering and sale of the Registrable Securities covered by the Prospectus or amendment or supplement thereto;</w:t>
      </w:r>
    </w:p>
    <w:p>
      <w:pPr>
        <w:spacing w:after="0" w:line="18" w:lineRule="exact"/>
        <w:rPr>
          <w:rFonts w:ascii="Arial" w:cs="Arial" w:eastAsia="Arial" w:hAnsi="Arial"/>
          <w:sz w:val="16"/>
          <w:szCs w:val="16"/>
          <w:color w:val="auto"/>
        </w:rPr>
      </w:pPr>
    </w:p>
    <w:p>
      <w:pPr>
        <w:ind w:firstLine="443"/>
        <w:spacing w:after="0" w:line="302" w:lineRule="auto"/>
        <w:tabs>
          <w:tab w:leader="none" w:pos="687" w:val="left"/>
        </w:tabs>
        <w:numPr>
          <w:ilvl w:val="1"/>
          <w:numId w:val="48"/>
        </w:numPr>
        <w:rPr>
          <w:rFonts w:ascii="Arial" w:cs="Arial" w:eastAsia="Arial" w:hAnsi="Arial"/>
          <w:sz w:val="15"/>
          <w:szCs w:val="15"/>
          <w:color w:val="auto"/>
        </w:rPr>
      </w:pPr>
      <w:r>
        <w:rPr>
          <w:rFonts w:ascii="Arial" w:cs="Arial" w:eastAsia="Arial" w:hAnsi="Arial"/>
          <w:sz w:val="15"/>
          <w:szCs w:val="15"/>
          <w:color w:val="auto"/>
        </w:rPr>
        <w:t xml:space="preserve">use its commercially reasonable efforts to (i) register or qualify the Registrable Securities by the time the Shelf Registration Statement is declared effective by the SEC under all applicable state securities or blue sky laws of such jurisdictions in the United States and its territories and possessions as any Holder of Registrable Securities covered by the Shelf Registration Statement shall reasonably request in writing, and (ii) keep each such Shelf Registration or qualification effective during the period the Shelf Registration Statement is required to be kept effective;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connection therewith, the Company shall not be required to (i) qualify as a foreign corporation to do business or to register as a broker or dealer in any such jurisdiction where it would not otherwise be required to qualify or register but for this Section 3(d), (ii) subject itself to taxation in any such jurisdiction or</w:t>
      </w:r>
    </w:p>
    <w:p>
      <w:pPr>
        <w:ind w:firstLine="4"/>
        <w:spacing w:after="0" w:line="261" w:lineRule="auto"/>
        <w:tabs>
          <w:tab w:leader="none" w:pos="307"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file a consent to general and unlimited service of process in any such jurisdiction where it would not otherwise be required to qualify or register but for this Section 3(d);</w:t>
      </w:r>
    </w:p>
    <w:p>
      <w:pPr>
        <w:spacing w:after="0" w:line="43" w:lineRule="exact"/>
        <w:rPr>
          <w:rFonts w:ascii="Arial" w:cs="Arial" w:eastAsia="Arial" w:hAnsi="Arial"/>
          <w:sz w:val="18"/>
          <w:szCs w:val="18"/>
          <w:color w:val="auto"/>
        </w:rPr>
      </w:pPr>
    </w:p>
    <w:p>
      <w:pPr>
        <w:ind w:right="80" w:firstLine="443"/>
        <w:spacing w:after="0" w:line="288" w:lineRule="auto"/>
        <w:tabs>
          <w:tab w:leader="none" w:pos="677" w:val="left"/>
        </w:tabs>
        <w:numPr>
          <w:ilvl w:val="1"/>
          <w:numId w:val="49"/>
        </w:numPr>
        <w:rPr>
          <w:rFonts w:ascii="Arial" w:cs="Arial" w:eastAsia="Arial" w:hAnsi="Arial"/>
          <w:sz w:val="16"/>
          <w:szCs w:val="16"/>
          <w:color w:val="auto"/>
        </w:rPr>
      </w:pPr>
      <w:r>
        <w:rPr>
          <w:rFonts w:ascii="Arial" w:cs="Arial" w:eastAsia="Arial" w:hAnsi="Arial"/>
          <w:sz w:val="16"/>
          <w:szCs w:val="16"/>
          <w:color w:val="auto"/>
        </w:rPr>
        <w:t>notify each Holder of Registrable Securities promptly (i) when the Shelf Registration Statement and any post-effective amendments thereto have become effective, (ii) when any amendment or supplement to the Prospectus has been filed with the SEC, (iii) of the issuance by the SEC or any state securities authority of any stop order suspending the effectiveness of the Shelf Registration Statement or any part thereof or the initiation of any proceedings for that purpose, (iv) if the Company receives any notification with respect to the suspension of the qualification of the Registrable Securities for offer or sale in any jurisdiction or the initiation of any proceeding for such purpose and (v) of the happening of any event during the period the Shelf Registration Statement is effective as a result of which (A) the Shelf Registration Statement contains any untrue statement of a material fact or omits to state any material fact required to be stated therein or necessary to make the statements therein not misleading or (B) the Prospectus as then amended or supplemented contains any untrue statement of a material fact or omits to state any material fact necessary in order to make the statements therein, in light of the circumstances under which they were made, not misleading;</w:t>
      </w:r>
    </w:p>
    <w:p>
      <w:pPr>
        <w:spacing w:after="0" w:line="25" w:lineRule="exact"/>
        <w:rPr>
          <w:rFonts w:ascii="Arial" w:cs="Arial" w:eastAsia="Arial" w:hAnsi="Arial"/>
          <w:sz w:val="16"/>
          <w:szCs w:val="16"/>
          <w:color w:val="auto"/>
        </w:rPr>
      </w:pPr>
    </w:p>
    <w:p>
      <w:pPr>
        <w:ind w:right="20" w:firstLine="443"/>
        <w:spacing w:after="0" w:line="268" w:lineRule="auto"/>
        <w:tabs>
          <w:tab w:leader="none" w:pos="657" w:val="left"/>
        </w:tabs>
        <w:numPr>
          <w:ilvl w:val="1"/>
          <w:numId w:val="49"/>
        </w:numPr>
        <w:rPr>
          <w:rFonts w:ascii="Arial" w:cs="Arial" w:eastAsia="Arial" w:hAnsi="Arial"/>
          <w:sz w:val="18"/>
          <w:szCs w:val="18"/>
          <w:color w:val="auto"/>
        </w:rPr>
      </w:pPr>
      <w:r>
        <w:rPr>
          <w:rFonts w:ascii="Arial" w:cs="Arial" w:eastAsia="Arial" w:hAnsi="Arial"/>
          <w:sz w:val="18"/>
          <w:szCs w:val="18"/>
          <w:color w:val="auto"/>
        </w:rPr>
        <w:t>use commercially reasonable efforts to obtain the withdrawal of any order suspending the effectiveness of the Shelf Registration Statement or any part thereof as promptly as possible;</w:t>
      </w:r>
    </w:p>
    <w:p>
      <w:pPr>
        <w:spacing w:after="0" w:line="37" w:lineRule="exact"/>
        <w:rPr>
          <w:rFonts w:ascii="Arial" w:cs="Arial" w:eastAsia="Arial" w:hAnsi="Arial"/>
          <w:sz w:val="18"/>
          <w:szCs w:val="18"/>
          <w:color w:val="auto"/>
        </w:rPr>
      </w:pPr>
    </w:p>
    <w:p>
      <w:pPr>
        <w:ind w:right="40" w:firstLine="443"/>
        <w:spacing w:after="0" w:line="259" w:lineRule="auto"/>
        <w:tabs>
          <w:tab w:leader="none" w:pos="687" w:val="left"/>
        </w:tabs>
        <w:numPr>
          <w:ilvl w:val="1"/>
          <w:numId w:val="49"/>
        </w:numPr>
        <w:rPr>
          <w:rFonts w:ascii="Arial" w:cs="Arial" w:eastAsia="Arial" w:hAnsi="Arial"/>
          <w:sz w:val="18"/>
          <w:szCs w:val="18"/>
          <w:color w:val="auto"/>
        </w:rPr>
      </w:pPr>
      <w:r>
        <w:rPr>
          <w:rFonts w:ascii="Arial" w:cs="Arial" w:eastAsia="Arial" w:hAnsi="Arial"/>
          <w:sz w:val="18"/>
          <w:szCs w:val="18"/>
          <w:color w:val="auto"/>
        </w:rPr>
        <w:t>furnish to each Selling Holder of Registrable Securities, without charge, at least one conformed copy of the Shelf Registration Statement and any post-effective amendment thereto, which shall include any prospectus or prospectus supplement contained therein and any other amendments thereto (without documents incorporated therein by reference or exhibits thereto, unless requested);</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700" w:top="280" w:right="279" w:bottom="1440" w:gutter="0" w:footer="0" w:header="0"/>
        </w:sectPr>
      </w:pPr>
    </w:p>
    <w:bookmarkStart w:id="52" w:name="page53"/>
    <w:bookmarkEnd w:id="52"/>
    <w:p>
      <w:pPr>
        <w:ind w:left="460" w:right="800" w:firstLine="443"/>
        <w:spacing w:after="0" w:line="268" w:lineRule="auto"/>
        <w:tabs>
          <w:tab w:leader="none" w:pos="1147"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cooperate with the Selling Holders of Registrable Securities to facilitate the timely preparation and delivery of certificates representing Registrable Securities to be sold and not bearing any Securities Act legend;</w:t>
      </w:r>
    </w:p>
    <w:p>
      <w:pPr>
        <w:spacing w:after="0" w:line="37" w:lineRule="exact"/>
        <w:rPr>
          <w:rFonts w:ascii="Arial" w:cs="Arial" w:eastAsia="Arial" w:hAnsi="Arial"/>
          <w:sz w:val="18"/>
          <w:szCs w:val="18"/>
          <w:color w:val="auto"/>
        </w:rPr>
      </w:pPr>
    </w:p>
    <w:p>
      <w:pPr>
        <w:ind w:left="460" w:firstLine="443"/>
        <w:spacing w:after="0" w:line="291" w:lineRule="auto"/>
        <w:tabs>
          <w:tab w:leader="none" w:pos="1108"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subject to the last sentence of Section 3(b) hereof, upon the occurrence of any event contemplated by the last sentence of Section 3(b) or clause (v) of Section 3(e) hereof, use commercially reasonable efforts promptly to (i) prepare and file an amendment or a supplement to the Prospectus or any document incorporated therein by reference or prepare, (ii) file and obtain effectiveness of a post-effective amendment to the Shelf Registration Statement, or (iii) file any other required document, in any such case to the extent necessary so that, as thereafter delivered to the purchasers of the Registrable Securities, the Prospectus as then amended or supplemented will not contain any untrue statement of a material fact or omit to state any material fact necessary in order to make the statements therein, in the light of the circumstances under which they are made, not misleading;</w:t>
      </w:r>
    </w:p>
    <w:p>
      <w:pPr>
        <w:spacing w:after="0" w:line="25" w:lineRule="exact"/>
        <w:rPr>
          <w:rFonts w:ascii="Arial" w:cs="Arial" w:eastAsia="Arial" w:hAnsi="Arial"/>
          <w:sz w:val="16"/>
          <w:szCs w:val="16"/>
          <w:color w:val="auto"/>
        </w:rPr>
      </w:pPr>
    </w:p>
    <w:p>
      <w:pPr>
        <w:ind w:left="460" w:right="200" w:firstLine="443"/>
        <w:spacing w:after="0" w:line="268" w:lineRule="auto"/>
        <w:tabs>
          <w:tab w:leader="none" w:pos="1108" w:val="left"/>
        </w:tabs>
        <w:numPr>
          <w:ilvl w:val="0"/>
          <w:numId w:val="50"/>
        </w:numPr>
        <w:rPr>
          <w:rFonts w:ascii="Arial" w:cs="Arial" w:eastAsia="Arial" w:hAnsi="Arial"/>
          <w:sz w:val="18"/>
          <w:szCs w:val="18"/>
          <w:color w:val="auto"/>
        </w:rPr>
      </w:pPr>
      <w:r>
        <w:rPr>
          <w:rFonts w:ascii="Arial" w:cs="Arial" w:eastAsia="Arial" w:hAnsi="Arial"/>
          <w:sz w:val="18"/>
          <w:szCs w:val="18"/>
          <w:color w:val="auto"/>
        </w:rPr>
        <w:t>use commercially reasonable efforts to cause all Registrable Securities to be listed on any securities exchange on which similar securities issued by the Company are then listed;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the CUSIP number for all Registrable Securities, not later than the effective date of the Shelf Registration Statement;</w:t>
      </w:r>
    </w:p>
    <w:p>
      <w:pPr>
        <w:spacing w:after="0" w:line="76" w:lineRule="exact"/>
        <w:rPr>
          <w:rFonts w:ascii="Arial" w:cs="Arial" w:eastAsia="Arial" w:hAnsi="Arial"/>
          <w:sz w:val="18"/>
          <w:szCs w:val="18"/>
          <w:color w:val="auto"/>
        </w:rPr>
      </w:pPr>
    </w:p>
    <w:p>
      <w:pPr>
        <w:ind w:left="460" w:right="80" w:firstLine="443"/>
        <w:spacing w:after="0" w:line="325" w:lineRule="auto"/>
        <w:tabs>
          <w:tab w:leader="none" w:pos="1108" w:val="left"/>
        </w:tabs>
        <w:numPr>
          <w:ilvl w:val="0"/>
          <w:numId w:val="50"/>
        </w:numPr>
        <w:rPr>
          <w:rFonts w:ascii="Arial" w:cs="Arial" w:eastAsia="Arial" w:hAnsi="Arial"/>
          <w:sz w:val="16"/>
          <w:szCs w:val="16"/>
          <w:color w:val="auto"/>
        </w:rPr>
      </w:pPr>
      <w:r>
        <w:rPr>
          <w:rFonts w:ascii="Arial" w:cs="Arial" w:eastAsia="Arial" w:hAnsi="Arial"/>
          <w:sz w:val="16"/>
          <w:szCs w:val="16"/>
          <w:color w:val="auto"/>
        </w:rPr>
        <w:t>use commercially reasonable efforts to make available to its security holders, as soon as reasonably practicable, an earnings statement covering at least 12 months which shall satisfy the provisions of Section 11(a) of the Securities Act and Rule 158 thereunder; and</w:t>
      </w:r>
    </w:p>
    <w:p>
      <w:pPr>
        <w:spacing w:after="0" w:line="1" w:lineRule="exact"/>
        <w:rPr>
          <w:rFonts w:ascii="Arial" w:cs="Arial" w:eastAsia="Arial" w:hAnsi="Arial"/>
          <w:sz w:val="16"/>
          <w:szCs w:val="16"/>
          <w:color w:val="auto"/>
        </w:rPr>
      </w:pPr>
    </w:p>
    <w:p>
      <w:pPr>
        <w:ind w:left="1200" w:hanging="297"/>
        <w:spacing w:after="0"/>
        <w:tabs>
          <w:tab w:leader="none" w:pos="1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otherwise use commercially reasonable efforts to comply with applicable rules and regulations of the SEC.</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may require each Selling Holder of Registrable Securities to furnish to the Company in writing such information regarding the proposed distribution by such Selling Holder of such Registrable Securities and other information as the Company may from time to time reasonably request in writing in connection therewith.</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and as a condition to the Company’s obligations with respect to the Shelf Registration Statement pursuant to Section 2 hereof and this Section 3, each Selling Holder covenants and agrees that (i) it will not offer or sell any Registrable Securities under the Shelf Registration Statement until it has received copies of the Prospectus as then amended or supplemented as contemplated by Section 3(c) and notice from the Company that the Shelf Registration Statement and any post-effective amendments thereto have become effective as contemplated by Section 3(e); or (ii) upon receipt of any notice from the Company contemplated by Section 3(b) (in respect of the occurrence of an event contemplated by the last sentence of Section 3(b) or Section 3(e) (in respect of the occurrence of an event contemplated by clause (v) of Section 3(e)), such Selling Holder shall not offer or sell any Registrable Securities pursuant to the Shelf Registration Statement until such Selling Holder receives copies of the amended or supplemented Prospectus contemplated by Section 3(i) hereof and receives notice that any post-effective amendment has become effective, and, if so directed by the Company, such Selling Holder shall deliver to the Company all copies in its possession of the Prospectus as amended or supplemented at the time of receipt of such notice.</w:t>
      </w:r>
    </w:p>
    <w:p>
      <w:pPr>
        <w:spacing w:after="0" w:line="106" w:lineRule="exact"/>
        <w:rPr>
          <w:sz w:val="20"/>
          <w:szCs w:val="20"/>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Indemnification; Contribution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480" w:firstLine="443"/>
        <w:spacing w:after="0" w:line="268" w:lineRule="auto"/>
        <w:tabs>
          <w:tab w:leader="none" w:pos="1137"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Indemnification by the Company</w:t>
      </w:r>
      <w:r>
        <w:rPr>
          <w:rFonts w:ascii="Arial" w:cs="Arial" w:eastAsia="Arial" w:hAnsi="Arial"/>
          <w:sz w:val="18"/>
          <w:szCs w:val="18"/>
          <w:color w:val="auto"/>
        </w:rPr>
        <w:t>. The Company shall indemnify and hold harmless each Holder and each Person, if any, who controls such Holder (within the meaning of Section 15 of the Securities Act) as follows:</w:t>
      </w:r>
    </w:p>
    <w:p>
      <w:pPr>
        <w:spacing w:after="0" w:line="37" w:lineRule="exact"/>
        <w:rPr>
          <w:rFonts w:ascii="Arial" w:cs="Arial" w:eastAsia="Arial" w:hAnsi="Arial"/>
          <w:sz w:val="18"/>
          <w:szCs w:val="18"/>
          <w:color w:val="auto"/>
        </w:rPr>
      </w:pPr>
    </w:p>
    <w:p>
      <w:pPr>
        <w:ind w:left="920" w:right="80" w:firstLine="421"/>
        <w:spacing w:after="0" w:line="306" w:lineRule="auto"/>
        <w:tabs>
          <w:tab w:leader="none" w:pos="1549" w:val="left"/>
        </w:tabs>
        <w:numPr>
          <w:ilvl w:val="2"/>
          <w:numId w:val="51"/>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(or actions in respect thereof), as incurred, arising out of any untrue statement or alleged untrue statement of a material fact contained in the Shelf Registration Statement (or any amendment thereto) pursuant to which the Registrable Securities were registered under the Securities Act, including all documents incorporated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3" w:name="page54"/>
    <w:bookmarkEnd w:id="53"/>
    <w:p>
      <w:pPr>
        <w:ind w:left="920" w:right="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therein by reference, or the omission or alleged omission therefrom of a material fact required to be stated therein or necessary to make the statements therein not misleading or arising out of any untrue statement or alleged untrue statement of a material fact contained in any Prospectus (or any amendment or supplement thereto), including all documents incorporated therein by reference, or the omission or alleged omission therefrom of a material fact necessary in order to make the statements therein, in the light of the circumstances under which they were made, not misleading;</w:t>
      </w:r>
    </w:p>
    <w:p>
      <w:pPr>
        <w:spacing w:after="0" w:line="3" w:lineRule="exact"/>
        <w:rPr>
          <w:sz w:val="20"/>
          <w:szCs w:val="20"/>
          <w:color w:val="auto"/>
        </w:rPr>
      </w:pPr>
    </w:p>
    <w:p>
      <w:pPr>
        <w:ind w:left="920" w:firstLine="421"/>
        <w:spacing w:after="0" w:line="256" w:lineRule="auto"/>
        <w:tabs>
          <w:tab w:leader="none" w:pos="159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(or actions in respect thereof), as incurred, to the extent of the aggregate amount paid in settlement of any litigation, or investigation or proceeding by any governmental agency or body, commenced or threatened, or of any claim whatsoever based upon any such untrue statement or omission, or any such alleged untrue statement or omission, if such settlement is effected with the written consent of the Company; and</w:t>
      </w:r>
    </w:p>
    <w:p>
      <w:pPr>
        <w:spacing w:after="0" w:line="48" w:lineRule="exact"/>
        <w:rPr>
          <w:rFonts w:ascii="Arial" w:cs="Arial" w:eastAsia="Arial" w:hAnsi="Arial"/>
          <w:sz w:val="18"/>
          <w:szCs w:val="18"/>
          <w:color w:val="auto"/>
        </w:rPr>
      </w:pPr>
    </w:p>
    <w:p>
      <w:pPr>
        <w:ind w:left="920" w:right="120" w:firstLine="421"/>
        <w:spacing w:after="0" w:line="255" w:lineRule="auto"/>
        <w:tabs>
          <w:tab w:leader="none" w:pos="16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against any and all expense whatsoever (or actions in respect thereof), as incurred (including reasonable fees and disbursements of counsel), reasonably incurred in investigating, preparing, defending against, negotiating the settlement of, or settling any litigation, or investigation or proceeding by any governmental agency or body, commenced or threatened, in each case whether or not a party, or any claim whatsoever based upon any such untrue statement or omission, or any such alleged untrue statement or omission, to the extent that any such expense is not paid under subparagraph (i) or (ii) above;</w:t>
      </w:r>
    </w:p>
    <w:p>
      <w:pPr>
        <w:spacing w:after="0" w:line="12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indemnity provided pursuant to this Section 4(a) does not apply to the Holder with respect to any loss, liability, claim, damage or expense to the extent arising out of (x) any untrue statement or omission or alleged untrue statement or omission made in reliance upon and in conformity with written information furnished to the Company by the Holder and stated to be expressly for use in the Shelf Registration Statement (or any amendment thereto) or the Prospectus (or any amendment or supplement thereto) or (y) the Holder’s failure to deliver an amended or supplemental Prospectus that was timely delivered to the Holder by the Company if such loss, liability, claim, damage or expense would not have arisen had such delivery by the Holder occurred.</w:t>
      </w:r>
    </w:p>
    <w:p>
      <w:pPr>
        <w:spacing w:after="0" w:line="21" w:lineRule="exact"/>
        <w:rPr>
          <w:sz w:val="20"/>
          <w:szCs w:val="20"/>
          <w:color w:val="auto"/>
        </w:rPr>
      </w:pPr>
    </w:p>
    <w:p>
      <w:pPr>
        <w:ind w:left="460" w:right="60" w:firstLine="443"/>
        <w:spacing w:after="0" w:line="287" w:lineRule="auto"/>
        <w:tabs>
          <w:tab w:leader="none" w:pos="1147"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Indemnification by the Holder</w:t>
      </w:r>
      <w:r>
        <w:rPr>
          <w:rFonts w:ascii="Arial" w:cs="Arial" w:eastAsia="Arial" w:hAnsi="Arial"/>
          <w:sz w:val="16"/>
          <w:szCs w:val="16"/>
          <w:color w:val="auto"/>
        </w:rPr>
        <w:t>. In connection with the Shelf Registration Statement, each Holder shall indemnify and hold harmless the Company, and each of its trustees and officers (including each trustee and officer of the Company who signed the Shelf Registration Statement), and each Person, if any, who controls the Company within the meaning of Section 15 of the Securities Act, to the same extent as the indemnity contained in Section 4(a) (including, without limitation, clause (y) thereof, and except that any settlement described in Section 4(a)(ii) shall be effected with the written consent of the Holder), but only insofar as such loss, liability, claim, damage or expense arises out of or is based upon any untrue statement or omission, or alleged untrue statements or omissions, made in the Shelf Registration Statement (or any amendment thereto) or any Prospectus (or any amendment or supplement thereto) in reliance upon and in conformity with written information furnished to the Company by the Holder and stated to be expressly for use in such Shelf Registration Statement (or any amendment thereto) or such Prospectus (or any amendment or supplement thereto). Notwithstanding the provisions of this Section 4(b), the Holder shall not be required to indemnify the Company with respect to any amount in excess of the amount of the total net proceeds received by the Holder from sales of the Registrable Securities under the Shelf Registration Statement.</w:t>
      </w:r>
    </w:p>
    <w:p>
      <w:pPr>
        <w:spacing w:after="0" w:line="28" w:lineRule="exact"/>
        <w:rPr>
          <w:rFonts w:ascii="Arial" w:cs="Arial" w:eastAsia="Arial" w:hAnsi="Arial"/>
          <w:sz w:val="16"/>
          <w:szCs w:val="16"/>
          <w:color w:val="auto"/>
        </w:rPr>
      </w:pPr>
    </w:p>
    <w:p>
      <w:pPr>
        <w:ind w:left="460" w:right="20" w:firstLine="443"/>
        <w:spacing w:after="0" w:line="287" w:lineRule="auto"/>
        <w:tabs>
          <w:tab w:leader="none" w:pos="1137"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The indemnified party shall give reasonably prompt notice to the indemnifying party of any action or proceeding commenced against it of which the indemnified party has actual knowledge and in respect of which indemnity may be sought hereunder, but failure to so notify the indemnifying party (i) shall not relieve it from any liability which it may have under the indemnity agreement provided in Section 4(a) or 4(b), unless and to the extent it did not otherwise learn of such action and the lack of notice by the indemnified party results in the forfeiture by the indemnifying party of substantial rights and defenses and (ii) shall not, in any event, relieve the indemnifying party from any obligations to the indemnified party other than the indemnification obligation provided under Section 4(a) or 4(b). If the indemnifying party so elects within a reasonable time after receipt of such notice, the indemnifying party may assume the defense of such action or proceeding at such indemnifying party’s own expense with counsel chosen by the indemnifying party and approved by the indemnified party, which approval shall not be unreasonably withheld; provided, however, that, if the indemnified party reasonably determines that a conflict of interest exists where it is advisable for the indemnified party to be represented by separate counsel or that, upon advice of counsel, there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4" w:name="page55"/>
    <w:bookmarkEnd w:id="54"/>
    <w:p>
      <w:pPr>
        <w:ind w:lef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may be legal defenses available to it which are different from or in addition to those available to the indemnifying party, then the indemnifying party shall not be entitled to assume such defense and the indemnified party shall be entitled to separate counsel at the indemnifying party’s expense. If the indemnifying party is not entitled to assume the defense of such action or proceeding as a result of the proviso to the preceding sentence, the indemnifying party’s counsel shall be entitled to conduct the indemnifying party’s defense and counsel for the indemnified party shall be entitled to conduct the defense of the indemnified party, it being understood that both such counsel will cooperate with each other to conduct the defense of such action or proceeding as efficiently as possible;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counsel for the indemnified party shall not be required to take any action which would prejudice the defense of the indemnified party. If the indemnifying party is not so entitled to assume the defense of such action or does not assume such defense, after having received the notice referred to in the first sentence of this paragraph, the indemnifying party shall pay the reasonable fees and expenses of counsel for the indemnified party. In such event, however, the indemnifying party shall not be liable for any settlement effected without the written consent of the indemnifying party, which consent shall not be unreasonably withheld. If an indemnifying party is entitled to assume, assumes, and notifies the indemnified party that it has assumed, the defense of such action or proceeding in accordance with this paragraph, the indemnifying party shall not be liable for any fees and expenses of counsel for the indemnified party incurred thereafter in connection with such action or proceeding after the indemnified party’s receipt of such notice.</w:t>
      </w:r>
    </w:p>
    <w:p>
      <w:pPr>
        <w:spacing w:after="0" w:line="26" w:lineRule="exact"/>
        <w:rPr>
          <w:sz w:val="20"/>
          <w:szCs w:val="20"/>
          <w:color w:val="auto"/>
        </w:rPr>
      </w:pPr>
    </w:p>
    <w:p>
      <w:pPr>
        <w:ind w:left="460" w:right="60" w:firstLine="443"/>
        <w:spacing w:after="0" w:line="288" w:lineRule="auto"/>
        <w:tabs>
          <w:tab w:leader="none" w:pos="1147"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In order to provide for just and equitable contribution in circumstances in which the indemnity agreement provided for in this Section 4 is for any reason held to be unenforceable although applicable in accordance with its terms, the Company and the Holder shall contribute to the aggregate losses, liabilities, claims, damages and expenses of the nature contemplated by such indemnity agreement incurred by the Company and the Holder, in such proportion as is appropriate to reflect the relative fault of the Company, on the one hand, and the Holder, on the other, in connection with the statements or omissions which resulted in such losses, claims, damages, liabilities or expenses, as well as any other relevant equitable considerations. The relative fault of the indemnifying party and indemnified party shall be determined by reference to, among other things, whether the action in question, including any untrue or alleged untrue statement of a material fact or omission or alleged omission to state a material fact, has been made by, or relates to information supplied by, the indemnifying party or the indemnified party, and the parties’ relative intent, knowledge, access to information and opportunity to correct or prevent such action.</w:t>
      </w:r>
    </w:p>
    <w:p>
      <w:pPr>
        <w:spacing w:after="0" w:line="10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parties hereto agree that it would not be just or equitable if contribution pursuant to this Section 4(d) were determined by pro rata allocation or by any other method of allocation which does not take account of the equitable considerations referred to in the immediately preceding paragraph. Notwithstanding the provisions of this Section 4(d), the Holder shall not be required to contribute any amount in excess of the amount of the total net proceeds received by the Holder from sales of the Registrable Securities under the Shelf Registration Statement. Notwithstanding the foregoing, no Person guilty of fraudulent misrepresentation (within the meaning of Section 11(f) of the Securities Act) shall be entitled to contribution from any Person who was not guilty of such fraudulent misrepresentation. For purposes of this Section 4(d), each Person, if any, who controls the Holder (within the meaning of Section 15 of the Securities Act) shall have the same rights to contribution as the Holder, and each trustee of the Company, each officer of the Company who signed the Shelf Registration Statement and each Person, if any, who controls the Company (within the meaning of Section 15 of the Securities Act) shall have the same rights to contribution as the Company.</w:t>
      </w:r>
    </w:p>
    <w:p>
      <w:pPr>
        <w:spacing w:after="0" w:line="106" w:lineRule="exact"/>
        <w:rPr>
          <w:sz w:val="20"/>
          <w:szCs w:val="20"/>
          <w:color w:val="auto"/>
        </w:rPr>
      </w:pPr>
    </w:p>
    <w:p>
      <w:pPr>
        <w:ind w:left="640" w:hanging="17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Rule 144 Sales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280" w:firstLine="443"/>
        <w:spacing w:after="0" w:line="347" w:lineRule="auto"/>
        <w:tabs>
          <w:tab w:leader="none" w:pos="1137" w:val="left"/>
        </w:tabs>
        <w:numPr>
          <w:ilvl w:val="1"/>
          <w:numId w:val="55"/>
        </w:numPr>
        <w:rPr>
          <w:rFonts w:ascii="Arial" w:cs="Arial" w:eastAsia="Arial" w:hAnsi="Arial"/>
          <w:sz w:val="15"/>
          <w:szCs w:val="15"/>
          <w:color w:val="auto"/>
        </w:rPr>
      </w:pPr>
      <w:r>
        <w:rPr>
          <w:rFonts w:ascii="Arial" w:cs="Arial" w:eastAsia="Arial" w:hAnsi="Arial"/>
          <w:sz w:val="15"/>
          <w:szCs w:val="15"/>
          <w:u w:val="single" w:color="auto"/>
          <w:color w:val="auto"/>
        </w:rPr>
        <w:t>Compliance</w:t>
      </w:r>
      <w:r>
        <w:rPr>
          <w:rFonts w:ascii="Arial" w:cs="Arial" w:eastAsia="Arial" w:hAnsi="Arial"/>
          <w:sz w:val="15"/>
          <w:szCs w:val="15"/>
          <w:color w:val="auto"/>
        </w:rPr>
        <w:t>. The Company covenants that, so long as it is subject to the reporting requirements of the Exchange Act, it will file the reports required to be filed by it under the Exchange Act so as to enable any Holder to sell Registrable Securities pursuant to Rule 144 under the Securities Act.</w:t>
      </w:r>
    </w:p>
    <w:p>
      <w:pPr>
        <w:ind w:left="1160" w:hanging="257"/>
        <w:spacing w:after="0"/>
        <w:tabs>
          <w:tab w:leader="none" w:pos="1160"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Cooperation with Holders</w:t>
      </w:r>
      <w:r>
        <w:rPr>
          <w:rFonts w:ascii="Arial" w:cs="Arial" w:eastAsia="Arial" w:hAnsi="Arial"/>
          <w:sz w:val="16"/>
          <w:szCs w:val="16"/>
          <w:color w:val="auto"/>
        </w:rPr>
        <w:t>. In connection with any sale, transfer or other disposition by any Holder of any Registrable Securities pursuant to Rule</w:t>
      </w:r>
    </w:p>
    <w:p>
      <w:pPr>
        <w:spacing w:after="0" w:line="38" w:lineRule="exact"/>
        <w:rPr>
          <w:rFonts w:ascii="Arial" w:cs="Arial" w:eastAsia="Arial" w:hAnsi="Arial"/>
          <w:sz w:val="16"/>
          <w:szCs w:val="16"/>
          <w:color w:val="auto"/>
        </w:rPr>
      </w:pPr>
    </w:p>
    <w:p>
      <w:pPr>
        <w:ind w:left="460" w:right="80" w:firstLine="4"/>
        <w:spacing w:after="0" w:line="254" w:lineRule="auto"/>
        <w:tabs>
          <w:tab w:leader="none" w:pos="767"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under the Securities Act, the Company shall cooperate with such Holder to facilitate the timely preparation and delivery of certificates representing Registrable Securities to be sold and not bearing any Securities Act legend, and enable certificates for such Registrable Securities to be for such number of shares and registered in such names as the selling Holders may reasonably request. The Company’s obligation set forth in the preceding sentence shall be subject to the delivery, if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55" w:name="page56"/>
    <w:bookmarkEnd w:id="55"/>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requested by the Company or its transfer agent, of an opinion of counsel to such Holder, in form and substance reasonably satisfactory to the Company and its transfer agent, that such Securities Act legend need not appear on such certificate.</w:t>
      </w:r>
    </w:p>
    <w:p>
      <w:pPr>
        <w:spacing w:after="0" w:line="118" w:lineRule="exact"/>
        <w:rPr>
          <w:sz w:val="20"/>
          <w:szCs w:val="20"/>
          <w:color w:val="auto"/>
        </w:rPr>
      </w:pPr>
    </w:p>
    <w:p>
      <w:pPr>
        <w:ind w:left="180" w:hanging="176"/>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20" w:firstLine="443"/>
        <w:spacing w:after="0" w:line="290" w:lineRule="auto"/>
        <w:tabs>
          <w:tab w:leader="none" w:pos="677"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The provisions of this Agreement, including the provisions of this sentence, may not be amended, modified, supplemented or waived, nor may consent to departures therefrom be given, without the written consent of the Company and the Holders of a majority of the outstanding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amendment, modification, supplement or waiver of, or consent to the departure from, the provisions of this Agreement, which has the purpose or effect of reducing, impairing or adversely affecting the right of any Holder, shall be effective as against any Holder of Registrable Securities unless consented to in writing by such Holder of Registrable Securities. Notice of any such amendment, modification, supplement, waiver or consent adopted in accordance with this Section 6(a) shall be provided by the Company to each Holder of Registrable Securities at least thirty days prior to the effective date of such amendment, modification, supplement, waiver or consent.</w:t>
      </w:r>
    </w:p>
    <w:p>
      <w:pPr>
        <w:spacing w:after="0" w:line="23" w:lineRule="exact"/>
        <w:rPr>
          <w:rFonts w:ascii="Arial" w:cs="Arial" w:eastAsia="Arial" w:hAnsi="Arial"/>
          <w:sz w:val="16"/>
          <w:szCs w:val="16"/>
          <w:color w:val="auto"/>
        </w:rPr>
      </w:pPr>
    </w:p>
    <w:p>
      <w:pPr>
        <w:ind w:right="20" w:firstLine="443"/>
        <w:spacing w:after="0" w:line="254" w:lineRule="auto"/>
        <w:tabs>
          <w:tab w:leader="none" w:pos="687"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or permitted hereunder shall be made in writing by hand-delivery, registered first-class mail, telecopier or any courier guaranteeing overnight delivery, (i) if to a Holder, at such Holder’s registered address appearing on the share register of the Company or (ii) if to the Company, at 1626 East Jefferson Street, Rockville, Maryland 20852, Attn: Dawn M. Becker. All such notices and communications shall be deemed to have been received as follows: at the time delivered by hand, if personally delivered; five business days after being deposited in the mail, postage prepaid, if mailed; when receipt is acknowledged, if telecopied; or at the time delivered if delivered by an air courier guaranteeing overnight delivery.</w:t>
      </w:r>
    </w:p>
    <w:p>
      <w:pPr>
        <w:spacing w:after="0" w:line="49" w:lineRule="exact"/>
        <w:rPr>
          <w:rFonts w:ascii="Arial" w:cs="Arial" w:eastAsia="Arial" w:hAnsi="Arial"/>
          <w:sz w:val="18"/>
          <w:szCs w:val="18"/>
          <w:color w:val="auto"/>
        </w:rPr>
      </w:pPr>
    </w:p>
    <w:p>
      <w:pPr>
        <w:ind w:right="40" w:firstLine="443"/>
        <w:spacing w:after="0" w:line="255" w:lineRule="auto"/>
        <w:tabs>
          <w:tab w:leader="none" w:pos="677"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inure to the benefit of and be binding on the successors, assigns and transferees of each of the parties, including, without limitation, subsequent Holders. If any successor, assignee or transferee of any Holder shall acquire Registrable Securities, in any manner, whether by operation of law or otherwise, such Registrable Securities shall be held subject to all of the rights and benefits of this Agreement, and by taking and holding Registrable Securities such Person shall be conclusively deemed to have agreed to be bound by all of the terms and provisions hereof.</w:t>
      </w:r>
    </w:p>
    <w:p>
      <w:pPr>
        <w:spacing w:after="0" w:line="48" w:lineRule="exact"/>
        <w:rPr>
          <w:rFonts w:ascii="Arial" w:cs="Arial" w:eastAsia="Arial" w:hAnsi="Arial"/>
          <w:sz w:val="18"/>
          <w:szCs w:val="18"/>
          <w:color w:val="auto"/>
        </w:rPr>
      </w:pPr>
    </w:p>
    <w:p>
      <w:pPr>
        <w:ind w:right="200" w:firstLine="443"/>
        <w:spacing w:after="0" w:line="325" w:lineRule="auto"/>
        <w:tabs>
          <w:tab w:leader="none" w:pos="687"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 w:lineRule="exact"/>
        <w:rPr>
          <w:rFonts w:ascii="Arial" w:cs="Arial" w:eastAsia="Arial" w:hAnsi="Arial"/>
          <w:sz w:val="16"/>
          <w:szCs w:val="16"/>
          <w:color w:val="auto"/>
        </w:rPr>
      </w:pPr>
    </w:p>
    <w:p>
      <w:pPr>
        <w:ind w:left="680" w:hanging="237"/>
        <w:spacing w:after="0"/>
        <w:tabs>
          <w:tab w:leader="none" w:pos="680"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convenience of reference only and shall not limit or otherwise affect the meaning hereof.</w:t>
      </w:r>
    </w:p>
    <w:p>
      <w:pPr>
        <w:spacing w:after="0" w:line="99" w:lineRule="exact"/>
        <w:rPr>
          <w:rFonts w:ascii="Arial" w:cs="Arial" w:eastAsia="Arial" w:hAnsi="Arial"/>
          <w:sz w:val="16"/>
          <w:szCs w:val="16"/>
          <w:color w:val="auto"/>
        </w:rPr>
      </w:pPr>
    </w:p>
    <w:p>
      <w:pPr>
        <w:ind w:right="40" w:firstLine="443"/>
        <w:spacing w:after="0" w:line="259" w:lineRule="auto"/>
        <w:tabs>
          <w:tab w:leader="none" w:pos="657"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a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45" w:lineRule="exact"/>
        <w:rPr>
          <w:rFonts w:ascii="Arial" w:cs="Arial" w:eastAsia="Arial" w:hAnsi="Arial"/>
          <w:sz w:val="18"/>
          <w:szCs w:val="18"/>
          <w:color w:val="auto"/>
        </w:rPr>
      </w:pPr>
    </w:p>
    <w:p>
      <w:pPr>
        <w:ind w:right="140" w:firstLine="443"/>
        <w:spacing w:after="0" w:line="268" w:lineRule="auto"/>
        <w:tabs>
          <w:tab w:leader="none" w:pos="687"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Maryland without giving effect to the conflicts of law provisions thereof.</w:t>
      </w:r>
    </w:p>
    <w:p>
      <w:pPr>
        <w:spacing w:after="0" w:line="37" w:lineRule="exact"/>
        <w:rPr>
          <w:rFonts w:ascii="Arial" w:cs="Arial" w:eastAsia="Arial" w:hAnsi="Arial"/>
          <w:sz w:val="18"/>
          <w:szCs w:val="18"/>
          <w:color w:val="auto"/>
        </w:rPr>
      </w:pPr>
    </w:p>
    <w:p>
      <w:pPr>
        <w:ind w:firstLine="443"/>
        <w:spacing w:after="0" w:line="256" w:lineRule="auto"/>
        <w:tabs>
          <w:tab w:leader="none" w:pos="687"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hereto acknowledge that there would be no adequate remedy at law if any party fails to perform any of its obligations hereunder, and accordingly agree that each party, in addition to any other remedy to which it may be entitled at law or in equity, shall be entitled to compel specific performance of the obligations of any other party under this Agreement in accordance with the terms and conditions of this Agreement in any court of the United States or any State thereof having jurisdiction.</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56" w:name="page57"/>
    <w:bookmarkEnd w:id="56"/>
    <w:p>
      <w:pPr>
        <w:ind w:firstLine="443"/>
        <w:spacing w:after="0" w:line="259"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Entire Agreement</w:t>
      </w:r>
      <w:r>
        <w:rPr>
          <w:rFonts w:ascii="Arial" w:cs="Arial" w:eastAsia="Arial" w:hAnsi="Arial"/>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15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700" w:top="280" w:right="319" w:bottom="1440" w:gutter="0" w:footer="0" w:header="0"/>
        </w:sectPr>
      </w:pPr>
    </w:p>
    <w:bookmarkStart w:id="57" w:name="page58"/>
    <w:bookmarkEnd w:id="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executed this Agreement as of the date first written above</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COMPANY:</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Dawn M. Becker</w:t>
      </w:r>
    </w:p>
    <w:p>
      <w:pPr>
        <w:spacing w:after="0" w:line="15" w:lineRule="exact"/>
        <w:rPr>
          <w:sz w:val="20"/>
          <w:szCs w:val="20"/>
          <w:color w:val="auto"/>
        </w:rPr>
      </w:pPr>
    </w:p>
    <w:p>
      <w:pPr>
        <w:jc w:val="right"/>
        <w:spacing w:after="0"/>
        <w:tabs>
          <w:tab w:leader="none" w:pos="3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 General Counsel and</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Francis O. Day,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Francis O. Day,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F. Whalen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F. Whalen</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240" w:top="280" w:right="5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5.1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19, 2005</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14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Registration Statement on Form S-3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have acted as counsel to Federal Realty Investment Trust, a Maryland real estate investment trust (the “Company”), in connection with the Company’s filing with the Securities and Exchange Commission under the Securities Act of 1933, as amended (the “Act”), of a registration statement on Form S-3 (the “Registration Statement”) and the prospectus included therein (the “Prospectus”) relating to the resale of 190,000 of the Company’s common shares of beneficial interest, par value $.01 per share (the “Shares”), as provided in the Registration Statement, by the selling shareholder identified in the Registration Statement.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this opinion, we have examined copies of the following documents:</w:t>
      </w:r>
    </w:p>
    <w:p>
      <w:pPr>
        <w:spacing w:after="0" w:line="77"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76"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copy of the Declaration of Trust of the Company (the “Articles”), as amended, restated or supplemented, if applicable, as certified by the Maryland State Department of Assessments and Taxation on March 28, 2005, and certified to us by the Executive Vice President, General Counsel and Secretary of the Company as being complete, accurate and in effect as of the date hereof;</w:t>
      </w:r>
    </w:p>
    <w:p>
      <w:pPr>
        <w:spacing w:after="0" w:line="45" w:lineRule="exact"/>
        <w:rPr>
          <w:rFonts w:ascii="Arial" w:cs="Arial" w:eastAsia="Arial" w:hAnsi="Arial"/>
          <w:sz w:val="18"/>
          <w:szCs w:val="18"/>
          <w:color w:val="auto"/>
        </w:rPr>
      </w:pPr>
    </w:p>
    <w:p>
      <w:pPr>
        <w:ind w:left="900" w:right="200" w:hanging="446"/>
        <w:spacing w:after="0" w:line="347" w:lineRule="auto"/>
        <w:tabs>
          <w:tab w:leader="none" w:pos="9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Amended and Restated Bylaws of the Company, as amended, restated or supplemented, if applicable (the “Bylaws”), in the form certified to us by the Executive Vice President, General Counsel and Secretary of the Company as being complete, accurate and in effect as of the date hereof;</w:t>
      </w: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Registration Rights Agreement, dated as of February 1, 2005, by the Company and Francis O. Day, III;</w:t>
      </w:r>
    </w:p>
    <w:p>
      <w:pPr>
        <w:sectPr>
          <w:pgSz w:w="11900" w:h="16838" w:orient="portrait"/>
          <w:cols w:equalWidth="0" w:num="1">
            <w:col w:w="11420"/>
          </w:cols>
          <w:pgMar w:left="240" w:top="13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19,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70" w:lineRule="exact"/>
        <w:rPr>
          <w:sz w:val="20"/>
          <w:szCs w:val="20"/>
          <w:color w:val="auto"/>
        </w:rPr>
      </w:pPr>
    </w:p>
    <w:p>
      <w:pPr>
        <w:ind w:left="900" w:right="28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resolutions of the Board of Trustees of the Company (the “Resolutions”), as certified to us by the Executive Vice President, General Counsel and Secretary of the Company as being complete, accurate and in effect as of the date hereof;</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certificate of the Secretary of the Company dated as of the date hereof; and</w:t>
      </w:r>
    </w:p>
    <w:p>
      <w:pPr>
        <w:spacing w:after="0" w:line="76"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other documents, corporate records, certificates of public officials and other instruments as we have deemed necessary for the purposes of rendering this opinion.</w:t>
      </w:r>
    </w:p>
    <w:p>
      <w:pPr>
        <w:spacing w:after="0" w:line="118"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In our examination of the aforesaid documents, we have assumed the legal capacity of all natural persons, the authority of all entities other than the Company, the genuineness of all signatures, the completeness and authenticity of all documents submitted to us as originals, and the conformity to original documents of all documents submitted to us as certified, telecopied, photostatic or reproduced copies.</w:t>
      </w:r>
    </w:p>
    <w:p>
      <w:pPr>
        <w:spacing w:after="0" w:line="9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Based upon, subject to and limited by the foregoing, we are of the opinion that the Shares have been validly issued by the Company, and are fully paid and nonassessable.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opinion is limited to the laws of the United States and, except as provided below, the laws of the State of Maryland. Our opinion is rendered only with respect to the laws and the rules, regulations and orders thereunder that are currently in effect. We assume no obligation to advise you of any changes in the foregoing subsequent to the delivery of this opinion. We express no opinion as to compliance with any state securities laws, including the securities laws of the State of Maryland. This opinion has been prepared for your use in connection with the filing of the Registration Statement.</w:t>
      </w:r>
    </w:p>
    <w:p>
      <w:pPr>
        <w:spacing w:after="0" w:line="9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Prospectus under the caption “Legal Matters.” The giving of this consent, however, does not constitute an admission that we are “experts” within the meaning of Section 11 of the Act or within the category of persons whose consent is required by Section 7 of the Act.</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360"/>
          </w:cols>
          <w:pgMar w:left="240" w:top="280" w:right="29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8.1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19, 2005</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Rockville, Maryland 20852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the prospectus and all documents incorporated and deemed to be incorporated by reference therein) with the Securities and Exchange Commission (the “Commission”).</w:t>
      </w:r>
    </w:p>
    <w:p>
      <w:pPr>
        <w:spacing w:after="0" w:line="13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0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w:t>
      </w:r>
    </w:p>
    <w:p>
      <w:pPr>
        <w:sectPr>
          <w:pgSz w:w="11900" w:h="16838" w:orient="portrait"/>
          <w:cols w:equalWidth="0" w:num="1">
            <w:col w:w="11420"/>
          </w:cols>
          <w:pgMar w:left="240" w:top="13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19,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2005;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(2005) taxable year and for future taxable years, and (iii) the discussions in (y) the Registration Statement under the caption “Risk Factors,” specifically the discussion of the Company’s status as a REIT, and (z) the Registration Statement under the caption “Federal Income Tax Considerations,” which discussions are part of, or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Registration Statement under the caption “Federal Income Tax Considerations” are hereby confirmed.</w:t>
      </w:r>
    </w:p>
    <w:p>
      <w:pPr>
        <w:spacing w:after="0" w:line="10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(“IRS”)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00"/>
          </w:cols>
          <w:pgMar w:left="240" w:top="280"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19,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 PITTMAN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400"/>
          </w:cols>
          <w:pgMar w:left="240" w:top="280" w:right="2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23.1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We have issued our reports dated March 2, 2005, accompanying the consolidated financial statements and schedules and management’s assessment of the effectiveness of internal control over financial reporting, included in the Annual Report of Federal Realty Investment Trust on Form 10-K for the year ended December 31, 2004. We hereby consent to the incorporation by reference of said reports in the Registration Statement of Federal Realty Investment Trust on Form S-3.</w:t>
      </w:r>
    </w:p>
    <w:p>
      <w:pPr>
        <w:spacing w:after="0" w:line="1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Grant Thornton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Vienna,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19, 2005</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
      <w:numFmt w:val="bullet"/>
      <w:start w:val="1"/>
    </w:lvl>
    <w:lvl w:ilvl="1">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amp;"/>
      <w:numFmt w:val="bullet"/>
      <w:start w:val="1"/>
    </w:lvl>
  </w:abstractNum>
  <w:abstractNum w:abstractNumId="41">
    <w:nsid w:val="1BA026FA"/>
    <w:multiLevelType w:val="hybridMultilevel"/>
    <w:lvl w:ilvl="0">
      <w:lvlJc w:val="left"/>
      <w:lvlText w:val="(%1)"/>
      <w:numFmt w:val="decimal"/>
      <w:start w:val="1"/>
    </w:lvl>
    <w:lvl w:ilvl="1">
      <w:lvlJc w:val="left"/>
      <w:lvlText w:val="(%2)"/>
      <w:numFmt w:val="lowerRoman"/>
      <w:start w:val="1"/>
    </w:lvl>
  </w:abstractNum>
  <w:abstractNum w:abstractNumId="42">
    <w:nsid w:val="79A1DEAA"/>
    <w:multiLevelType w:val="hybridMultilevel"/>
    <w:lvl w:ilvl="0">
      <w:lvlJc w:val="left"/>
      <w:lvlText w:val="(%1)"/>
      <w:numFmt w:val="lowerRoman"/>
      <w:start w:val="3"/>
    </w:lvl>
  </w:abstractNum>
  <w:abstractNum w:abstractNumId="43">
    <w:nsid w:val="75C6C33A"/>
    <w:multiLevelType w:val="hybridMultilevel"/>
    <w:lvl w:ilvl="0">
      <w:lvlJc w:val="left"/>
      <w:lvlText w:val="%1"/>
      <w:numFmt w:val="lowerLetter"/>
      <w:start w:val="1"/>
    </w:lvl>
    <w:lvl w:ilvl="1">
      <w:lvlJc w:val="left"/>
      <w:lvlText w:val="(%2)"/>
      <w:numFmt w:val="decimal"/>
      <w:start w:val="2"/>
    </w:lvl>
  </w:abstractNum>
  <w:abstractNum w:abstractNumId="44">
    <w:nsid w:val="12E685FB"/>
    <w:multiLevelType w:val="hybridMultilevel"/>
    <w:lvl w:ilvl="0">
      <w:lvlJc w:val="left"/>
      <w:lvlText w:val="(%1)"/>
      <w:numFmt w:val="lowerLetter"/>
      <w:start w:val="2"/>
    </w:lvl>
    <w:lvl w:ilvl="1">
      <w:lvlJc w:val="left"/>
      <w:lvlText w:val="%2"/>
      <w:numFmt w:val="decimal"/>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2"/>
    </w:lvl>
    <w:lvl w:ilvl="1">
      <w:lvlJc w:val="left"/>
      <w:lvlText w:val="(%2)"/>
      <w:numFmt w:val="lowerLetter"/>
      <w:start w:val="1"/>
    </w:lvl>
  </w:abstractNum>
  <w:abstractNum w:abstractNumId="47">
    <w:nsid w:val="374A3FE6"/>
    <w:multiLevelType w:val="hybridMultilevel"/>
    <w:lvl w:ilvl="0">
      <w:lvlJc w:val="left"/>
      <w:lvlText w:val="%1"/>
      <w:numFmt w:val="lowerLetter"/>
      <w:start w:val="1"/>
    </w:lvl>
    <w:lvl w:ilvl="1">
      <w:lvlJc w:val="left"/>
      <w:lvlText w:val="(%2)"/>
      <w:numFmt w:val="lowerLetter"/>
      <w:start w:val="3"/>
    </w:lvl>
  </w:abstractNum>
  <w:abstractNum w:abstractNumId="48">
    <w:nsid w:val="4F4EF005"/>
    <w:multiLevelType w:val="hybridMultilevel"/>
    <w:lvl w:ilvl="0">
      <w:lvlJc w:val="left"/>
      <w:lvlText w:val="(%1)"/>
      <w:numFmt w:val="lowerLetter"/>
      <w:start w:val="61"/>
    </w:lvl>
    <w:lvl w:ilvl="1">
      <w:lvlJc w:val="left"/>
      <w:lvlText w:val="(%2)"/>
      <w:numFmt w:val="lowerLetter"/>
      <w:start w:val="5"/>
    </w:lvl>
  </w:abstractNum>
  <w:abstractNum w:abstractNumId="49">
    <w:nsid w:val="23F9C13C"/>
    <w:multiLevelType w:val="hybridMultilevel"/>
    <w:lvl w:ilvl="0">
      <w:lvlJc w:val="left"/>
      <w:lvlText w:val="(%1)"/>
      <w:numFmt w:val="lowerLetter"/>
      <w:start w:val="8"/>
    </w:lvl>
  </w:abstractNum>
  <w:abstractNum w:abstractNumId="50">
    <w:nsid w:val="649BB77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51">
    <w:nsid w:val="275AC794"/>
    <w:multiLevelType w:val="hybridMultilevel"/>
    <w:lvl w:ilvl="0">
      <w:lvlJc w:val="left"/>
      <w:lvlText w:val="(%1)"/>
      <w:numFmt w:val="lowerRoman"/>
      <w:start w:val="2"/>
    </w:lvl>
  </w:abstractNum>
  <w:abstractNum w:abstractNumId="52">
    <w:nsid w:val="39386575"/>
    <w:multiLevelType w:val="hybridMultilevel"/>
    <w:lvl w:ilvl="0">
      <w:lvlJc w:val="left"/>
      <w:lvlText w:val="(%1)"/>
      <w:numFmt w:val="lowerLetter"/>
      <w:start w:val="2"/>
    </w:lvl>
  </w:abstractNum>
  <w:abstractNum w:abstractNumId="53">
    <w:nsid w:val="1CF10FD8"/>
    <w:multiLevelType w:val="hybridMultilevel"/>
    <w:lvl w:ilvl="0">
      <w:lvlJc w:val="left"/>
      <w:lvlText w:val="(%1)"/>
      <w:numFmt w:val="lowerLetter"/>
      <w:start w:val="4"/>
    </w:lvl>
  </w:abstractNum>
  <w:abstractNum w:abstractNumId="54">
    <w:nsid w:val="180115BE"/>
    <w:multiLevelType w:val="hybridMultilevel"/>
    <w:lvl w:ilvl="0">
      <w:lvlJc w:val="left"/>
      <w:lvlText w:val="%1."/>
      <w:numFmt w:val="decimal"/>
      <w:start w:val="5"/>
    </w:lvl>
    <w:lvl w:ilvl="1">
      <w:lvlJc w:val="left"/>
      <w:lvlText w:val="(%2)"/>
      <w:numFmt w:val="lowerLetter"/>
      <w:start w:val="1"/>
    </w:lvl>
  </w:abstractNum>
  <w:abstractNum w:abstractNumId="55">
    <w:nsid w:val="235BA861"/>
    <w:multiLevelType w:val="hybridMultilevel"/>
    <w:lvl w:ilvl="0">
      <w:lvlJc w:val="left"/>
      <w:lvlText w:val="%1"/>
      <w:numFmt w:val="decimal"/>
      <w:start w:val="144"/>
    </w:lvl>
    <w:lvl w:ilvl="1">
      <w:lvlJc w:val="left"/>
      <w:lvlText w:val="%2"/>
      <w:numFmt w:val="lowerLetter"/>
      <w:start w:val="1"/>
    </w:lvl>
  </w:abstractNum>
  <w:abstractNum w:abstractNumId="56">
    <w:nsid w:val="47398C89"/>
    <w:multiLevelType w:val="hybridMultilevel"/>
    <w:lvl w:ilvl="0">
      <w:lvlJc w:val="left"/>
      <w:lvlText w:val="%1."/>
      <w:numFmt w:val="decimal"/>
      <w:start w:val="6"/>
    </w:lvl>
    <w:lvl w:ilvl="1">
      <w:lvlJc w:val="left"/>
      <w:lvlText w:val="(%2)"/>
      <w:numFmt w:val="lowerLetter"/>
      <w:start w:val="1"/>
    </w:lvl>
  </w:abstractNum>
  <w:abstractNum w:abstractNumId="57">
    <w:nsid w:val="354FE9F9"/>
    <w:multiLevelType w:val="hybridMultilevel"/>
    <w:lvl w:ilvl="0">
      <w:lvlJc w:val="left"/>
      <w:lvlText w:val="(%1)"/>
      <w:numFmt w:val="lowerRoman"/>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2019-12-12T09:26:21Z</dcterms:created>
  <dcterms:modified xsi:type="dcterms:W3CDTF">2019-12-12T09:26:21Z</dcterms:modified>
</cp:coreProperties>
</file>