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2014</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8, 2014, Federal Realty Investment Trust issued supplemental data pertaining to its operations, as well as a press release, to report its financial results for the quarter ended March 31, 2014.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2014 (including press release dated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8, 2014</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2014</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2014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Mixed Use Projects Phase I</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2014 Significant Acquisition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49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2200" w:type="dxa"/>
            <w:vAlign w:val="bottom"/>
            <w:gridSpan w:val="2"/>
          </w:tcPr>
          <w:p>
            <w:pPr>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2200" w:type="dxa"/>
            <w:vAlign w:val="bottom"/>
            <w:gridSpan w:val="2"/>
          </w:tcPr>
          <w:p>
            <w:pPr>
              <w:spacing w:after="0"/>
              <w:rPr>
                <w:sz w:val="20"/>
                <w:szCs w:val="20"/>
                <w:color w:val="auto"/>
              </w:rPr>
            </w:pPr>
            <w:r>
              <w:rPr>
                <w:rFonts w:ascii="Arial" w:cs="Arial" w:eastAsia="Arial" w:hAnsi="Arial"/>
                <w:sz w:val="18"/>
                <w:szCs w:val="18"/>
                <w:color w:val="auto"/>
                <w:w w:val="99"/>
              </w:rPr>
              <w:t>Investor Relations Manager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4900" w:type="dxa"/>
            <w:vAlign w:val="bottom"/>
          </w:tcPr>
          <w:p>
            <w:pPr>
              <w:spacing w:after="0"/>
              <w:rPr>
                <w:sz w:val="22"/>
                <w:szCs w:val="22"/>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301/998-8265</w:t>
            </w:r>
          </w:p>
        </w:tc>
        <w:tc>
          <w:tcPr>
            <w:tcW w:w="84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w w:val="99"/>
              </w:rPr>
              <w:t>klennox@federalrealty.com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2014 OPERATING RESULTS</w:t>
      </w:r>
    </w:p>
    <w:p>
      <w:pPr>
        <w:spacing w:after="0" w:line="30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(May 8, 2014) - Federal Realty Investment Trust (NYSE:FRT) today reported operating results for its first quarter ended March 31,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For first quarter 2014, Federal Realty generated funds from operations available for common shareholders (FFO) of $81.8 million, or $1.21 per diluted share, compared to $74.1 million, or $1.14 per diluted share, in first quarter 2013. Net income available for common shareholders was $38.6 million and earnings per diluted share was $0.57 for first quarter 2014 versus $34.5 million and $0.53, respectively, for first quarter 2013.</w:t>
      </w:r>
    </w:p>
    <w:p>
      <w:pPr>
        <w:spacing w:after="0" w:line="298"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first quarter 2014, same-center property operating income increased 3.4% including redevelopment and expansion properties, and increased 2.9% excluding redevelopment and expansion properties, compared to first quarter 2013. During the quarter, same-center property operating income was impacted by approximately 100 basis points due to excessive snow removal costs experienced in the Northeast and Mid-Atlantic regions.</w:t>
      </w:r>
    </w:p>
    <w:p>
      <w:pPr>
        <w:spacing w:after="0" w:line="2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95.6% leased as of March 31, 2014, compared to 95.8% on December 31, 2013 and 95.1% on March 31, 2013. Federal Realty’s same-center portfolio was 95.5% leased on March 31, 2014, compared to 95.9% on December 31, 2013 and 95.2% on March 31, 2013.</w:t>
      </w:r>
    </w:p>
    <w:p>
      <w:pPr>
        <w:spacing w:after="0" w:line="280" w:lineRule="exact"/>
        <w:rPr>
          <w:sz w:val="20"/>
          <w:szCs w:val="20"/>
          <w:color w:val="auto"/>
        </w:rPr>
      </w:pPr>
    </w:p>
    <w:p>
      <w:pPr>
        <w:ind w:right="20"/>
        <w:spacing w:after="0" w:line="376" w:lineRule="auto"/>
        <w:rPr>
          <w:sz w:val="20"/>
          <w:szCs w:val="20"/>
          <w:color w:val="auto"/>
        </w:rPr>
      </w:pPr>
      <w:r>
        <w:rPr>
          <w:rFonts w:ascii="Arial" w:cs="Arial" w:eastAsia="Arial" w:hAnsi="Arial"/>
          <w:sz w:val="18"/>
          <w:szCs w:val="18"/>
          <w:color w:val="auto"/>
        </w:rPr>
        <w:t>During first quarter 2014, the Trust signed 78 leases for 364,034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328,355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18%.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weighted average contractual rent on this comparable space for the first year of the new lease is $31.84 per square foot compared to the weighted average contractual rent of $27.01 per square foot for the last year of the prior lease. The previous weighted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29% for first quarter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6, 2014 - Federal Realty announced the acquisition of a controlling interest in two shopping centers totaling 285,600 square feet in affluent Monmouth County, New Jersey, for a total value of $161 million. The Grove at Shrewsbury and Brook 35 are located on busy Route 35, less than three miles from the Garden State Parkway, serving the NY Metro emerging bedroom and second home communities of Shrewsbury, Red Bank, Rumson, Fair Haven, Little Silver and Middletown. The acquisition, which was effective January 1, 2014, was made using a combination of downREIT units, cash and the assumption of $68 million of fixed rate debt secured by the properties.</w:t>
      </w:r>
    </w:p>
    <w:p>
      <w:pPr>
        <w:spacing w:after="0" w:line="16" w:lineRule="exact"/>
        <w:rPr>
          <w:rFonts w:ascii="Arial" w:cs="Arial" w:eastAsia="Arial" w:hAnsi="Arial"/>
          <w:sz w:val="18"/>
          <w:szCs w:val="18"/>
          <w:color w:val="auto"/>
        </w:rPr>
      </w:pPr>
    </w:p>
    <w:p>
      <w:pPr>
        <w:jc w:val="both"/>
        <w:ind w:left="660" w:hanging="328"/>
        <w:spacing w:after="0" w:line="36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6, 2014 - Federal Realty announced the promotion of Christopher J. Weilminster to the position of Executive Vice President, Real Estate &amp; Leasing for the Trust, Wendy Seher to the position of Vice President &amp; Director of Leasing, Mid-Atlantic Region, and the concurrent promotions of Jeffrey Fischer and Joseph Byrnes as Co-Directors of Leasing, Northeast Region.</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“With the closing of the acquisitions of The Grove at Shrewsbury and Brook 35, two iconic assets, and the leasing and development progress at Pike &amp; Rose, Assembly Row and The Point, we continue to demonstrate a clear and stable path toward future growth and value creation,” commented Donald C. Wood, president and chief executive officer of Federal Realty. “As always, this activity was supported by a strong core portfolio that continued to deliver sector leading growth despite the significant snow impact in the first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40"/>
        <w:spacing w:after="0" w:line="371" w:lineRule="auto"/>
        <w:rPr>
          <w:sz w:val="20"/>
          <w:szCs w:val="20"/>
          <w:color w:val="auto"/>
        </w:rPr>
      </w:pPr>
      <w:r>
        <w:rPr>
          <w:rFonts w:ascii="Arial" w:cs="Arial" w:eastAsia="Arial" w:hAnsi="Arial"/>
          <w:sz w:val="18"/>
          <w:szCs w:val="18"/>
          <w:color w:val="auto"/>
        </w:rPr>
        <w:t>We have maintained our 2014 guidance for FFO per diluted share of $4.86 to $4.93. Our earnings per share guidance was maintained at $2.54 to $2.62.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on its common shares of $0.78 per share, resulting in an indicated annual rate of $3.12 per share. The regular common dividend will be payable on July 15, 2014 to common shareholders of record on June 23, 2014.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first quarter 2014 earnings conference call, which is scheduled for May 9, 2014, at 11 a.m. Eastern Daylight Time. To participate, please call (800) 708-4540 five to ten minutes prior to the call start time and use the passcode 36876436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May 16, 2014, by dialing (888) 843-7419 and using the passcode 36876436.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95.6% leased to national, regional, and local retailers as of March 31, 2014, with no single tenant accounting for more than approximately 3.3% of annualized base rent. Federal Realty has paid quarterly dividends to its shareholders continuously since its founding in 1962, and has increased its dividend rate for 46 consecutive years, the longest record in the REIT industry. Federal Realty is an S&amp;P MidCap 400 company and its shares are traded on the NYSE under the symbol FRT.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206"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11, 2014.</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9"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24"/>
                <w:szCs w:val="24"/>
                <w:color w:val="auto"/>
              </w:rPr>
            </w:pPr>
          </w:p>
        </w:tc>
      </w:tr>
      <w:tr>
        <w:trPr>
          <w:trHeight w:val="250"/>
        </w:trPr>
        <w:tc>
          <w:tcPr>
            <w:tcW w:w="8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44"/>
        </w:trPr>
        <w:tc>
          <w:tcPr>
            <w:tcW w:w="8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76"/>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left="673"/>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24"/>
                <w:szCs w:val="24"/>
                <w:color w:val="auto"/>
              </w:rPr>
            </w:pPr>
          </w:p>
        </w:tc>
      </w:tr>
      <w:tr>
        <w:trPr>
          <w:trHeight w:val="25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166,193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152,616</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1,265</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170,828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157,149</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29,501</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17,572</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7,057</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43,850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40,517</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94,647</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63,444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62,502</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(27,405)</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real estate partnership</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40,545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35,439</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Discontinued operations - income</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35,842</w:t>
            </w:r>
          </w:p>
        </w:tc>
      </w:tr>
      <w:tr>
        <w:trPr>
          <w:trHeight w:val="243"/>
        </w:trPr>
        <w:tc>
          <w:tcPr>
            <w:tcW w:w="84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34,588</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38,618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34,453</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37"/>
        </w:trPr>
        <w:tc>
          <w:tcPr>
            <w:tcW w:w="84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r>
      <w:tr>
        <w:trPr>
          <w:trHeight w:val="67"/>
        </w:trPr>
        <w:tc>
          <w:tcPr>
            <w:tcW w:w="84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43"/>
        </w:trPr>
        <w:tc>
          <w:tcPr>
            <w:tcW w:w="8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304"/>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66,615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64,692</w:t>
            </w:r>
          </w:p>
        </w:tc>
      </w:tr>
      <w:tr>
        <w:trPr>
          <w:trHeight w:val="217"/>
        </w:trPr>
        <w:tc>
          <w:tcPr>
            <w:tcW w:w="8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64"/>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64,847</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742" w:right="25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60" w:top="742" w:right="25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$281,602 and $265,138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4,815,667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572,986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5,388,653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$20,974 and $19,086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(1,383,520)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4,005,133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92,769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4,405,647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$209,742 and $202,782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729,929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660,127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1,361,098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329,074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2,721,011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1,475,741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1,438,163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1,574,268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4,405,647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09"/>
        </w:trPr>
        <w:tc>
          <w:tcPr>
            <w:tcW w:w="82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40,545</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35,842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39,549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36,562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2,768</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81,542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74,294</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81,754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74,050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2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FFO per diluted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1.14</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67,691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65,158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82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73,380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44,416</w:t>
            </w:r>
          </w:p>
        </w:tc>
      </w:tr>
      <w:tr>
        <w:trPr>
          <w:trHeight w:val="243"/>
        </w:trPr>
        <w:tc>
          <w:tcPr>
            <w:tcW w:w="40" w:type="dxa"/>
            <w:vAlign w:val="bottom"/>
          </w:tcPr>
          <w:p>
            <w:pPr>
              <w:spacing w:after="0"/>
              <w:rPr>
                <w:sz w:val="21"/>
                <w:szCs w:val="21"/>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5,083</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78,599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49,499</w:t>
            </w:r>
          </w:p>
        </w:tc>
      </w:tr>
      <w:tr>
        <w:trPr>
          <w:trHeight w:val="243"/>
        </w:trPr>
        <w:tc>
          <w:tcPr>
            <w:tcW w:w="40" w:type="dxa"/>
            <w:vAlign w:val="bottom"/>
          </w:tcPr>
          <w:p>
            <w:pPr>
              <w:spacing w:after="0"/>
              <w:rPr>
                <w:sz w:val="21"/>
                <w:szCs w:val="21"/>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835</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80,125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50,334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82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52,461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47,507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67,267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65,239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114.72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108.04</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7,716,870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7,048,422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7,726,870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7,058,422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2,391,937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2,195,895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10,118,807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9,254,317</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do not include 917,755 and 298,170 Operating Partnership Units outstanding at March 31, 2014 and 2013,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20" w:hanging="652"/>
        <w:spacing w:after="0" w:line="286"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$17.1 million at both March 31, 2014 and 2013, which is the Trust's 30% share of the total mortgages payable of $56.9 million and $57.1 million at March 31, 2014 and 2013, respectively, of the partnership with a discretionary fund created and advised by ING Clarion Partners.</w:t>
      </w:r>
    </w:p>
    <w:p>
      <w:pPr>
        <w:spacing w:after="0" w:line="4"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116,065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110,031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37,459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30,828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166,193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152,616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5" w:lineRule="exact"/>
        <w:rPr>
          <w:sz w:val="20"/>
          <w:szCs w:val="20"/>
          <w:color w:val="auto"/>
        </w:rPr>
      </w:pPr>
    </w:p>
    <w:p>
      <w:pPr>
        <w:jc w:val="both"/>
        <w:ind w:left="660" w:right="100" w:hanging="652"/>
        <w:spacing w:after="0" w:line="29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Minimum rents include $1.1 million </w:t>
      </w:r>
      <w:r>
        <w:rPr>
          <w:rFonts w:ascii="Arial" w:cs="Arial" w:eastAsia="Arial" w:hAnsi="Arial"/>
          <w:sz w:val="18"/>
          <w:szCs w:val="18"/>
          <w:color w:val="auto"/>
        </w:rPr>
        <w:t>and</w:t>
      </w:r>
      <w:r>
        <w:rPr>
          <w:rFonts w:ascii="Arial" w:cs="Arial" w:eastAsia="Arial" w:hAnsi="Arial"/>
          <w:sz w:val="16"/>
          <w:szCs w:val="16"/>
          <w:color w:val="auto"/>
        </w:rPr>
        <w:t xml:space="preserve"> $0.8 million for the three months ended March 31, 2014 and 2013, respectively, to recognize minimum rents on a straight-line basis. In addition, minimum rents include $0.5 million and $0.8 million for the three months ended March 31, 2014 and 2013, respectively, to recognize income from the amortization of in-place leases.</w:t>
      </w:r>
    </w:p>
    <w:p>
      <w:pPr>
        <w:spacing w:after="0" w:line="12"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Bethesda Row, and Chelsea Residential.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As of March 31, 2014</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Melville Mall (2)</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9/1/2014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20,491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53,767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36,806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26,089</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26,587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East Bay Bridge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61,720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45,205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22,421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76,978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644,031</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14,233</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658,264</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5.30%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Notes payable</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Term loan (3)</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+ 1.30%</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 (4)</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Escondido (Municipal bonds) (5)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Revolving credit facility (6)</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300,910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3.26%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182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5.65%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6.20%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1,369,200</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discount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(8,102)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1,361,098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4.55%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71,665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2,391,937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2,382,537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4.71%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1.37%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2,391,937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4.70%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60" w:top="74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377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26035"/>
                    </a:xfrm>
                    <a:prstGeom prst="rect">
                      <a:avLst/>
                    </a:prstGeom>
                    <a:noFill/>
                  </pic:spPr>
                </pic:pic>
              </a:graphicData>
            </a:graphic>
          </wp:anchor>
        </w:drawing>
        <w:t>12</w:t>
      </w:r>
    </w:p>
    <w:p>
      <w:pPr>
        <w:sectPr>
          <w:pgSz w:w="11900" w:h="16838" w:orient="portrait"/>
          <w:cols w:equalWidth="0" w:num="1">
            <w:col w:w="9019"/>
          </w:cols>
          <w:pgMar w:left="1440" w:top="409" w:right="1440" w:bottom="1440" w:gutter="0" w:footer="0" w:header="0"/>
        </w:sectPr>
      </w:pPr>
    </w:p>
    <w:bookmarkStart w:id="16" w:name="page17"/>
    <w:bookmarkEnd w:id="16"/>
    <w:tbl>
      <w:tblPr>
        <w:tblLayout w:type="fixed"/>
        <w:tblInd w:w="30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r>
      <w:tr>
        <w:trPr>
          <w:trHeight w:val="276"/>
        </w:trPr>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Borders>
              <w:bottom w:val="single" w:sz="8" w:color="auto"/>
            </w:tcBorders>
          </w:tcPr>
          <w:p>
            <w:pPr>
              <w:spacing w:after="0"/>
              <w:rPr>
                <w:sz w:val="24"/>
                <w:szCs w:val="24"/>
                <w:color w:val="auto"/>
              </w:rPr>
            </w:pPr>
          </w:p>
        </w:tc>
      </w:tr>
      <w:tr>
        <w:trPr>
          <w:trHeight w:val="264"/>
        </w:trPr>
        <w:tc>
          <w:tcPr>
            <w:tcW w:w="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72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2"/>
                <w:szCs w:val="22"/>
                <w:color w:val="auto"/>
              </w:rPr>
            </w:pPr>
          </w:p>
        </w:tc>
      </w:tr>
      <w:tr>
        <w:trPr>
          <w:trHeight w:val="202"/>
        </w:trPr>
        <w:tc>
          <w:tcPr>
            <w:tcW w:w="90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Operational Statistics</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7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360" w:type="dxa"/>
            <w:vAlign w:val="bottom"/>
          </w:tcPr>
          <w:p>
            <w:pPr>
              <w:spacing w:after="0"/>
              <w:rPr>
                <w:sz w:val="20"/>
                <w:szCs w:val="20"/>
                <w:color w:val="auto"/>
              </w:rPr>
            </w:pPr>
          </w:p>
        </w:tc>
        <w:tc>
          <w:tcPr>
            <w:tcW w:w="864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w:t>
            </w:r>
          </w:p>
        </w:tc>
        <w:tc>
          <w:tcPr>
            <w:tcW w:w="600" w:type="dxa"/>
            <w:vAlign w:val="bottom"/>
          </w:tcPr>
          <w:p>
            <w:pPr>
              <w:jc w:val="right"/>
              <w:spacing w:after="0"/>
              <w:rPr>
                <w:sz w:val="20"/>
                <w:szCs w:val="20"/>
                <w:color w:val="auto"/>
              </w:rPr>
            </w:pPr>
            <w:r>
              <w:rPr>
                <w:rFonts w:ascii="Arial" w:cs="Arial" w:eastAsia="Arial" w:hAnsi="Arial"/>
                <w:sz w:val="16"/>
                <w:szCs w:val="16"/>
                <w:color w:val="auto"/>
              </w:rPr>
              <w:t>3.71</w:t>
            </w:r>
          </w:p>
        </w:tc>
        <w:tc>
          <w:tcPr>
            <w:tcW w:w="38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3.40</w:t>
            </w:r>
          </w:p>
        </w:tc>
        <w:tc>
          <w:tcPr>
            <w:tcW w:w="22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60" w:type="dxa"/>
            <w:vAlign w:val="bottom"/>
            <w:shd w:val="clear" w:color="auto" w:fill="CCEEFF"/>
          </w:tcPr>
          <w:p>
            <w:pPr>
              <w:spacing w:after="0"/>
              <w:rPr>
                <w:sz w:val="20"/>
                <w:szCs w:val="20"/>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33"/>
        </w:trPr>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$56.9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20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3.02% and thus, the loan is included in fixed rate debt.</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interest rate of 5.76% represents the weighted average interest rate for twelve unsecured fixed rate notes payable. These notes mature from November 15, 2014 to October 31, 2028.</w:t>
      </w:r>
    </w:p>
    <w:p>
      <w:pPr>
        <w:spacing w:after="0" w:line="78" w:lineRule="exact"/>
        <w:rPr>
          <w:rFonts w:ascii="Arial" w:cs="Arial" w:eastAsia="Arial" w:hAnsi="Arial"/>
          <w:sz w:val="12"/>
          <w:szCs w:val="12"/>
          <w:color w:val="auto"/>
        </w:rPr>
      </w:pPr>
    </w:p>
    <w:p>
      <w:pPr>
        <w:ind w:left="660" w:right="28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14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2014 was $4.0 million, and the weighted average interest rate on borrowings under our revolving credit facility, before amortization of debt fees, was 1.07%.</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8.</w:t>
      </w:r>
    </w:p>
    <w:p>
      <w:pPr>
        <w:spacing w:after="0" w:line="55"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March 31, 2014. In addition, the weighted average effective interest rate is calculated using the fixed rate on our term loan of 3.02%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Adjusted EBITDA is reconciled to net income in the Glossary of Terms.</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806" w:right="31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41,426</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50,136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9,197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207,588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4,196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416,732</w:t>
            </w:r>
          </w:p>
        </w:tc>
        <w:tc>
          <w:tcPr>
            <w:tcW w:w="340" w:type="dxa"/>
            <w:vAlign w:val="bottom"/>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420,928</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36.7%</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288,868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23,332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49.8%</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153,176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56.5%</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331,293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83.6%</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21,210</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369,201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390,411</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63,128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2,322,678</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2,385,806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1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March 31, 2014, there was no balance outstanding on our revolving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March 31, 2014.</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248" w:lineRule="exact"/>
        <w:rPr>
          <w:sz w:val="20"/>
          <w:szCs w:val="20"/>
          <w:color w:val="auto"/>
        </w:rPr>
      </w:pPr>
    </w:p>
    <w:p>
      <w:pPr>
        <w:ind w:left="40" w:right="170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Projected</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Projected</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140" w:type="dxa"/>
            <w:vAlign w:val="bottom"/>
          </w:tcPr>
          <w:p>
            <w:pPr>
              <w:jc w:val="center"/>
              <w:ind w:right="28"/>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Property</w:t>
            </w:r>
          </w:p>
        </w:tc>
        <w:tc>
          <w:tcPr>
            <w:tcW w:w="15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1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ROI (2)</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Cost (1)</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Point</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El Segundo, CA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540" w:type="dxa"/>
            <w:vAlign w:val="bottom"/>
          </w:tcPr>
          <w:p>
            <w:pPr>
              <w:ind w:left="420"/>
              <w:spacing w:after="0" w:line="157" w:lineRule="exact"/>
              <w:rPr>
                <w:sz w:val="20"/>
                <w:szCs w:val="20"/>
                <w:color w:val="auto"/>
              </w:rPr>
            </w:pPr>
            <w:r>
              <w:rPr>
                <w:rFonts w:ascii="Arial" w:cs="Arial" w:eastAsia="Arial" w:hAnsi="Arial"/>
                <w:sz w:val="14"/>
                <w:szCs w:val="14"/>
                <w:color w:val="auto"/>
              </w:rPr>
              <w:t>San Jose, CA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8"/>
              </w:rPr>
              <w:t>Addition of a 5-story rental apartment building, which will include 212 residential</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$75</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$72</w:t>
            </w: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units and associated parking</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San Jose, CA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0"/>
              </w:rPr>
              <w:t>2014/2015</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540" w:type="dxa"/>
            <w:vAlign w:val="bottom"/>
          </w:tcPr>
          <w:p>
            <w:pPr>
              <w:ind w:left="420"/>
              <w:spacing w:after="0" w:line="157" w:lineRule="exact"/>
              <w:rPr>
                <w:sz w:val="20"/>
                <w:szCs w:val="20"/>
                <w:color w:val="auto"/>
              </w:rPr>
            </w:pPr>
            <w:r>
              <w:rPr>
                <w:rFonts w:ascii="Arial" w:cs="Arial" w:eastAsia="Arial" w:hAnsi="Arial"/>
                <w:sz w:val="14"/>
                <w:szCs w:val="14"/>
                <w:color w:val="auto"/>
              </w:rPr>
              <w:t>Lawrenceville, NJ</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9"/>
              </w:rPr>
              <w:t>Addition of 27,000 square feet of space including new in-line space, addition of</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$12</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w:t>
            </w: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Richmond, VA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Demo interior mall, relocate mall tenants, construct new exterior GLA, and gas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station</w:t>
            </w: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Redevelop/retenant building including conversion of 2nd floor parking to retail</w:t>
            </w: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gridSpan w:val="2"/>
          </w:tcPr>
          <w:p>
            <w:pPr>
              <w:ind w:left="40"/>
              <w:spacing w:after="0"/>
              <w:rPr>
                <w:sz w:val="20"/>
                <w:szCs w:val="20"/>
                <w:color w:val="auto"/>
              </w:rPr>
            </w:pPr>
            <w:r>
              <w:rPr>
                <w:rFonts w:ascii="Arial" w:cs="Arial" w:eastAsia="Arial" w:hAnsi="Arial"/>
                <w:sz w:val="14"/>
                <w:szCs w:val="14"/>
                <w:color w:val="auto"/>
              </w:rPr>
              <w:t>Hollywood Blvd - Petersen Building Hollywood, CA</w:t>
            </w:r>
          </w:p>
        </w:tc>
        <w:tc>
          <w:tcPr>
            <w:tcW w:w="4920" w:type="dxa"/>
            <w:vAlign w:val="bottom"/>
          </w:tcPr>
          <w:p>
            <w:pPr>
              <w:ind w:left="40"/>
              <w:spacing w:after="0"/>
              <w:rPr>
                <w:sz w:val="20"/>
                <w:szCs w:val="20"/>
                <w:color w:val="auto"/>
              </w:rPr>
            </w:pPr>
            <w:r>
              <w:rPr>
                <w:rFonts w:ascii="Arial" w:cs="Arial" w:eastAsia="Arial" w:hAnsi="Arial"/>
                <w:sz w:val="14"/>
                <w:szCs w:val="14"/>
                <w:color w:val="auto"/>
              </w:rPr>
              <w:t>space</w:t>
            </w: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Gaithersburg, MD</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Property repositioning through demo of non-functional small shop space, creation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9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of new anchor box, rightsizing of national office products tenant, and creation of</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visible small shop space</w:t>
            </w: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540" w:type="dxa"/>
            <w:vAlign w:val="bottom"/>
          </w:tcPr>
          <w:p>
            <w:pPr>
              <w:ind w:left="420"/>
              <w:spacing w:after="0" w:line="157" w:lineRule="exact"/>
              <w:rPr>
                <w:sz w:val="20"/>
                <w:szCs w:val="20"/>
                <w:color w:val="auto"/>
              </w:rPr>
            </w:pPr>
            <w:r>
              <w:rPr>
                <w:rFonts w:ascii="Arial" w:cs="Arial" w:eastAsia="Arial" w:hAnsi="Arial"/>
                <w:sz w:val="14"/>
                <w:szCs w:val="14"/>
                <w:color w:val="auto"/>
              </w:rPr>
              <w:t>Emeryville, CA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5"/>
              </w:rPr>
              <w:t>Reconfigure two existing spaces consisting of 48,000 square feet to accommodate</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$4</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Cherry Hill,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repositioning through retenanting, including new grocer and façade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renovation</w:t>
            </w: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Barracks Road</w:t>
            </w:r>
          </w:p>
        </w:tc>
        <w:tc>
          <w:tcPr>
            <w:tcW w:w="1540" w:type="dxa"/>
            <w:vAlign w:val="bottom"/>
          </w:tcPr>
          <w:p>
            <w:pPr>
              <w:ind w:left="420"/>
              <w:spacing w:after="0" w:line="157" w:lineRule="exact"/>
              <w:rPr>
                <w:sz w:val="20"/>
                <w:szCs w:val="20"/>
                <w:color w:val="auto"/>
              </w:rPr>
            </w:pPr>
            <w:r>
              <w:rPr>
                <w:rFonts w:ascii="Arial" w:cs="Arial" w:eastAsia="Arial" w:hAnsi="Arial"/>
                <w:sz w:val="14"/>
                <w:szCs w:val="14"/>
                <w:color w:val="auto"/>
              </w:rPr>
              <w:t>Charlottesville,</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11,800 square foot multi-tenant pad building</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13%</w:t>
            </w: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$4</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540" w:type="dxa"/>
            <w:vAlign w:val="bottom"/>
          </w:tcPr>
          <w:p>
            <w:pPr>
              <w:ind w:left="420"/>
              <w:spacing w:after="0"/>
              <w:rPr>
                <w:sz w:val="20"/>
                <w:szCs w:val="20"/>
                <w:color w:val="auto"/>
              </w:rPr>
            </w:pPr>
            <w:r>
              <w:rPr>
                <w:rFonts w:ascii="Arial" w:cs="Arial" w:eastAsia="Arial" w:hAnsi="Arial"/>
                <w:sz w:val="14"/>
                <w:szCs w:val="14"/>
                <w:color w:val="auto"/>
              </w:rPr>
              <w:t>VA</w:t>
            </w:r>
          </w:p>
        </w:tc>
        <w:tc>
          <w:tcPr>
            <w:tcW w:w="4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Flourtown, PA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540" w:type="dxa"/>
            <w:vAlign w:val="bottom"/>
          </w:tcPr>
          <w:p>
            <w:pPr>
              <w:ind w:left="420"/>
              <w:spacing w:after="0"/>
              <w:rPr>
                <w:sz w:val="20"/>
                <w:szCs w:val="20"/>
                <w:color w:val="auto"/>
              </w:rPr>
            </w:pPr>
            <w:r>
              <w:rPr>
                <w:rFonts w:ascii="Arial" w:cs="Arial" w:eastAsia="Arial" w:hAnsi="Arial"/>
                <w:sz w:val="14"/>
                <w:szCs w:val="14"/>
                <w:color w:val="auto"/>
              </w:rPr>
              <w:t>Arlington, VA</w:t>
            </w:r>
          </w:p>
        </w:tc>
        <w:tc>
          <w:tcPr>
            <w:tcW w:w="4920" w:type="dxa"/>
            <w:vAlign w:val="bottom"/>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Brick,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restaurant pad building</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80"/>
        </w:trPr>
        <w:tc>
          <w:tcPr>
            <w:tcW w:w="17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540" w:type="dxa"/>
            <w:vAlign w:val="bottom"/>
          </w:tcPr>
          <w:p>
            <w:pPr>
              <w:ind w:left="420"/>
              <w:spacing w:after="0" w:line="157" w:lineRule="exact"/>
              <w:rPr>
                <w:sz w:val="20"/>
                <w:szCs w:val="20"/>
                <w:color w:val="auto"/>
              </w:rPr>
            </w:pPr>
            <w:r>
              <w:rPr>
                <w:rFonts w:ascii="Arial" w:cs="Arial" w:eastAsia="Arial" w:hAnsi="Arial"/>
                <w:sz w:val="14"/>
                <w:szCs w:val="14"/>
                <w:color w:val="auto"/>
              </w:rPr>
              <w:t>East Northport,</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Infrastructure investment to create additional restaurant capacity</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NY</w:t>
            </w:r>
          </w:p>
        </w:tc>
        <w:tc>
          <w:tcPr>
            <w:tcW w:w="49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9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78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shd w:val="clear" w:color="auto" w:fill="CCEEFF"/>
          </w:tcPr>
          <w:p>
            <w:pPr>
              <w:spacing w:after="0"/>
              <w:rPr>
                <w:sz w:val="6"/>
                <w:szCs w:val="6"/>
                <w:color w:val="auto"/>
              </w:rPr>
            </w:pPr>
          </w:p>
        </w:tc>
        <w:tc>
          <w:tcPr>
            <w:tcW w:w="492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Mixed Use Projects Phase 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Phase I of the following development projects is currently being constructed by the Trust. ($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Opportunity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w w:val="99"/>
              </w:rPr>
              <w:t>Total Cost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Costs</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w w:val="97"/>
              </w:rPr>
              <w:t>Anticipated</w:t>
            </w:r>
          </w:p>
        </w:tc>
        <w:tc>
          <w:tcPr>
            <w:tcW w:w="19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3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to Date Stabilization Expected Opening Timeframe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tenants</w:t>
            </w:r>
          </w:p>
        </w:tc>
        <w:tc>
          <w:tcPr>
            <w:tcW w:w="0" w:type="dxa"/>
            <w:vAlign w:val="bottom"/>
          </w:tcPr>
          <w:p>
            <w:pPr>
              <w:spacing w:after="0"/>
              <w:rPr>
                <w:sz w:val="1"/>
                <w:szCs w:val="1"/>
                <w:color w:val="auto"/>
              </w:rPr>
            </w:pPr>
          </w:p>
        </w:tc>
      </w:tr>
      <w:tr>
        <w:trPr>
          <w:trHeight w:val="156"/>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w w:val="98"/>
              </w:rPr>
              <w:t>Pike &amp; Rose (Mid-Pike) - Phase I</w:t>
            </w:r>
          </w:p>
        </w:tc>
        <w:tc>
          <w:tcPr>
            <w:tcW w:w="880" w:type="dxa"/>
            <w:vAlign w:val="bottom"/>
          </w:tcPr>
          <w:p>
            <w:pPr>
              <w:ind w:left="80"/>
              <w:spacing w:after="0" w:line="157" w:lineRule="exact"/>
              <w:rPr>
                <w:sz w:val="20"/>
                <w:szCs w:val="20"/>
                <w:color w:val="auto"/>
              </w:rPr>
            </w:pPr>
            <w:r>
              <w:rPr>
                <w:rFonts w:ascii="Arial" w:cs="Arial" w:eastAsia="Arial" w:hAnsi="Arial"/>
                <w:sz w:val="14"/>
                <w:szCs w:val="14"/>
                <w:color w:val="auto"/>
              </w:rPr>
              <w:t>Rockville,</w:t>
            </w:r>
          </w:p>
        </w:tc>
        <w:tc>
          <w:tcPr>
            <w:tcW w:w="2360" w:type="dxa"/>
            <w:vAlign w:val="bottom"/>
          </w:tcPr>
          <w:p>
            <w:pPr>
              <w:ind w:left="120"/>
              <w:spacing w:after="0" w:line="157" w:lineRule="exact"/>
              <w:rPr>
                <w:sz w:val="20"/>
                <w:szCs w:val="20"/>
                <w:color w:val="auto"/>
              </w:rPr>
            </w:pPr>
            <w:r>
              <w:rPr>
                <w:rFonts w:ascii="Arial" w:cs="Arial" w:eastAsia="Arial" w:hAnsi="Arial"/>
                <w:sz w:val="14"/>
                <w:szCs w:val="14"/>
                <w:color w:val="auto"/>
                <w:w w:val="93"/>
              </w:rPr>
              <w:t>Ground up mixed use development on</w:t>
            </w:r>
          </w:p>
        </w:tc>
        <w:tc>
          <w:tcPr>
            <w:tcW w:w="680" w:type="dxa"/>
            <w:vAlign w:val="bottom"/>
          </w:tcPr>
          <w:p>
            <w:pPr>
              <w:jc w:val="center"/>
              <w:spacing w:after="0" w:line="157" w:lineRule="exact"/>
              <w:rPr>
                <w:sz w:val="20"/>
                <w:szCs w:val="20"/>
                <w:color w:val="auto"/>
              </w:rPr>
            </w:pPr>
            <w:r>
              <w:rPr>
                <w:rFonts w:ascii="Arial" w:cs="Arial" w:eastAsia="Arial" w:hAnsi="Arial"/>
                <w:sz w:val="14"/>
                <w:szCs w:val="14"/>
                <w:color w:val="auto"/>
                <w:w w:val="94"/>
              </w:rPr>
              <w:t>8% - 9%</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3"/>
              </w:rPr>
              <w:t>$245 - $255</w:t>
            </w:r>
          </w:p>
        </w:tc>
        <w:tc>
          <w:tcPr>
            <w:tcW w:w="520" w:type="dxa"/>
            <w:vAlign w:val="bottom"/>
          </w:tcPr>
          <w:p>
            <w:pPr>
              <w:jc w:val="center"/>
              <w:spacing w:after="0" w:line="157" w:lineRule="exact"/>
              <w:rPr>
                <w:sz w:val="20"/>
                <w:szCs w:val="20"/>
                <w:color w:val="auto"/>
              </w:rPr>
            </w:pPr>
            <w:r>
              <w:rPr>
                <w:rFonts w:ascii="Arial" w:cs="Arial" w:eastAsia="Arial" w:hAnsi="Arial"/>
                <w:sz w:val="14"/>
                <w:szCs w:val="14"/>
                <w:color w:val="auto"/>
                <w:w w:val="96"/>
              </w:rPr>
              <w:t>$141</w:t>
            </w: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2015/2016</w:t>
            </w:r>
          </w:p>
        </w:tc>
        <w:tc>
          <w:tcPr>
            <w:tcW w:w="1940" w:type="dxa"/>
            <w:vAlign w:val="bottom"/>
          </w:tcPr>
          <w:p>
            <w:pPr>
              <w:ind w:left="40"/>
              <w:spacing w:after="0" w:line="157" w:lineRule="exact"/>
              <w:rPr>
                <w:sz w:val="20"/>
                <w:szCs w:val="20"/>
                <w:color w:val="auto"/>
              </w:rPr>
            </w:pPr>
            <w:r>
              <w:rPr>
                <w:rFonts w:ascii="Arial" w:cs="Arial" w:eastAsia="Arial" w:hAnsi="Arial"/>
                <w:sz w:val="14"/>
                <w:szCs w:val="14"/>
                <w:color w:val="auto"/>
              </w:rPr>
              <w:t>•174 unit residential building</w:t>
            </w:r>
          </w:p>
        </w:tc>
        <w:tc>
          <w:tcPr>
            <w:tcW w:w="1360" w:type="dxa"/>
            <w:vAlign w:val="bottom"/>
          </w:tcPr>
          <w:p>
            <w:pPr>
              <w:ind w:left="20"/>
              <w:spacing w:after="0" w:line="157" w:lineRule="exact"/>
              <w:rPr>
                <w:sz w:val="20"/>
                <w:szCs w:val="20"/>
                <w:color w:val="auto"/>
              </w:rPr>
            </w:pPr>
            <w:r>
              <w:rPr>
                <w:rFonts w:ascii="Arial" w:cs="Arial" w:eastAsia="Arial" w:hAnsi="Arial"/>
                <w:sz w:val="14"/>
                <w:szCs w:val="14"/>
                <w:color w:val="auto"/>
              </w:rPr>
              <w:t>iPic Theater, Sport &amp;</w:t>
            </w:r>
          </w:p>
        </w:tc>
        <w:tc>
          <w:tcPr>
            <w:tcW w:w="0" w:type="dxa"/>
            <w:vAlign w:val="bottom"/>
          </w:tcPr>
          <w:p>
            <w:pPr>
              <w:spacing w:after="0"/>
              <w:rPr>
                <w:sz w:val="1"/>
                <w:szCs w:val="1"/>
                <w:color w:val="auto"/>
              </w:rPr>
            </w:pPr>
          </w:p>
        </w:tc>
      </w:tr>
      <w:tr>
        <w:trPr>
          <w:trHeight w:val="149"/>
        </w:trPr>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ind w:left="80"/>
              <w:spacing w:after="0" w:line="149" w:lineRule="exact"/>
              <w:rPr>
                <w:sz w:val="20"/>
                <w:szCs w:val="20"/>
                <w:color w:val="auto"/>
              </w:rPr>
            </w:pPr>
            <w:r>
              <w:rPr>
                <w:rFonts w:ascii="Arial" w:cs="Arial" w:eastAsia="Arial" w:hAnsi="Arial"/>
                <w:sz w:val="14"/>
                <w:szCs w:val="14"/>
                <w:color w:val="auto"/>
              </w:rPr>
              <w:t>MD</w:t>
            </w: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site of existing Mid-Pike Shopping</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Spring 2014 •Grand</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Health, Del Frisco's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Center. Phase I of development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of Retail in Fall 2014</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Grille, M Street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involves demolition of roughly 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8"/>
              </w:rPr>
              <w:t>•Office and 319 unit residential</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Kitchen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of existing GLA, and construction of</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building to deliver in 2015</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6"/>
              </w:rPr>
              <w:t>493 residential units, 151,000 square</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feet of retail, and 79,000 square feet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of office space.</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Assembly Row - Phase I (1)</w:t>
            </w:r>
          </w:p>
        </w:tc>
        <w:tc>
          <w:tcPr>
            <w:tcW w:w="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Somerville,</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Ground up mixed use development.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 - 6%</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$190 - $200</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$148</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2015</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•Opening in Summer 2014 •T</w:t>
            </w: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AMC Theater,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w:t>
            </w: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Initial phase consists of 450</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Station open Summer 2014</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LEGOLand Discovery</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 units (by AvalonBay), in</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•Office to deliver in 2015</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Center, Saks Off 5th,</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 to 98,000 square feet of</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Nike, Brooks</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 space and approximately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Brothers, Legal C Bar,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326,000 square feet of retail space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Earl's, Papagayo</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(including a restaurant pad site). A</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new Orange Line T-Stop will also be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constructed by Massachusetts Bay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Transit Authority, as part of Phase I.</w:t>
            </w:r>
          </w:p>
        </w:tc>
        <w:tc>
          <w:tcPr>
            <w:tcW w:w="6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Total Mixed Use Projects Phase 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$435 - $455</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$289</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325" w:lineRule="exact"/>
        <w:rPr>
          <w:sz w:val="20"/>
          <w:szCs w:val="20"/>
          <w:color w:val="auto"/>
        </w:rPr>
      </w:pPr>
    </w:p>
    <w:p>
      <w:pPr>
        <w:ind w:left="500" w:right="200" w:hanging="465"/>
        <w:spacing w:after="0" w:line="238"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THE AVENUE @ White Marsh</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Baltimore, MD</w:t>
            </w:r>
          </w:p>
        </w:tc>
        <w:tc>
          <w:tcPr>
            <w:tcW w:w="2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Flourtown</w:t>
            </w:r>
          </w:p>
        </w:tc>
        <w:tc>
          <w:tcPr>
            <w:tcW w:w="4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Flourtown, PA</w:t>
            </w:r>
          </w:p>
        </w:tc>
      </w:tr>
      <w:tr>
        <w:trPr>
          <w:trHeight w:val="237"/>
        </w:trPr>
        <w:tc>
          <w:tcPr>
            <w:tcW w:w="280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2000" w:type="dxa"/>
            <w:vAlign w:val="bottom"/>
          </w:tcPr>
          <w:p>
            <w:pPr>
              <w:ind w:left="220"/>
              <w:spacing w:after="0"/>
              <w:rPr>
                <w:sz w:val="20"/>
                <w:szCs w:val="20"/>
                <w:color w:val="auto"/>
              </w:rPr>
            </w:pPr>
            <w:r>
              <w:rPr>
                <w:rFonts w:ascii="Arial" w:cs="Arial" w:eastAsia="Arial" w:hAnsi="Arial"/>
                <w:sz w:val="16"/>
                <w:szCs w:val="16"/>
                <w:color w:val="auto"/>
              </w:rPr>
              <w:t>Bethesda, MD</w:t>
            </w:r>
          </w:p>
        </w:tc>
        <w:tc>
          <w:tcPr>
            <w:tcW w:w="238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240" w:type="dxa"/>
            <w:vAlign w:val="bottom"/>
          </w:tcPr>
          <w:p>
            <w:pPr>
              <w:ind w:left="760"/>
              <w:spacing w:after="0"/>
              <w:rPr>
                <w:sz w:val="20"/>
                <w:szCs w:val="20"/>
                <w:color w:val="auto"/>
              </w:rPr>
            </w:pPr>
            <w:r>
              <w:rPr>
                <w:rFonts w:ascii="Arial" w:cs="Arial" w:eastAsia="Arial" w:hAnsi="Arial"/>
                <w:sz w:val="16"/>
                <w:szCs w:val="16"/>
                <w:color w:val="auto"/>
              </w:rPr>
              <w:t>Queens, NY</w:t>
            </w:r>
          </w:p>
        </w:tc>
      </w:tr>
      <w:tr>
        <w:trPr>
          <w:trHeight w:val="33"/>
        </w:trPr>
        <w:tc>
          <w:tcPr>
            <w:tcW w:w="2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Dedham Plaza</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Dedham, MA</w:t>
            </w:r>
          </w:p>
        </w:tc>
        <w:tc>
          <w:tcPr>
            <w:tcW w:w="2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Huntington, NY</w:t>
            </w:r>
          </w:p>
        </w:tc>
      </w:tr>
      <w:tr>
        <w:trPr>
          <w:trHeight w:val="237"/>
        </w:trPr>
        <w:tc>
          <w:tcPr>
            <w:tcW w:w="2800" w:type="dxa"/>
            <w:vAlign w:val="bottom"/>
          </w:tcPr>
          <w:p>
            <w:pPr>
              <w:ind w:left="380"/>
              <w:spacing w:after="0"/>
              <w:rPr>
                <w:sz w:val="20"/>
                <w:szCs w:val="20"/>
                <w:color w:val="auto"/>
              </w:rPr>
            </w:pPr>
            <w:r>
              <w:rPr>
                <w:rFonts w:ascii="Arial" w:cs="Arial" w:eastAsia="Arial" w:hAnsi="Arial"/>
                <w:sz w:val="16"/>
                <w:szCs w:val="16"/>
                <w:b w:val="1"/>
                <w:bCs w:val="1"/>
                <w:color w:val="auto"/>
              </w:rPr>
              <w:t>Eastgate</w:t>
            </w:r>
          </w:p>
        </w:tc>
        <w:tc>
          <w:tcPr>
            <w:tcW w:w="2000" w:type="dxa"/>
            <w:vAlign w:val="bottom"/>
          </w:tcPr>
          <w:p>
            <w:pPr>
              <w:ind w:left="220"/>
              <w:spacing w:after="0"/>
              <w:rPr>
                <w:sz w:val="20"/>
                <w:szCs w:val="20"/>
                <w:color w:val="auto"/>
              </w:rPr>
            </w:pPr>
            <w:r>
              <w:rPr>
                <w:rFonts w:ascii="Arial" w:cs="Arial" w:eastAsia="Arial" w:hAnsi="Arial"/>
                <w:sz w:val="16"/>
                <w:szCs w:val="16"/>
                <w:color w:val="auto"/>
              </w:rPr>
              <w:t>Chapel Hill, NC</w:t>
            </w:r>
          </w:p>
        </w:tc>
        <w:tc>
          <w:tcPr>
            <w:tcW w:w="238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240" w:type="dxa"/>
            <w:vAlign w:val="bottom"/>
          </w:tcPr>
          <w:p>
            <w:pPr>
              <w:ind w:left="760"/>
              <w:spacing w:after="0"/>
              <w:rPr>
                <w:sz w:val="20"/>
                <w:szCs w:val="20"/>
                <w:color w:val="auto"/>
              </w:rPr>
            </w:pPr>
            <w:r>
              <w:rPr>
                <w:rFonts w:ascii="Arial" w:cs="Arial" w:eastAsia="Arial" w:hAnsi="Arial"/>
                <w:sz w:val="16"/>
                <w:szCs w:val="16"/>
                <w:color w:val="auto"/>
              </w:rPr>
              <w:t>Lawrenceville, NJ</w:t>
            </w:r>
          </w:p>
        </w:tc>
      </w:tr>
      <w:tr>
        <w:trPr>
          <w:trHeight w:val="33"/>
        </w:trPr>
        <w:tc>
          <w:tcPr>
            <w:tcW w:w="2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Escondido, CA</w:t>
            </w:r>
          </w:p>
        </w:tc>
        <w:tc>
          <w:tcPr>
            <w:tcW w:w="2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4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Fairfax, VA</w:t>
            </w:r>
          </w:p>
        </w:tc>
      </w:tr>
      <w:tr>
        <w:trPr>
          <w:trHeight w:val="237"/>
        </w:trPr>
        <w:tc>
          <w:tcPr>
            <w:tcW w:w="28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00" w:type="dxa"/>
            <w:vAlign w:val="bottom"/>
          </w:tcPr>
          <w:p>
            <w:pPr>
              <w:ind w:left="220"/>
              <w:spacing w:after="0"/>
              <w:rPr>
                <w:sz w:val="20"/>
                <w:szCs w:val="20"/>
                <w:color w:val="auto"/>
              </w:rPr>
            </w:pPr>
            <w:r>
              <w:rPr>
                <w:rFonts w:ascii="Arial" w:cs="Arial" w:eastAsia="Arial" w:hAnsi="Arial"/>
                <w:sz w:val="16"/>
                <w:szCs w:val="16"/>
                <w:color w:val="auto"/>
              </w:rPr>
              <w:t>Rockville, MD</w:t>
            </w:r>
          </w:p>
        </w:tc>
        <w:tc>
          <w:tcPr>
            <w:tcW w:w="238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240" w:type="dxa"/>
            <w:vAlign w:val="bottom"/>
          </w:tcPr>
          <w:p>
            <w:pPr>
              <w:ind w:left="760"/>
              <w:spacing w:after="0"/>
              <w:rPr>
                <w:sz w:val="20"/>
                <w:szCs w:val="20"/>
                <w:color w:val="auto"/>
              </w:rPr>
            </w:pPr>
            <w:r>
              <w:rPr>
                <w:rFonts w:ascii="Arial" w:cs="Arial" w:eastAsia="Arial" w:hAnsi="Arial"/>
                <w:sz w:val="16"/>
                <w:szCs w:val="16"/>
                <w:color w:val="auto"/>
              </w:rPr>
              <w:t>Parsippany, NJ</w:t>
            </w:r>
          </w:p>
        </w:tc>
      </w:tr>
      <w:tr>
        <w:trPr>
          <w:trHeight w:val="33"/>
        </w:trPr>
        <w:tc>
          <w:tcPr>
            <w:tcW w:w="2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7"/>
        </w:trPr>
        <w:tc>
          <w:tcPr>
            <w:tcW w:w="28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Finley Square</w:t>
            </w:r>
          </w:p>
        </w:tc>
        <w:tc>
          <w:tcPr>
            <w:tcW w:w="2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Downers Grove, IL</w:t>
            </w:r>
          </w:p>
        </w:tc>
        <w:tc>
          <w:tcPr>
            <w:tcW w:w="23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2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Bethesda, MD</w:t>
            </w:r>
          </w:p>
        </w:tc>
      </w:tr>
      <w:tr>
        <w:trPr>
          <w:trHeight w:val="33"/>
        </w:trPr>
        <w:tc>
          <w:tcPr>
            <w:tcW w:w="28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ind w:left="380"/>
              <w:spacing w:after="0"/>
              <w:rPr>
                <w:sz w:val="20"/>
                <w:szCs w:val="20"/>
                <w:color w:val="auto"/>
              </w:rPr>
            </w:pPr>
            <w:r>
              <w:rPr>
                <w:rFonts w:ascii="Arial" w:cs="Arial" w:eastAsia="Arial" w:hAnsi="Arial"/>
                <w:sz w:val="16"/>
                <w:szCs w:val="16"/>
                <w:b w:val="1"/>
                <w:bCs w:val="1"/>
                <w:color w:val="auto"/>
              </w:rPr>
              <w:t>Assembly Row</w:t>
            </w:r>
          </w:p>
        </w:tc>
        <w:tc>
          <w:tcPr>
            <w:tcW w:w="2560" w:type="dxa"/>
            <w:vAlign w:val="bottom"/>
          </w:tcPr>
          <w:p>
            <w:pPr>
              <w:ind w:left="780"/>
              <w:spacing w:after="0"/>
              <w:rPr>
                <w:sz w:val="20"/>
                <w:szCs w:val="20"/>
                <w:color w:val="auto"/>
              </w:rPr>
            </w:pPr>
            <w:r>
              <w:rPr>
                <w:rFonts w:ascii="Arial" w:cs="Arial" w:eastAsia="Arial" w:hAnsi="Arial"/>
                <w:sz w:val="16"/>
                <w:szCs w:val="16"/>
                <w:color w:val="auto"/>
              </w:rPr>
              <w:t>Somerville, MA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3960" w:type="dxa"/>
            <w:vAlign w:val="bottom"/>
          </w:tcPr>
          <w:p>
            <w:pPr>
              <w:ind w:left="480"/>
              <w:spacing w:after="0"/>
              <w:rPr>
                <w:sz w:val="20"/>
                <w:szCs w:val="20"/>
                <w:color w:val="auto"/>
              </w:rPr>
            </w:pPr>
            <w:r>
              <w:rPr>
                <w:rFonts w:ascii="Arial" w:cs="Arial" w:eastAsia="Arial" w:hAnsi="Arial"/>
                <w:sz w:val="16"/>
                <w:szCs w:val="16"/>
                <w:color w:val="auto"/>
              </w:rPr>
              <w:t>Lawrenceville, NJ</w:t>
            </w:r>
          </w:p>
        </w:tc>
      </w:tr>
      <w:tr>
        <w:trPr>
          <w:trHeight w:val="33"/>
        </w:trPr>
        <w:tc>
          <w:tcPr>
            <w:tcW w:w="2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Charlottesville, VA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3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r>
      <w:tr>
        <w:trPr>
          <w:trHeight w:val="237"/>
        </w:trPr>
        <w:tc>
          <w:tcPr>
            <w:tcW w:w="2240" w:type="dxa"/>
            <w:vAlign w:val="bottom"/>
          </w:tcPr>
          <w:p>
            <w:pPr>
              <w:ind w:left="380"/>
              <w:spacing w:after="0"/>
              <w:rPr>
                <w:sz w:val="20"/>
                <w:szCs w:val="20"/>
                <w:color w:val="auto"/>
              </w:rPr>
            </w:pPr>
            <w:r>
              <w:rPr>
                <w:rFonts w:ascii="Arial" w:cs="Arial" w:eastAsia="Arial" w:hAnsi="Arial"/>
                <w:sz w:val="16"/>
                <w:szCs w:val="16"/>
                <w:b w:val="1"/>
                <w:bCs w:val="1"/>
                <w:color w:val="auto"/>
              </w:rPr>
              <w:t>Bethedsa Row</w:t>
            </w:r>
          </w:p>
        </w:tc>
        <w:tc>
          <w:tcPr>
            <w:tcW w:w="2560" w:type="dxa"/>
            <w:vAlign w:val="bottom"/>
          </w:tcPr>
          <w:p>
            <w:pPr>
              <w:ind w:left="780"/>
              <w:spacing w:after="0"/>
              <w:rPr>
                <w:sz w:val="20"/>
                <w:szCs w:val="20"/>
                <w:color w:val="auto"/>
              </w:rPr>
            </w:pPr>
            <w:r>
              <w:rPr>
                <w:rFonts w:ascii="Arial" w:cs="Arial" w:eastAsia="Arial" w:hAnsi="Arial"/>
                <w:sz w:val="16"/>
                <w:szCs w:val="16"/>
                <w:color w:val="auto"/>
              </w:rPr>
              <w:t>Bethesda, MD</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960" w:type="dxa"/>
            <w:vAlign w:val="bottom"/>
          </w:tcPr>
          <w:p>
            <w:pPr>
              <w:ind w:left="480"/>
              <w:spacing w:after="0"/>
              <w:rPr>
                <w:sz w:val="20"/>
                <w:szCs w:val="20"/>
                <w:color w:val="auto"/>
              </w:rPr>
            </w:pPr>
            <w:r>
              <w:rPr>
                <w:rFonts w:ascii="Arial" w:cs="Arial" w:eastAsia="Arial" w:hAnsi="Arial"/>
                <w:sz w:val="16"/>
                <w:szCs w:val="16"/>
                <w:color w:val="auto"/>
              </w:rPr>
              <w:t>Santa Monica, CA</w:t>
            </w:r>
          </w:p>
        </w:tc>
      </w:tr>
      <w:tr>
        <w:trPr>
          <w:trHeight w:val="33"/>
        </w:trPr>
        <w:tc>
          <w:tcPr>
            <w:tcW w:w="2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Highland Park, IL</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Tower Shops</w:t>
            </w:r>
          </w:p>
        </w:tc>
        <w:tc>
          <w:tcPr>
            <w:tcW w:w="3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Davie, FL</w:t>
            </w:r>
          </w:p>
        </w:tc>
      </w:tr>
      <w:tr>
        <w:trPr>
          <w:trHeight w:val="237"/>
        </w:trPr>
        <w:tc>
          <w:tcPr>
            <w:tcW w:w="224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560" w:type="dxa"/>
            <w:vAlign w:val="bottom"/>
          </w:tcPr>
          <w:p>
            <w:pPr>
              <w:ind w:left="780"/>
              <w:spacing w:after="0"/>
              <w:rPr>
                <w:sz w:val="20"/>
                <w:szCs w:val="20"/>
                <w:color w:val="auto"/>
              </w:rPr>
            </w:pPr>
            <w:r>
              <w:rPr>
                <w:rFonts w:ascii="Arial" w:cs="Arial" w:eastAsia="Arial" w:hAnsi="Arial"/>
                <w:sz w:val="16"/>
                <w:szCs w:val="16"/>
                <w:color w:val="auto"/>
              </w:rPr>
              <w:t>Darien, CT</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3960" w:type="dxa"/>
            <w:vAlign w:val="bottom"/>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37"/>
        </w:trPr>
        <w:tc>
          <w:tcPr>
            <w:tcW w:w="22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5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Queens, NY</w:t>
            </w:r>
          </w:p>
        </w:tc>
        <w:tc>
          <w:tcPr>
            <w:tcW w:w="26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r>
      <w:tr>
        <w:trPr>
          <w:trHeight w:val="33"/>
        </w:trPr>
        <w:tc>
          <w:tcPr>
            <w:tcW w:w="22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1920" w:type="dxa"/>
            <w:vAlign w:val="bottom"/>
          </w:tcPr>
          <w:p>
            <w:pPr>
              <w:ind w:left="14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Leesburg Plaza</w:t>
            </w:r>
          </w:p>
        </w:tc>
        <w:tc>
          <w:tcPr>
            <w:tcW w:w="3580" w:type="dxa"/>
            <w:vAlign w:val="bottom"/>
          </w:tcPr>
          <w:p>
            <w:pPr>
              <w:ind w:left="100"/>
              <w:spacing w:after="0"/>
              <w:rPr>
                <w:sz w:val="20"/>
                <w:szCs w:val="20"/>
                <w:color w:val="auto"/>
              </w:rPr>
            </w:pPr>
            <w:r>
              <w:rPr>
                <w:rFonts w:ascii="Arial" w:cs="Arial" w:eastAsia="Arial" w:hAnsi="Arial"/>
                <w:sz w:val="16"/>
                <w:szCs w:val="16"/>
                <w:color w:val="auto"/>
              </w:rPr>
              <w:t>Leesburg,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Congressional Plaza</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Rockville, MD</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Arlington,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b w:val="1"/>
                <w:bCs w:val="1"/>
                <w:color w:val="auto"/>
              </w:rPr>
              <w:t>Del Mar Village</w:t>
            </w:r>
          </w:p>
        </w:tc>
        <w:tc>
          <w:tcPr>
            <w:tcW w:w="1920" w:type="dxa"/>
            <w:vAlign w:val="bottom"/>
          </w:tcPr>
          <w:p>
            <w:pPr>
              <w:ind w:left="140"/>
              <w:spacing w:after="0"/>
              <w:rPr>
                <w:sz w:val="20"/>
                <w:szCs w:val="20"/>
                <w:color w:val="auto"/>
              </w:rPr>
            </w:pPr>
            <w:r>
              <w:rPr>
                <w:rFonts w:ascii="Arial" w:cs="Arial" w:eastAsia="Arial" w:hAnsi="Arial"/>
                <w:sz w:val="16"/>
                <w:szCs w:val="16"/>
                <w:color w:val="auto"/>
              </w:rPr>
              <w:t>Boca Raton, FL</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3580" w:type="dxa"/>
            <w:vAlign w:val="bottom"/>
          </w:tcPr>
          <w:p>
            <w:pPr>
              <w:ind w:left="100"/>
              <w:spacing w:after="0"/>
              <w:rPr>
                <w:sz w:val="20"/>
                <w:szCs w:val="20"/>
                <w:color w:val="auto"/>
              </w:rPr>
            </w:pPr>
            <w:r>
              <w:rPr>
                <w:rFonts w:ascii="Arial" w:cs="Arial" w:eastAsia="Arial" w:hAnsi="Arial"/>
                <w:sz w:val="16"/>
                <w:szCs w:val="16"/>
                <w:color w:val="auto"/>
              </w:rPr>
              <w:t>Towson, MD</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3580" w:type="dxa"/>
            <w:vAlign w:val="bottom"/>
            <w:shd w:val="clear" w:color="auto" w:fill="CCEEFF"/>
          </w:tcPr>
          <w:p>
            <w:pPr>
              <w:spacing w:after="0"/>
              <w:rPr>
                <w:sz w:val="23"/>
                <w:szCs w:val="23"/>
                <w:color w:val="auto"/>
              </w:rPr>
            </w:pPr>
          </w:p>
        </w:tc>
      </w:tr>
      <w:tr>
        <w:trPr>
          <w:trHeight w:val="224"/>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Longer Term Mixed-Use Opportunities</w:t>
            </w:r>
          </w:p>
        </w:tc>
        <w:tc>
          <w:tcPr>
            <w:tcW w:w="19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Somerville, MA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(Mid-Pike) (2)</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Rockville,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20" w:type="dxa"/>
            <w:vAlign w:val="bottom"/>
          </w:tcPr>
          <w:p>
            <w:pPr>
              <w:ind w:left="140"/>
              <w:spacing w:after="0"/>
              <w:rPr>
                <w:sz w:val="20"/>
                <w:szCs w:val="20"/>
                <w:color w:val="auto"/>
              </w:rPr>
            </w:pPr>
            <w:r>
              <w:rPr>
                <w:rFonts w:ascii="Arial" w:cs="Arial" w:eastAsia="Arial" w:hAnsi="Arial"/>
                <w:sz w:val="16"/>
                <w:szCs w:val="16"/>
                <w:color w:val="auto"/>
              </w:rPr>
              <w:t>Bala Cynwyd, PA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358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w w:val="94"/>
              </w:rPr>
              <w:t>Santana Row - Winchester Theater</w:t>
            </w:r>
          </w:p>
        </w:tc>
        <w:tc>
          <w:tcPr>
            <w:tcW w:w="358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Vienna, VA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site</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23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9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w:t>
            </w:r>
          </w:p>
        </w:tc>
        <w:tc>
          <w:tcPr>
            <w:tcW w:w="25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Assembly Row</w:t>
            </w:r>
          </w:p>
        </w:tc>
        <w:tc>
          <w:tcPr>
            <w:tcW w:w="8540" w:type="dxa"/>
            <w:vAlign w:val="bottom"/>
            <w:gridSpan w:val="3"/>
          </w:tcPr>
          <w:p>
            <w:pPr>
              <w:ind w:left="140"/>
              <w:spacing w:after="0" w:line="157" w:lineRule="exact"/>
              <w:rPr>
                <w:sz w:val="20"/>
                <w:szCs w:val="20"/>
                <w:color w:val="auto"/>
              </w:rPr>
            </w:pPr>
            <w:r>
              <w:rPr>
                <w:rFonts w:ascii="Arial" w:cs="Arial" w:eastAsia="Arial" w:hAnsi="Arial"/>
                <w:sz w:val="14"/>
                <w:szCs w:val="14"/>
                <w:color w:val="auto"/>
                <w:w w:val="95"/>
              </w:rPr>
              <w:t>Remaining entitlements after Phase 1 include approximately 1.9 million square feet of commercial-use buildings, 1,650 residential units, and a</w:t>
            </w: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5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6"/>
              </w:rPr>
              <w:t>200 room hotel. Additionally, the parcel of land we acquired in October 2013 adjacent to our Assembly Row project includes an additional 0.3</w:t>
            </w:r>
          </w:p>
        </w:tc>
      </w:tr>
      <w:tr>
        <w:trPr>
          <w:trHeight w:val="188"/>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color w:val="auto"/>
              </w:rPr>
              <w:t>million square feet of commercial entitlements.</w:t>
            </w:r>
          </w:p>
        </w:tc>
        <w:tc>
          <w:tcPr>
            <w:tcW w:w="3580" w:type="dxa"/>
            <w:vAlign w:val="bottom"/>
          </w:tcPr>
          <w:p>
            <w:pPr>
              <w:spacing w:after="0"/>
              <w:rPr>
                <w:sz w:val="16"/>
                <w:szCs w:val="16"/>
                <w:color w:val="auto"/>
              </w:rPr>
            </w:pPr>
          </w:p>
        </w:tc>
      </w:tr>
      <w:tr>
        <w:trPr>
          <w:trHeight w:val="209"/>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(2)   Pike &amp; Rose (Mid-Pike)</w:t>
            </w:r>
          </w:p>
        </w:tc>
        <w:tc>
          <w:tcPr>
            <w:tcW w:w="85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191"/>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2580" w:type="dxa"/>
            <w:vAlign w:val="bottom"/>
            <w:gridSpan w:val="2"/>
          </w:tcPr>
          <w:p>
            <w:pPr>
              <w:ind w:left="80"/>
              <w:spacing w:after="0"/>
              <w:rPr>
                <w:sz w:val="20"/>
                <w:szCs w:val="20"/>
                <w:color w:val="auto"/>
              </w:rPr>
            </w:pPr>
            <w:r>
              <w:rPr>
                <w:rFonts w:ascii="Arial" w:cs="Arial" w:eastAsia="Arial" w:hAnsi="Arial"/>
                <w:sz w:val="14"/>
                <w:szCs w:val="14"/>
                <w:color w:val="auto"/>
              </w:rPr>
              <w:t>Santana Row</w:t>
            </w:r>
          </w:p>
        </w:tc>
        <w:tc>
          <w:tcPr>
            <w:tcW w:w="8540" w:type="dxa"/>
            <w:vAlign w:val="bottom"/>
            <w:gridSpan w:val="3"/>
          </w:tcPr>
          <w:p>
            <w:pPr>
              <w:ind w:left="140"/>
              <w:spacing w:after="0"/>
              <w:rPr>
                <w:sz w:val="20"/>
                <w:szCs w:val="20"/>
                <w:color w:val="auto"/>
              </w:rPr>
            </w:pPr>
            <w:r>
              <w:rPr>
                <w:rFonts w:ascii="Arial" w:cs="Arial" w:eastAsia="Arial" w:hAnsi="Arial"/>
                <w:sz w:val="14"/>
                <w:szCs w:val="14"/>
                <w:color w:val="auto"/>
                <w:w w:val="95"/>
              </w:rPr>
              <w:t>Current remaining entitlements for this property include 348 residential units and 305,000 square feet of commercial space for retail and office.</w:t>
            </w:r>
          </w:p>
        </w:tc>
      </w:tr>
      <w:tr>
        <w:trPr>
          <w:trHeight w:val="471"/>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40" w:type="dxa"/>
            <w:vAlign w:val="bottom"/>
          </w:tcPr>
          <w:p>
            <w:pPr>
              <w:ind w:left="820"/>
              <w:spacing w:after="0"/>
              <w:rPr>
                <w:sz w:val="20"/>
                <w:szCs w:val="20"/>
                <w:color w:val="auto"/>
              </w:rPr>
            </w:pPr>
            <w:r>
              <w:rPr>
                <w:rFonts w:ascii="Arial" w:cs="Arial" w:eastAsia="Arial" w:hAnsi="Arial"/>
                <w:sz w:val="18"/>
                <w:szCs w:val="18"/>
                <w:color w:val="auto"/>
              </w:rPr>
              <w:t>17</w:t>
            </w:r>
          </w:p>
        </w:tc>
        <w:tc>
          <w:tcPr>
            <w:tcW w:w="358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2014 Significant Acquisition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7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Property</w:t>
            </w: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City/State</w:t>
            </w:r>
          </w:p>
        </w:tc>
        <w:tc>
          <w:tcPr>
            <w:tcW w:w="12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5"/>
              <w:spacing w:after="0"/>
              <w:rPr>
                <w:sz w:val="20"/>
                <w:szCs w:val="20"/>
                <w:color w:val="auto"/>
              </w:rPr>
            </w:pPr>
            <w:r>
              <w:rPr>
                <w:rFonts w:ascii="Arial" w:cs="Arial" w:eastAsia="Arial" w:hAnsi="Arial"/>
                <w:sz w:val="14"/>
                <w:szCs w:val="14"/>
                <w:b w:val="1"/>
                <w:bCs w:val="1"/>
                <w:color w:val="auto"/>
                <w:w w:val="89"/>
              </w:rPr>
              <w:t>Purchase price</w:t>
            </w: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460" w:type="dxa"/>
            <w:vAlign w:val="bottom"/>
          </w:tcPr>
          <w:p>
            <w:pPr>
              <w:jc w:val="center"/>
              <w:ind w:right="405"/>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r>
      <w:tr>
        <w:trPr>
          <w:trHeight w:val="80"/>
        </w:trPr>
        <w:tc>
          <w:tcPr>
            <w:tcW w:w="14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2014</w:t>
            </w: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The Grove at Shrewsbury/ Brook</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Shrewsbury, NJ/ Sea</w:t>
            </w:r>
          </w:p>
        </w:tc>
        <w:tc>
          <w:tcPr>
            <w:tcW w:w="1280" w:type="dxa"/>
            <w:vAlign w:val="bottom"/>
            <w:shd w:val="clear" w:color="auto" w:fill="CCEEFF"/>
          </w:tcPr>
          <w:p>
            <w:pPr>
              <w:jc w:val="center"/>
              <w:ind w:right="5"/>
              <w:spacing w:after="0"/>
              <w:rPr>
                <w:sz w:val="20"/>
                <w:szCs w:val="20"/>
                <w:color w:val="auto"/>
              </w:rPr>
            </w:pPr>
            <w:r>
              <w:rPr>
                <w:rFonts w:ascii="Arial" w:cs="Arial" w:eastAsia="Arial" w:hAnsi="Arial"/>
                <w:sz w:val="16"/>
                <w:szCs w:val="16"/>
                <w:color w:val="auto"/>
                <w:w w:val="89"/>
              </w:rPr>
              <w:t>286,000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161.0  (1)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Anthropologie / Banana Republic /</w:t>
            </w:r>
          </w:p>
        </w:tc>
      </w:tr>
      <w:tr>
        <w:trPr>
          <w:trHeight w:val="203"/>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35</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Girt, NJ</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Brooks Brothers / Coach / Pottery</w:t>
            </w:r>
          </w:p>
        </w:tc>
      </w:tr>
      <w:tr>
        <w:trPr>
          <w:trHeight w:val="206"/>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Barn / Williams-Sonoma</w:t>
            </w:r>
          </w:p>
        </w:tc>
      </w:tr>
      <w:tr>
        <w:trPr>
          <w:trHeight w:val="33"/>
        </w:trPr>
        <w:tc>
          <w:tcPr>
            <w:tcW w:w="14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40" w:right="640" w:hanging="5"/>
        <w:spacing w:after="0" w:line="293" w:lineRule="auto"/>
        <w:tabs>
          <w:tab w:leader="none" w:pos="2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effective economic interest approximates 84% and was funded by the assumption of our share of $68 million of mortgage debt, 632,000 downREIT operating partnership units, and $13 million of cash.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6"/>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80" w:type="dxa"/>
            <w:vAlign w:val="bottom"/>
          </w:tcPr>
          <w:p>
            <w:pPr>
              <w:spacing w:after="0"/>
              <w:rPr>
                <w:sz w:val="11"/>
                <w:szCs w:val="11"/>
                <w:color w:val="auto"/>
              </w:rPr>
            </w:pPr>
          </w:p>
        </w:tc>
        <w:tc>
          <w:tcPr>
            <w:tcW w:w="580" w:type="dxa"/>
            <w:vAlign w:val="bottom"/>
          </w:tcPr>
          <w:p>
            <w:pPr>
              <w:jc w:val="center"/>
              <w:ind w:right="38"/>
              <w:spacing w:after="0"/>
              <w:rPr>
                <w:sz w:val="20"/>
                <w:szCs w:val="20"/>
                <w:color w:val="auto"/>
              </w:rPr>
            </w:pPr>
            <w:r>
              <w:rPr>
                <w:rFonts w:ascii="Arial" w:cs="Arial" w:eastAsia="Arial" w:hAnsi="Arial"/>
                <w:sz w:val="11"/>
                <w:szCs w:val="11"/>
                <w:color w:val="auto"/>
                <w:w w:val="88"/>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5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164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$ 221,395</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76,529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4,694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Falls Plaza/Falls Plaza-East</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65,699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36,191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25,596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16,697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51,211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580" w:type="dxa"/>
            <w:vAlign w:val="bottom"/>
          </w:tcPr>
          <w:p>
            <w:pPr>
              <w:ind w:left="60"/>
              <w:spacing w:after="0"/>
              <w:rPr>
                <w:sz w:val="20"/>
                <w:szCs w:val="20"/>
                <w:color w:val="auto"/>
              </w:rPr>
            </w:pPr>
            <w:r>
              <w:rPr>
                <w:rFonts w:ascii="Arial" w:cs="Arial" w:eastAsia="Arial" w:hAnsi="Arial"/>
                <w:sz w:val="13"/>
                <w:szCs w:val="13"/>
                <w:color w:val="auto"/>
              </w:rPr>
              <w:t>61,000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35,274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33,721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58,000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Mid-Pike Plaza/Pike &amp; Rose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213,605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Montrose Crossing</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152,807</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76,978</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73,000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5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79,690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35"/>
        </w:trPr>
        <w:tc>
          <w:tcPr>
            <w:tcW w:w="158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Valley/7770 Richmond Hwy</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32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Gold's Gym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3200" w:type="dxa"/>
            <w:vAlign w:val="bottom"/>
            <w:shd w:val="clear" w:color="auto" w:fill="CCEEFF"/>
          </w:tcPr>
          <w:p>
            <w:pPr>
              <w:spacing w:after="0"/>
              <w:rPr>
                <w:sz w:val="15"/>
                <w:szCs w:val="15"/>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6,585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28,685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Safeway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96,628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ind w:left="60"/>
              <w:spacing w:after="0"/>
              <w:rPr>
                <w:sz w:val="20"/>
                <w:szCs w:val="20"/>
                <w:color w:val="auto"/>
              </w:rPr>
            </w:pPr>
            <w:r>
              <w:rPr>
                <w:rFonts w:ascii="Arial" w:cs="Arial" w:eastAsia="Arial" w:hAnsi="Arial"/>
                <w:sz w:val="13"/>
                <w:szCs w:val="13"/>
                <w:color w:val="auto"/>
              </w:rPr>
              <w:t>45,000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36,183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28,200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263,000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50,639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4,520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9,670</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22,421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12,830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21,221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10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59,460</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6,457</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18,496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22,931</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1,399,059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5,304,000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2"/>
              </w:rPr>
              <w:t>Philadelphia Metropolitan Area</w:t>
            </w: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25,551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tcPr>
          <w:p>
            <w:pPr>
              <w:spacing w:after="0"/>
              <w:rPr>
                <w:sz w:val="14"/>
                <w:szCs w:val="14"/>
                <w:color w:val="auto"/>
              </w:rPr>
            </w:pPr>
          </w:p>
        </w:tc>
      </w:tr>
      <w:tr>
        <w:trPr>
          <w:trHeight w:val="156"/>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39,963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31,889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13,844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20,771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56"/>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31,319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26,089</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24,646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Town Center of New Britain</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14,720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8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29,811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38,168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26,587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270,682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4"/>
              </w:rPr>
              <w:t>Los Angeles-Long Beach,</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18,121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CA</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San Ramon, CA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85,526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Lucky (7)</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6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865"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60" w:type="dxa"/>
            <w:vAlign w:val="bottom"/>
          </w:tcPr>
          <w:p>
            <w:pPr>
              <w:spacing w:after="0"/>
              <w:rPr>
                <w:sz w:val="11"/>
                <w:szCs w:val="11"/>
                <w:color w:val="auto"/>
              </w:rPr>
            </w:pPr>
          </w:p>
        </w:tc>
      </w:tr>
      <w:tr>
        <w:trPr>
          <w:trHeight w:val="174"/>
        </w:trPr>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70"/>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East Bay Bridge</w:t>
            </w: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167,532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61,720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59,000</w:t>
            </w:r>
          </w:p>
        </w:tc>
        <w:tc>
          <w:tcPr>
            <w:tcW w:w="840" w:type="dxa"/>
            <w:vAlign w:val="bottom"/>
          </w:tcPr>
          <w:p>
            <w:pPr>
              <w:ind w:left="80"/>
              <w:spacing w:after="0"/>
              <w:rPr>
                <w:sz w:val="20"/>
                <w:szCs w:val="20"/>
                <w:color w:val="auto"/>
              </w:rPr>
            </w:pPr>
            <w:r>
              <w:rPr>
                <w:rFonts w:ascii="Arial" w:cs="Arial" w:eastAsia="Arial" w:hAnsi="Arial"/>
                <w:sz w:val="13"/>
                <w:szCs w:val="13"/>
                <w:color w:val="auto"/>
              </w:rPr>
              <w:t>Pak-N-Save</w:t>
            </w:r>
          </w:p>
        </w:tc>
        <w:tc>
          <w:tcPr>
            <w:tcW w:w="3260" w:type="dxa"/>
            <w:vAlign w:val="bottom"/>
          </w:tcPr>
          <w:p>
            <w:pPr>
              <w:ind w:left="4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47,212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Hermosa Ave</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0"/>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5,844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196"/>
        </w:trPr>
        <w:tc>
          <w:tcPr>
            <w:tcW w:w="1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0"/>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41,435</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11,646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60" w:type="dxa"/>
            <w:vAlign w:val="bottom"/>
          </w:tcPr>
          <w:p>
            <w:pPr>
              <w:spacing w:after="0"/>
              <w:rPr>
                <w:sz w:val="14"/>
                <w:szCs w:val="14"/>
                <w:color w:val="auto"/>
              </w:rPr>
            </w:pPr>
          </w:p>
        </w:tc>
      </w:tr>
      <w:tr>
        <w:trPr>
          <w:trHeight w:val="204"/>
        </w:trPr>
        <w:tc>
          <w:tcPr>
            <w:tcW w:w="1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37,343</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87"/>
              </w:rPr>
              <w:t>(3)(8)</w:t>
            </w: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w w:val="90"/>
              </w:rPr>
              <w:t>Los Angeles-Long Beach,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232,191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w w:val="93"/>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679,206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Third St Promenade</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0"/>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w w:val="99"/>
              </w:rPr>
              <w:t>1996-2000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78,201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148"/>
        </w:trPr>
        <w:tc>
          <w:tcPr>
            <w:tcW w:w="15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80" w:type="dxa"/>
            <w:vAlign w:val="bottom"/>
            <w:shd w:val="clear" w:color="auto" w:fill="CCEEFF"/>
          </w:tcPr>
          <w:p>
            <w:pPr>
              <w:spacing w:after="0"/>
              <w:rPr>
                <w:sz w:val="12"/>
                <w:szCs w:val="12"/>
                <w:color w:val="auto"/>
              </w:rPr>
            </w:pPr>
          </w:p>
        </w:tc>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133,148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Walmart</w:t>
            </w:r>
          </w:p>
        </w:tc>
        <w:tc>
          <w:tcPr>
            <w:tcW w:w="3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Target / Burlington Coat Factory / Ross Dress For Less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Michaels / Nordstrom Rack</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260" w:type="dxa"/>
            <w:vAlign w:val="bottom"/>
            <w:shd w:val="clear" w:color="auto" w:fill="CCEEFF"/>
          </w:tcPr>
          <w:p>
            <w:pPr>
              <w:spacing w:after="0"/>
              <w:rPr>
                <w:sz w:val="15"/>
                <w:szCs w:val="15"/>
                <w:color w:val="auto"/>
              </w:rPr>
            </w:pP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37,034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ind w:left="4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58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32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1,574,439</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3,377,000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0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 / New Jersey</w:t>
            </w: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60" w:type="dxa"/>
            <w:vAlign w:val="bottom"/>
          </w:tcPr>
          <w:p>
            <w:pPr>
              <w:spacing w:after="0"/>
              <w:rPr>
                <w:sz w:val="8"/>
                <w:szCs w:val="8"/>
                <w:color w:val="auto"/>
              </w:rPr>
            </w:pPr>
          </w:p>
        </w:tc>
      </w:tr>
      <w:tr>
        <w:trPr>
          <w:trHeight w:val="196"/>
        </w:trPr>
        <w:tc>
          <w:tcPr>
            <w:tcW w:w="1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4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Monmouth-Ocean,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59,271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27,050</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92"/>
              </w:rPr>
              <w:t>(5)(10)</w:t>
            </w: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46,050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11,419</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ind w:left="20"/>
              <w:spacing w:after="0" w:line="135" w:lineRule="exact"/>
              <w:rPr>
                <w:sz w:val="20"/>
                <w:szCs w:val="20"/>
                <w:color w:val="auto"/>
              </w:rPr>
            </w:pPr>
            <w:r>
              <w:rPr>
                <w:rFonts w:ascii="Arial" w:cs="Arial" w:eastAsia="Arial" w:hAnsi="Arial"/>
                <w:sz w:val="13"/>
                <w:szCs w:val="13"/>
                <w:color w:val="auto"/>
                <w:w w:val="96"/>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48,117</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Fresh Meadows</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79,525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Pr>
          <w:p>
            <w:pPr>
              <w:ind w:left="80"/>
              <w:spacing w:after="0"/>
              <w:rPr>
                <w:sz w:val="20"/>
                <w:szCs w:val="20"/>
                <w:color w:val="auto"/>
              </w:rPr>
            </w:pPr>
            <w:r>
              <w:rPr>
                <w:rFonts w:ascii="Arial" w:cs="Arial" w:eastAsia="Arial" w:hAnsi="Arial"/>
                <w:sz w:val="13"/>
                <w:szCs w:val="13"/>
                <w:color w:val="auto"/>
                <w:w w:val="92"/>
              </w:rPr>
              <w:t>Island of Gold</w:t>
            </w:r>
          </w:p>
        </w:tc>
        <w:tc>
          <w:tcPr>
            <w:tcW w:w="3260" w:type="dxa"/>
            <w:vAlign w:val="bottom"/>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148"/>
        </w:trPr>
        <w:tc>
          <w:tcPr>
            <w:tcW w:w="15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80" w:type="dxa"/>
            <w:vAlign w:val="bottom"/>
            <w:shd w:val="clear" w:color="auto" w:fill="CCEEFF"/>
          </w:tcPr>
          <w:p>
            <w:pPr>
              <w:spacing w:after="0"/>
              <w:rPr>
                <w:sz w:val="12"/>
                <w:szCs w:val="12"/>
                <w:color w:val="auto"/>
              </w:rPr>
            </w:pPr>
          </w:p>
        </w:tc>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Hauppauge</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27,804</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13,875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6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148"/>
        </w:trPr>
        <w:tc>
          <w:tcPr>
            <w:tcW w:w="15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80" w:type="dxa"/>
            <w:vAlign w:val="bottom"/>
            <w:shd w:val="clear" w:color="auto" w:fill="CCEEFF"/>
          </w:tcPr>
          <w:p>
            <w:pPr>
              <w:spacing w:after="0"/>
              <w:rPr>
                <w:sz w:val="12"/>
                <w:szCs w:val="12"/>
                <w:color w:val="auto"/>
              </w:rPr>
            </w:pPr>
          </w:p>
        </w:tc>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43,501</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Huntington Square</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11,493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60" w:type="dxa"/>
            <w:vAlign w:val="bottom"/>
          </w:tcPr>
          <w:p>
            <w:pPr>
              <w:spacing w:after="0"/>
              <w:rPr>
                <w:sz w:val="8"/>
                <w:szCs w:val="8"/>
                <w:color w:val="auto"/>
              </w:rPr>
            </w:pPr>
          </w:p>
        </w:tc>
      </w:tr>
      <w:tr>
        <w:trPr>
          <w:trHeight w:val="196"/>
        </w:trPr>
        <w:tc>
          <w:tcPr>
            <w:tcW w:w="1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(9)</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69,676</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20,491</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Kohl's / Marshalls</w:t>
            </w: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Mercer Mall</w:t>
            </w:r>
          </w:p>
        </w:tc>
        <w:tc>
          <w:tcPr>
            <w:tcW w:w="480" w:type="dxa"/>
            <w:vAlign w:val="bottom"/>
          </w:tcPr>
          <w:p>
            <w:pPr>
              <w:jc w:val="center"/>
              <w:spacing w:after="0"/>
              <w:rPr>
                <w:sz w:val="20"/>
                <w:szCs w:val="20"/>
                <w:color w:val="auto"/>
              </w:rPr>
            </w:pPr>
            <w:r>
              <w:rPr>
                <w:rFonts w:ascii="Arial" w:cs="Arial" w:eastAsia="Arial" w:hAnsi="Arial"/>
                <w:sz w:val="13"/>
                <w:szCs w:val="13"/>
                <w:color w:val="auto"/>
              </w:rPr>
              <w:t>(6)</w:t>
            </w:r>
          </w:p>
        </w:tc>
        <w:tc>
          <w:tcPr>
            <w:tcW w:w="1580" w:type="dxa"/>
            <w:vAlign w:val="bottom"/>
          </w:tcPr>
          <w:p>
            <w:pPr>
              <w:ind w:left="20"/>
              <w:spacing w:after="0"/>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110,252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55,781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60" w:type="dxa"/>
            <w:vAlign w:val="bottom"/>
          </w:tcPr>
          <w:p>
            <w:pPr>
              <w:ind w:left="40"/>
              <w:spacing w:after="0"/>
              <w:rPr>
                <w:sz w:val="20"/>
                <w:szCs w:val="20"/>
                <w:color w:val="auto"/>
              </w:rPr>
            </w:pPr>
            <w:r>
              <w:rPr>
                <w:rFonts w:ascii="Arial" w:cs="Arial" w:eastAsia="Arial" w:hAnsi="Arial"/>
                <w:sz w:val="13"/>
                <w:szCs w:val="13"/>
                <w:color w:val="auto"/>
                <w:w w:val="92"/>
              </w:rPr>
              <w:t>Bed, Bath &amp; Beyond / DSW / TJ Maxx / Raymour &amp; Flanigan</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60" w:type="dxa"/>
            <w:vAlign w:val="bottom"/>
          </w:tcPr>
          <w:p>
            <w:pPr>
              <w:spacing w:after="0"/>
              <w:rPr>
                <w:sz w:val="3"/>
                <w:szCs w:val="3"/>
                <w:color w:val="auto"/>
              </w:rPr>
            </w:pPr>
          </w:p>
        </w:tc>
      </w:tr>
      <w:tr>
        <w:trPr>
          <w:trHeight w:val="148"/>
        </w:trPr>
        <w:tc>
          <w:tcPr>
            <w:tcW w:w="15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The Grove at Shrewsbury</w:t>
            </w:r>
          </w:p>
        </w:tc>
        <w:tc>
          <w:tcPr>
            <w:tcW w:w="4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(5)(10)</w:t>
            </w:r>
          </w:p>
        </w:tc>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121,364</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56,602</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Lululemon / Brooks Brothers / Anthropologie / Pottery Barn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173"/>
        </w:trPr>
        <w:tc>
          <w:tcPr>
            <w:tcW w:w="154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480" w:type="dxa"/>
            <w:vAlign w:val="bottom"/>
          </w:tcPr>
          <w:p>
            <w:pPr>
              <w:spacing w:after="0"/>
              <w:rPr>
                <w:sz w:val="15"/>
                <w:szCs w:val="15"/>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30,314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Pr>
          <w:p>
            <w:pPr>
              <w:ind w:left="80"/>
              <w:spacing w:after="0"/>
              <w:rPr>
                <w:sz w:val="20"/>
                <w:szCs w:val="20"/>
                <w:color w:val="auto"/>
              </w:rPr>
            </w:pPr>
            <w:r>
              <w:rPr>
                <w:rFonts w:ascii="Arial" w:cs="Arial" w:eastAsia="Arial" w:hAnsi="Arial"/>
                <w:sz w:val="13"/>
                <w:szCs w:val="13"/>
                <w:color w:val="auto"/>
              </w:rPr>
              <w:t>Pathmark</w:t>
            </w:r>
          </w:p>
        </w:tc>
        <w:tc>
          <w:tcPr>
            <w:tcW w:w="3260" w:type="dxa"/>
            <w:vAlign w:val="bottom"/>
          </w:tcPr>
          <w:p>
            <w:pPr>
              <w:ind w:left="4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6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2"/>
              </w:rPr>
              <w:t>Total NY Metro/New Jersey</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661,336</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2,679,000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0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60" w:type="dxa"/>
            <w:vAlign w:val="bottom"/>
          </w:tcPr>
          <w:p>
            <w:pPr>
              <w:spacing w:after="0"/>
              <w:rPr>
                <w:sz w:val="8"/>
                <w:szCs w:val="8"/>
                <w:color w:val="auto"/>
              </w:rPr>
            </w:pPr>
          </w:p>
        </w:tc>
      </w:tr>
      <w:tr>
        <w:trPr>
          <w:trHeight w:val="148"/>
        </w:trPr>
        <w:tc>
          <w:tcPr>
            <w:tcW w:w="15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4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8"/>
              </w:rPr>
              <w:t>Boston-Cambridge-Quincy,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9"/>
              </w:rPr>
              <w:t>2005-2011</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385,687</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AC Moore / Bed, Bath &amp; Beyond / Christmas Tree Shops /</w:t>
            </w:r>
          </w:p>
        </w:tc>
      </w:tr>
      <w:tr>
        <w:trPr>
          <w:trHeight w:val="17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2"/>
              </w:rPr>
              <w:t>Marketplace/Assembly Row</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Kmart / Staples / Sports Authority / TJ Maxx</w:t>
            </w: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80" w:type="dxa"/>
            <w:vAlign w:val="bottom"/>
          </w:tcPr>
          <w:p>
            <w:pPr>
              <w:spacing w:after="0"/>
              <w:rPr>
                <w:sz w:val="12"/>
                <w:szCs w:val="12"/>
                <w:color w:val="auto"/>
              </w:rPr>
            </w:pP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w w:val="98"/>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w w:val="99"/>
              </w:rPr>
              <w:t>2006-2008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42,659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7,220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34,589</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2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480" w:type="dxa"/>
            <w:vAlign w:val="bottom"/>
          </w:tcPr>
          <w:p>
            <w:pPr>
              <w:spacing w:after="0"/>
              <w:rPr>
                <w:sz w:val="12"/>
                <w:szCs w:val="12"/>
                <w:color w:val="auto"/>
              </w:rPr>
            </w:pP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w w:val="98"/>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146,417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148"/>
        </w:trPr>
        <w:tc>
          <w:tcPr>
            <w:tcW w:w="15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80" w:type="dxa"/>
            <w:vAlign w:val="bottom"/>
          </w:tcPr>
          <w:p>
            <w:pPr>
              <w:spacing w:after="0"/>
              <w:rPr>
                <w:sz w:val="12"/>
                <w:szCs w:val="12"/>
                <w:color w:val="auto"/>
              </w:rPr>
            </w:pPr>
          </w:p>
        </w:tc>
        <w:tc>
          <w:tcPr>
            <w:tcW w:w="1580" w:type="dxa"/>
            <w:vAlign w:val="bottom"/>
          </w:tcPr>
          <w:p>
            <w:pPr>
              <w:ind w:left="20"/>
              <w:spacing w:after="0" w:line="148" w:lineRule="exact"/>
              <w:rPr>
                <w:sz w:val="20"/>
                <w:szCs w:val="20"/>
                <w:color w:val="auto"/>
              </w:rPr>
            </w:pPr>
            <w:r>
              <w:rPr>
                <w:rFonts w:ascii="Arial" w:cs="Arial" w:eastAsia="Arial" w:hAnsi="Arial"/>
                <w:sz w:val="13"/>
                <w:szCs w:val="13"/>
                <w:color w:val="auto"/>
                <w:w w:val="98"/>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17,932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2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56"/>
        </w:trPr>
        <w:tc>
          <w:tcPr>
            <w:tcW w:w="15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14,815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5"/>
              </w:rPr>
              <w:t>Super Stop &amp;</w:t>
            </w:r>
          </w:p>
        </w:tc>
        <w:tc>
          <w:tcPr>
            <w:tcW w:w="3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26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651,467</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1,388,000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72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Leased</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Governor Plaza</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26,638</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267,000</w:t>
            </w: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40" w:type="dxa"/>
            <w:vAlign w:val="bottom"/>
          </w:tcPr>
          <w:p>
            <w:pPr>
              <w:ind w:left="60"/>
              <w:spacing w:after="0"/>
              <w:rPr>
                <w:sz w:val="20"/>
                <w:szCs w:val="20"/>
                <w:color w:val="auto"/>
              </w:rPr>
            </w:pPr>
            <w:r>
              <w:rPr>
                <w:rFonts w:ascii="Arial" w:cs="Arial" w:eastAsia="Arial" w:hAnsi="Arial"/>
                <w:sz w:val="13"/>
                <w:szCs w:val="13"/>
                <w:color w:val="auto"/>
              </w:rPr>
              <w:t>16,500</w:t>
            </w:r>
          </w:p>
        </w:tc>
        <w:tc>
          <w:tcPr>
            <w:tcW w:w="780" w:type="dxa"/>
            <w:vAlign w:val="bottom"/>
          </w:tcPr>
          <w:p>
            <w:pPr>
              <w:ind w:left="40"/>
              <w:spacing w:after="0"/>
              <w:rPr>
                <w:sz w:val="20"/>
                <w:szCs w:val="20"/>
                <w:color w:val="auto"/>
              </w:rPr>
            </w:pPr>
            <w:r>
              <w:rPr>
                <w:rFonts w:ascii="Arial" w:cs="Arial" w:eastAsia="Arial" w:hAnsi="Arial"/>
                <w:sz w:val="13"/>
                <w:szCs w:val="13"/>
                <w:color w:val="auto"/>
              </w:rPr>
              <w:t>Aldi</w:t>
            </w:r>
          </w:p>
        </w:tc>
        <w:tc>
          <w:tcPr>
            <w:tcW w:w="3220" w:type="dxa"/>
            <w:vAlign w:val="bottom"/>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29,732</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395,000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58,000</w:t>
            </w:r>
          </w:p>
        </w:tc>
        <w:tc>
          <w:tcPr>
            <w:tcW w:w="7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Food</w:t>
            </w:r>
          </w:p>
        </w:tc>
        <w:tc>
          <w:tcPr>
            <w:tcW w:w="3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Warehouse</w:t>
            </w: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THE AVENUE at White</w:t>
            </w:r>
          </w:p>
        </w:tc>
        <w:tc>
          <w:tcPr>
            <w:tcW w:w="400" w:type="dxa"/>
            <w:vAlign w:val="bottom"/>
          </w:tcPr>
          <w:p>
            <w:pPr>
              <w:ind w:left="180"/>
              <w:spacing w:after="0" w:line="148" w:lineRule="exact"/>
              <w:rPr>
                <w:sz w:val="20"/>
                <w:szCs w:val="20"/>
                <w:color w:val="auto"/>
              </w:rPr>
            </w:pPr>
            <w:r>
              <w:rPr>
                <w:rFonts w:ascii="Arial" w:cs="Arial" w:eastAsia="Arial" w:hAnsi="Arial"/>
                <w:sz w:val="13"/>
                <w:szCs w:val="13"/>
                <w:color w:val="auto"/>
              </w:rPr>
              <w:t>(5)</w:t>
            </w: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97,189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53,767</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Marsh</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w w:val="88"/>
              </w:rPr>
              <w:t>The Shoppes at Nottingham</w:t>
            </w:r>
          </w:p>
        </w:tc>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17,350</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White Marsh Plaza</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25,091</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80,000</w:t>
            </w: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40" w:type="dxa"/>
            <w:vAlign w:val="bottom"/>
          </w:tcPr>
          <w:p>
            <w:pPr>
              <w:ind w:left="60"/>
              <w:spacing w:after="0"/>
              <w:rPr>
                <w:sz w:val="20"/>
                <w:szCs w:val="20"/>
                <w:color w:val="auto"/>
              </w:rPr>
            </w:pPr>
            <w:r>
              <w:rPr>
                <w:rFonts w:ascii="Arial" w:cs="Arial" w:eastAsia="Arial" w:hAnsi="Arial"/>
                <w:sz w:val="13"/>
                <w:szCs w:val="13"/>
                <w:color w:val="auto"/>
              </w:rPr>
              <w:t>54,000</w:t>
            </w:r>
          </w:p>
        </w:tc>
        <w:tc>
          <w:tcPr>
            <w:tcW w:w="780" w:type="dxa"/>
            <w:vAlign w:val="bottom"/>
          </w:tcPr>
          <w:p>
            <w:pPr>
              <w:ind w:left="40"/>
              <w:spacing w:after="0"/>
              <w:rPr>
                <w:sz w:val="20"/>
                <w:szCs w:val="20"/>
                <w:color w:val="auto"/>
              </w:rPr>
            </w:pPr>
            <w:r>
              <w:rPr>
                <w:rFonts w:ascii="Arial" w:cs="Arial" w:eastAsia="Arial" w:hAnsi="Arial"/>
                <w:sz w:val="13"/>
                <w:szCs w:val="13"/>
                <w:color w:val="auto"/>
              </w:rPr>
              <w:t>Giant Food</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White Marsh Other</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36,198</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232,198</w:t>
            </w:r>
          </w:p>
        </w:tc>
        <w:tc>
          <w:tcPr>
            <w:tcW w:w="6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1,141,000</w:t>
            </w: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Crossroads</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31,048</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Finley Square</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32,464</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Garden Market</w:t>
            </w:r>
          </w:p>
        </w:tc>
        <w:tc>
          <w:tcPr>
            <w:tcW w:w="40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Chicago, IL</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12,398</w:t>
            </w:r>
          </w:p>
        </w:tc>
        <w:tc>
          <w:tcPr>
            <w:tcW w:w="660" w:type="dxa"/>
            <w:vAlign w:val="bottom"/>
          </w:tcPr>
          <w:p>
            <w:pPr>
              <w:spacing w:after="0"/>
              <w:rPr>
                <w:sz w:val="12"/>
                <w:szCs w:val="12"/>
                <w:color w:val="auto"/>
              </w:rPr>
            </w:pP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780" w:type="dxa"/>
            <w:vAlign w:val="bottom"/>
          </w:tcPr>
          <w:p>
            <w:pPr>
              <w:ind w:left="4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w w:val="93"/>
              </w:rPr>
              <w:t>Fresh Market</w:t>
            </w: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North Lake Commons</w:t>
            </w:r>
          </w:p>
        </w:tc>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16,575</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Dominick's</w:t>
            </w:r>
          </w:p>
        </w:tc>
        <w:tc>
          <w:tcPr>
            <w:tcW w:w="322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w:t>
            </w:r>
          </w:p>
        </w:tc>
        <w:tc>
          <w:tcPr>
            <w:tcW w:w="3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92,485</w:t>
            </w:r>
          </w:p>
        </w:tc>
        <w:tc>
          <w:tcPr>
            <w:tcW w:w="6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750,000</w:t>
            </w: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Courtyard Shops</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40,663</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130,000</w:t>
            </w: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40" w:type="dxa"/>
            <w:vAlign w:val="bottom"/>
          </w:tcPr>
          <w:p>
            <w:pPr>
              <w:ind w:left="60"/>
              <w:spacing w:after="0"/>
              <w:rPr>
                <w:sz w:val="20"/>
                <w:szCs w:val="20"/>
                <w:color w:val="auto"/>
              </w:rPr>
            </w:pPr>
            <w:r>
              <w:rPr>
                <w:rFonts w:ascii="Arial" w:cs="Arial" w:eastAsia="Arial" w:hAnsi="Arial"/>
                <w:sz w:val="13"/>
                <w:szCs w:val="13"/>
                <w:color w:val="auto"/>
              </w:rPr>
              <w:t>49,000</w:t>
            </w:r>
          </w:p>
        </w:tc>
        <w:tc>
          <w:tcPr>
            <w:tcW w:w="780" w:type="dxa"/>
            <w:vAlign w:val="bottom"/>
          </w:tcPr>
          <w:p>
            <w:pPr>
              <w:ind w:left="40"/>
              <w:spacing w:after="0"/>
              <w:rPr>
                <w:sz w:val="20"/>
                <w:szCs w:val="20"/>
                <w:color w:val="auto"/>
              </w:rPr>
            </w:pPr>
            <w:r>
              <w:rPr>
                <w:rFonts w:ascii="Arial" w:cs="Arial" w:eastAsia="Arial" w:hAnsi="Arial"/>
                <w:sz w:val="13"/>
                <w:szCs w:val="13"/>
                <w:color w:val="auto"/>
              </w:rPr>
              <w:t>Publix</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Del Mar Village</w:t>
            </w:r>
          </w:p>
        </w:tc>
        <w:tc>
          <w:tcPr>
            <w:tcW w:w="4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55,960</w:t>
            </w:r>
          </w:p>
        </w:tc>
        <w:tc>
          <w:tcPr>
            <w:tcW w:w="6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179,000</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Winn Dixie</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78,131</w:t>
            </w:r>
          </w:p>
        </w:tc>
        <w:tc>
          <w:tcPr>
            <w:tcW w:w="660" w:type="dxa"/>
            <w:vAlign w:val="bottom"/>
          </w:tcPr>
          <w:p>
            <w:pPr>
              <w:spacing w:after="0"/>
              <w:rPr>
                <w:sz w:val="12"/>
                <w:szCs w:val="12"/>
                <w:color w:val="auto"/>
              </w:rPr>
            </w:pP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 Ulta</w:t>
            </w: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174,754</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59,675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36,806</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497,000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0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Navy / Michaels / Ulta</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Hartford, CT</w:t>
            </w:r>
          </w:p>
        </w:tc>
        <w:tc>
          <w:tcPr>
            <w:tcW w:w="74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29,342</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640" w:type="dxa"/>
            <w:vAlign w:val="bottom"/>
          </w:tcPr>
          <w:p>
            <w:pPr>
              <w:ind w:left="60"/>
              <w:spacing w:after="0"/>
              <w:rPr>
                <w:sz w:val="20"/>
                <w:szCs w:val="20"/>
                <w:color w:val="auto"/>
              </w:rPr>
            </w:pPr>
            <w:r>
              <w:rPr>
                <w:rFonts w:ascii="Arial" w:cs="Arial" w:eastAsia="Arial" w:hAnsi="Arial"/>
                <w:sz w:val="13"/>
                <w:szCs w:val="13"/>
                <w:color w:val="auto"/>
              </w:rPr>
              <w:t>74,000</w:t>
            </w:r>
          </w:p>
        </w:tc>
        <w:tc>
          <w:tcPr>
            <w:tcW w:w="780" w:type="dxa"/>
            <w:vAlign w:val="bottom"/>
          </w:tcPr>
          <w:p>
            <w:pPr>
              <w:ind w:left="40"/>
              <w:spacing w:after="0"/>
              <w:rPr>
                <w:sz w:val="20"/>
                <w:szCs w:val="20"/>
                <w:color w:val="auto"/>
              </w:rPr>
            </w:pPr>
            <w:r>
              <w:rPr>
                <w:rFonts w:ascii="Arial" w:cs="Arial" w:eastAsia="Arial" w:hAnsi="Arial"/>
                <w:sz w:val="13"/>
                <w:szCs w:val="13"/>
                <w:color w:val="auto"/>
                <w:w w:val="98"/>
              </w:rPr>
              <w:t>Stop &amp; Shop</w:t>
            </w:r>
          </w:p>
        </w:tc>
        <w:tc>
          <w:tcPr>
            <w:tcW w:w="322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40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26,793</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153,000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7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Hill, NC</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Gratiot Plaza</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Detroit, MI</w:t>
            </w:r>
          </w:p>
        </w:tc>
        <w:tc>
          <w:tcPr>
            <w:tcW w:w="74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19,060</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40" w:type="dxa"/>
            <w:vAlign w:val="bottom"/>
          </w:tcPr>
          <w:p>
            <w:pPr>
              <w:ind w:left="60"/>
              <w:spacing w:after="0"/>
              <w:rPr>
                <w:sz w:val="20"/>
                <w:szCs w:val="20"/>
                <w:color w:val="auto"/>
              </w:rPr>
            </w:pPr>
            <w:r>
              <w:rPr>
                <w:rFonts w:ascii="Arial" w:cs="Arial" w:eastAsia="Arial" w:hAnsi="Arial"/>
                <w:sz w:val="13"/>
                <w:szCs w:val="13"/>
                <w:color w:val="auto"/>
              </w:rPr>
              <w:t>69,000</w:t>
            </w:r>
          </w:p>
        </w:tc>
        <w:tc>
          <w:tcPr>
            <w:tcW w:w="780" w:type="dxa"/>
            <w:vAlign w:val="bottom"/>
          </w:tcPr>
          <w:p>
            <w:pPr>
              <w:ind w:left="4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Houston St</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San Antonio, TX</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61,486</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Lancaster</w:t>
            </w:r>
          </w:p>
        </w:tc>
        <w:tc>
          <w:tcPr>
            <w:tcW w:w="400" w:type="dxa"/>
            <w:vAlign w:val="bottom"/>
          </w:tcPr>
          <w:p>
            <w:pPr>
              <w:ind w:left="180"/>
              <w:spacing w:after="0"/>
              <w:rPr>
                <w:sz w:val="20"/>
                <w:szCs w:val="20"/>
                <w:color w:val="auto"/>
              </w:rPr>
            </w:pPr>
            <w:r>
              <w:rPr>
                <w:rFonts w:ascii="Arial" w:cs="Arial" w:eastAsia="Arial" w:hAnsi="Arial"/>
                <w:sz w:val="13"/>
                <w:szCs w:val="13"/>
                <w:color w:val="auto"/>
              </w:rPr>
              <w:t>(6)</w:t>
            </w:r>
          </w:p>
        </w:tc>
        <w:tc>
          <w:tcPr>
            <w:tcW w:w="1560" w:type="dxa"/>
            <w:vAlign w:val="bottom"/>
          </w:tcPr>
          <w:p>
            <w:pPr>
              <w:ind w:left="100"/>
              <w:spacing w:after="0"/>
              <w:rPr>
                <w:sz w:val="20"/>
                <w:szCs w:val="20"/>
                <w:color w:val="auto"/>
              </w:rPr>
            </w:pPr>
            <w:r>
              <w:rPr>
                <w:rFonts w:ascii="Arial" w:cs="Arial" w:eastAsia="Arial" w:hAnsi="Arial"/>
                <w:sz w:val="13"/>
                <w:szCs w:val="13"/>
                <w:color w:val="auto"/>
              </w:rPr>
              <w:t>Lancaster, PA</w:t>
            </w:r>
          </w:p>
        </w:tc>
        <w:tc>
          <w:tcPr>
            <w:tcW w:w="74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13,540</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127,000</w:t>
            </w: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40" w:type="dxa"/>
            <w:vAlign w:val="bottom"/>
          </w:tcPr>
          <w:p>
            <w:pPr>
              <w:ind w:left="60"/>
              <w:spacing w:after="0"/>
              <w:rPr>
                <w:sz w:val="20"/>
                <w:szCs w:val="20"/>
                <w:color w:val="auto"/>
              </w:rPr>
            </w:pPr>
            <w:r>
              <w:rPr>
                <w:rFonts w:ascii="Arial" w:cs="Arial" w:eastAsia="Arial" w:hAnsi="Arial"/>
                <w:sz w:val="13"/>
                <w:szCs w:val="13"/>
                <w:color w:val="auto"/>
              </w:rPr>
              <w:t>75,000</w:t>
            </w:r>
          </w:p>
        </w:tc>
        <w:tc>
          <w:tcPr>
            <w:tcW w:w="780" w:type="dxa"/>
            <w:vAlign w:val="bottom"/>
          </w:tcPr>
          <w:p>
            <w:pPr>
              <w:ind w:left="40"/>
              <w:spacing w:after="0"/>
              <w:rPr>
                <w:sz w:val="20"/>
                <w:szCs w:val="20"/>
                <w:color w:val="auto"/>
              </w:rPr>
            </w:pPr>
            <w:r>
              <w:rPr>
                <w:rFonts w:ascii="Arial" w:cs="Arial" w:eastAsia="Arial" w:hAnsi="Arial"/>
                <w:sz w:val="13"/>
                <w:szCs w:val="13"/>
                <w:color w:val="auto"/>
              </w:rPr>
              <w:t>Giant Food</w:t>
            </w:r>
          </w:p>
        </w:tc>
        <w:tc>
          <w:tcPr>
            <w:tcW w:w="322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29th Place</w:t>
            </w: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40,124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5,075</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Shops at Willow Lawn</w:t>
            </w:r>
          </w:p>
        </w:tc>
        <w:tc>
          <w:tcPr>
            <w:tcW w:w="4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w w:val="95"/>
              </w:rPr>
              <w:t>Richmond-Petersburg, VA</w:t>
            </w:r>
          </w:p>
        </w:tc>
        <w:tc>
          <w:tcPr>
            <w:tcW w:w="74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82,213</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444,000</w:t>
            </w: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640" w:type="dxa"/>
            <w:vAlign w:val="bottom"/>
          </w:tcPr>
          <w:p>
            <w:pPr>
              <w:ind w:left="60"/>
              <w:spacing w:after="0"/>
              <w:rPr>
                <w:sz w:val="20"/>
                <w:szCs w:val="20"/>
                <w:color w:val="auto"/>
              </w:rPr>
            </w:pPr>
            <w:r>
              <w:rPr>
                <w:rFonts w:ascii="Arial" w:cs="Arial" w:eastAsia="Arial" w:hAnsi="Arial"/>
                <w:sz w:val="13"/>
                <w:szCs w:val="13"/>
                <w:color w:val="auto"/>
              </w:rPr>
              <w:t>66,000</w:t>
            </w:r>
          </w:p>
        </w:tc>
        <w:tc>
          <w:tcPr>
            <w:tcW w:w="780" w:type="dxa"/>
            <w:vAlign w:val="bottom"/>
          </w:tcPr>
          <w:p>
            <w:pPr>
              <w:ind w:left="4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43"/>
        </w:trPr>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Other</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332,233</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2,045,000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216"/>
        </w:trPr>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167"/>
        </w:trPr>
        <w:tc>
          <w:tcPr>
            <w:tcW w:w="40" w:type="dxa"/>
            <w:vAlign w:val="bottom"/>
            <w:shd w:val="clear" w:color="auto" w:fill="CCEEFF"/>
          </w:tcPr>
          <w:p>
            <w:pPr>
              <w:spacing w:after="0"/>
              <w:rPr>
                <w:sz w:val="14"/>
                <w:szCs w:val="14"/>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$ 5,388,653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$ 715,696</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9"/>
              </w:rPr>
              <w:t>19,797,000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322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99"/>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Notes:</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920" w:type="dxa"/>
            <w:vAlign w:val="bottom"/>
            <w:gridSpan w:val="10"/>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4"/>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5"/>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7"/>
              </w:rPr>
              <w:t>The Trust has a controlling financial interest in this property.</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20" w:type="dxa"/>
            <w:vAlign w:val="bottom"/>
            <w:gridSpan w:val="8"/>
          </w:tcPr>
          <w:p>
            <w:pPr>
              <w:ind w:left="60"/>
              <w:spacing w:after="0"/>
              <w:rPr>
                <w:sz w:val="20"/>
                <w:szCs w:val="20"/>
                <w:color w:val="auto"/>
              </w:rPr>
            </w:pPr>
            <w:r>
              <w:rPr>
                <w:rFonts w:ascii="Arial" w:cs="Arial" w:eastAsia="Arial" w:hAnsi="Arial"/>
                <w:sz w:val="13"/>
                <w:szCs w:val="13"/>
                <w:color w:val="auto"/>
                <w:w w:val="88"/>
              </w:rPr>
              <w:t>Portion of property is currently under development. See further discussion in Mixed Use Projects Phase I schedule.</w:t>
            </w:r>
          </w:p>
        </w:tc>
        <w:tc>
          <w:tcPr>
            <w:tcW w:w="7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2"/>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60" w:type="dxa"/>
            <w:vAlign w:val="bottom"/>
            <w:gridSpan w:val="2"/>
          </w:tcPr>
          <w:p>
            <w:pPr>
              <w:ind w:left="60"/>
              <w:spacing w:after="0"/>
              <w:rPr>
                <w:sz w:val="20"/>
                <w:szCs w:val="20"/>
                <w:color w:val="auto"/>
              </w:rPr>
            </w:pPr>
            <w:r>
              <w:rPr>
                <w:rFonts w:ascii="Arial" w:cs="Arial" w:eastAsia="Arial" w:hAnsi="Arial"/>
                <w:sz w:val="13"/>
                <w:szCs w:val="13"/>
                <w:color w:val="auto"/>
              </w:rPr>
              <w:t>partnership units.</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6"/>
              </w:rPr>
              <w:t>All or a portion of property subject to capital lease obligation.</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80" w:type="dxa"/>
            <w:vAlign w:val="bottom"/>
            <w:gridSpan w:val="7"/>
          </w:tcPr>
          <w:p>
            <w:pPr>
              <w:ind w:left="60"/>
              <w:spacing w:after="0"/>
              <w:rPr>
                <w:sz w:val="20"/>
                <w:szCs w:val="20"/>
                <w:color w:val="auto"/>
              </w:rPr>
            </w:pPr>
            <w:r>
              <w:rPr>
                <w:rFonts w:ascii="Arial" w:cs="Arial" w:eastAsia="Arial" w:hAnsi="Arial"/>
                <w:sz w:val="13"/>
                <w:szCs w:val="13"/>
                <w:color w:val="auto"/>
                <w:w w:val="86"/>
              </w:rPr>
              <w:t>Store closed but currently under construction and is being assigned or subleased to a new grocer tenant.</w:t>
            </w: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0" w:type="dxa"/>
            <w:vAlign w:val="bottom"/>
            <w:gridSpan w:val="6"/>
          </w:tcPr>
          <w:p>
            <w:pPr>
              <w:ind w:left="60"/>
              <w:spacing w:after="0"/>
              <w:rPr>
                <w:sz w:val="20"/>
                <w:szCs w:val="20"/>
                <w:color w:val="auto"/>
              </w:rPr>
            </w:pPr>
            <w:r>
              <w:rPr>
                <w:rFonts w:ascii="Arial" w:cs="Arial" w:eastAsia="Arial" w:hAnsi="Arial"/>
                <w:sz w:val="13"/>
                <w:szCs w:val="13"/>
                <w:color w:val="auto"/>
                <w:w w:val="94"/>
              </w:rPr>
              <w:t>Includes a 100% owned, 8.1 acre land parcel being used for The Point redevelopment.</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88"/>
              </w:rPr>
              <w:t>On October 16, 2006, the Trust acquired control of Melville Mall through a 20 year master lease and secondary financing. Since the Trust controls this property and retains substantially all of the</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0" w:type="dxa"/>
            <w:vAlign w:val="bottom"/>
            <w:gridSpan w:val="6"/>
          </w:tcPr>
          <w:p>
            <w:pPr>
              <w:ind w:left="60"/>
              <w:spacing w:after="0"/>
              <w:rPr>
                <w:sz w:val="20"/>
                <w:szCs w:val="20"/>
                <w:color w:val="auto"/>
              </w:rPr>
            </w:pPr>
            <w:r>
              <w:rPr>
                <w:rFonts w:ascii="Arial" w:cs="Arial" w:eastAsia="Arial" w:hAnsi="Arial"/>
                <w:sz w:val="13"/>
                <w:szCs w:val="13"/>
                <w:color w:val="auto"/>
                <w:w w:val="88"/>
              </w:rPr>
              <w:t>economic benefit and risks associated with it, we consolidate this property and its operations.</w:t>
            </w: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80" w:type="dxa"/>
            <w:vAlign w:val="bottom"/>
            <w:gridSpan w:val="7"/>
          </w:tcPr>
          <w:p>
            <w:pPr>
              <w:ind w:left="60"/>
              <w:spacing w:after="0"/>
              <w:rPr>
                <w:sz w:val="20"/>
                <w:szCs w:val="20"/>
                <w:color w:val="auto"/>
              </w:rPr>
            </w:pPr>
            <w:r>
              <w:rPr>
                <w:rFonts w:ascii="Arial" w:cs="Arial" w:eastAsia="Arial" w:hAnsi="Arial"/>
                <w:sz w:val="13"/>
                <w:szCs w:val="13"/>
                <w:color w:val="auto"/>
                <w:w w:val="96"/>
              </w:rPr>
              <w:t>The purchase price allocation is preliminary and will be finalized after our valuation studies are</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60" w:type="dxa"/>
            <w:vAlign w:val="bottom"/>
            <w:gridSpan w:val="2"/>
          </w:tcPr>
          <w:p>
            <w:pPr>
              <w:ind w:left="60"/>
              <w:spacing w:after="0"/>
              <w:rPr>
                <w:sz w:val="20"/>
                <w:szCs w:val="20"/>
                <w:color w:val="auto"/>
              </w:rPr>
            </w:pPr>
            <w:r>
              <w:rPr>
                <w:rFonts w:ascii="Arial" w:cs="Arial" w:eastAsia="Arial" w:hAnsi="Arial"/>
                <w:sz w:val="13"/>
                <w:szCs w:val="13"/>
                <w:color w:val="auto"/>
              </w:rPr>
              <w:t>complete.</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2014</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328,355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31.84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1,583,057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7,815,348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23.80</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395,906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27.24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$ 21.73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2,182,320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7,040,879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17.78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273,505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39.12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1,767,856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5,355,091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19.58</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446,334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30.96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2,476,132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8,518,843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19.09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1,444,100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$ 26.14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8,009,365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28,730,161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19.89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176,649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25.73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$ 22.16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629,580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7,649,978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43.31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109,673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$ 23.43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878,831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6,458,712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58.89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104,298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1,283,589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4,636,228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44.45</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233,544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31.30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$ 22.21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2,122,806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8,499,743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36.39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624,164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31.88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4,914,806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27,244,661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43.65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151,706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38.95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953,477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165,370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286,233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25.63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$ 21.08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1,303,489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582,167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2.03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169,207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484,267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718,863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4.25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212,790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30.60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$ 28.94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353,326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19,100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0.09</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819,936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3,094,559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1,485,500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1.81</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364,034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31.62</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8,445,438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23.20</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484,144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27.84</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7,723,079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15.95</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398,637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6,813,820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17.09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2013</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480,107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32.26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8,973,443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18.69</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1,726,922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31.33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31,955,780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18.50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180" w:hanging="1251"/>
        <w:spacing w:after="0" w:line="254"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Approximately $5.1 million ($12.38 per square foot) in 1st Quarter 2014, $1.5 million ($3.09 per square foot) in 4th Quarter 2013, $2.5 million ($6.23 per square foot) in 3rd Quarter 2013 and $4.1 million ($6.75 per square foot) in 2nd Quarter 2013 of the Tenant Improvements &amp; Incentives are for properties under active redevelopment (e.g. Westgate Center, Willow Lawn, Barracks Road, Hollywood Boulevard) and are included in the Projected Cost for those projects on the Summary of Development and Redevelopment Opportunities.</w:t>
      </w:r>
    </w:p>
    <w:p>
      <w:pPr>
        <w:spacing w:after="0" w:line="21" w:lineRule="exact"/>
        <w:rPr>
          <w:rFonts w:ascii="Arial" w:cs="Arial" w:eastAsia="Arial" w:hAnsi="Arial"/>
          <w:sz w:val="12"/>
          <w:szCs w:val="12"/>
          <w:color w:val="auto"/>
        </w:rPr>
      </w:pPr>
    </w:p>
    <w:p>
      <w:pPr>
        <w:ind w:left="1280" w:hanging="1251"/>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220" w:hanging="1251"/>
        <w:spacing w:after="0" w:line="254"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information on leases signed for those projects; these amounts for leases signed for Assembly Row and Pike &amp; Rose are included in the Projected Cost column for those projects shown on the Mixed Use Projects Phase I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802,000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998,000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1,801,000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1,451,000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1,152,000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35.98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2,604,000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1,736,000</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34.94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2,375,000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37.88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1,100,000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45.02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10,922,000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17.25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7,794,000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35.94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18,716,000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595,000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653,000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35.18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616,000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38.15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435,000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37.59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613,000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798,000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439,000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787,000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11,477,000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10,922,000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17.25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7,794,000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35.94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18,716,000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March 31,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2014</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2013</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19,797,000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18,935,000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19,500,000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18,538,000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95.1%</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2014</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16,617,000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15,866,000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16,604,000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15,807,000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95.2%</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2014 leased percentage was 99.0% for anchor tenants and 91.3% for small shop tenants.</w:t>
      </w:r>
    </w:p>
    <w:p>
      <w:pPr>
        <w:spacing w:after="0" w:line="72" w:lineRule="exact"/>
        <w:rPr>
          <w:rFonts w:ascii="Arial" w:cs="Arial" w:eastAsia="Arial" w:hAnsi="Arial"/>
          <w:sz w:val="16"/>
          <w:szCs w:val="16"/>
          <w:color w:val="auto"/>
        </w:rPr>
      </w:pPr>
    </w:p>
    <w:p>
      <w:pPr>
        <w:ind w:left="840" w:right="160" w:hanging="805"/>
        <w:spacing w:after="0" w:line="293"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Occupied percentage was 94.7% and 94.5% at March 31, 2014 and 2013, respectively, and same center occupied percentage was 94.8% and 94.6% at March 31, 2014 and 2013,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Rank</w:t>
            </w:r>
          </w:p>
        </w:tc>
        <w:tc>
          <w:tcPr>
            <w:tcW w:w="4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15,219,000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2.72%</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Gap,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9,411,000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2.01%</w:t>
            </w:r>
          </w:p>
        </w:tc>
        <w:tc>
          <w:tcPr>
            <w:tcW w:w="980" w:type="dxa"/>
            <w:vAlign w:val="bottom"/>
          </w:tcPr>
          <w:p>
            <w:pPr>
              <w:jc w:val="right"/>
              <w:spacing w:after="0"/>
              <w:rPr>
                <w:sz w:val="20"/>
                <w:szCs w:val="20"/>
                <w:color w:val="auto"/>
              </w:rPr>
            </w:pPr>
            <w:r>
              <w:rPr>
                <w:rFonts w:ascii="Arial" w:cs="Arial" w:eastAsia="Arial" w:hAnsi="Arial"/>
                <w:sz w:val="16"/>
                <w:szCs w:val="16"/>
                <w:color w:val="auto"/>
              </w:rPr>
              <w:t>290,000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5,858,000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1.25%</w:t>
            </w:r>
          </w:p>
        </w:tc>
        <w:tc>
          <w:tcPr>
            <w:tcW w:w="980" w:type="dxa"/>
            <w:vAlign w:val="bottom"/>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0.94%</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3,797,000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Riverbed Technology,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Kroger Co.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3,191,000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Sports Authority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139,030,000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29.66%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6,846,000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34.55%</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468,521,000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19,797,000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6"/>
              </w:rPr>
              <w:t>Notes: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7"/>
              </w:rPr>
              <w:t>Does not include amounts related to leases these tenants have with our partnership with a discretionary fund created and advised by ING Clarion Partners.</w:t>
            </w:r>
          </w:p>
        </w:tc>
        <w:tc>
          <w:tcPr>
            <w:tcW w:w="0" w:type="dxa"/>
            <w:vAlign w:val="bottom"/>
          </w:tcPr>
          <w:p>
            <w:pPr>
              <w:spacing w:after="0"/>
              <w:rPr>
                <w:sz w:val="1"/>
                <w:szCs w:val="1"/>
                <w:color w:val="auto"/>
              </w:rPr>
            </w:pPr>
          </w:p>
        </w:tc>
      </w:tr>
      <w:tr>
        <w:trPr>
          <w:trHeight w:val="266"/>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1"/>
              </w:rPr>
              <w:t>Reflects aggregate, annualized in-place contractual (defined as cash-basis including adjustments for concessions) minimum rent for all occupied spaces as of March</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31, 2014.</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w w:val="98"/>
              </w:rPr>
              <w:t>Excludes redevelopment square footage not yet placed in service.</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Individual items may not add up to total due to rounding.</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2014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8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4"/>
                <w:szCs w:val="14"/>
                <w:b w:val="1"/>
                <w:bCs w:val="1"/>
                <w:color w:val="auto"/>
                <w:w w:val="95"/>
              </w:rPr>
              <w:t>March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211,016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169,848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178,205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8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117,452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178,205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2014</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11,977</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56,862</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22,477</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56,862</w:t>
            </w:r>
          </w:p>
        </w:tc>
        <w:tc>
          <w:tcPr>
            <w:tcW w:w="66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63" w:lineRule="exact"/>
        <w:rPr>
          <w:rFonts w:ascii="Arial" w:cs="Arial" w:eastAsia="Arial" w:hAnsi="Arial"/>
          <w:sz w:val="18"/>
          <w:szCs w:val="18"/>
          <w:color w:val="auto"/>
        </w:rPr>
      </w:pPr>
    </w:p>
    <w:p>
      <w:pPr>
        <w:ind w:left="620" w:right="220" w:hanging="585"/>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2014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4"/>
              </w:rPr>
              <w:t>Real</w:t>
            </w: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4"/>
              </w:rPr>
              <w:t>Estate at</w:t>
            </w:r>
          </w:p>
        </w:tc>
        <w:tc>
          <w:tcPr>
            <w:tcW w:w="100" w:type="dxa"/>
            <w:vAlign w:val="bottom"/>
          </w:tcPr>
          <w:p>
            <w:pPr>
              <w:spacing w:after="0"/>
              <w:rPr>
                <w:sz w:val="11"/>
                <w:szCs w:val="11"/>
                <w:color w:val="auto"/>
              </w:rPr>
            </w:pPr>
          </w:p>
        </w:tc>
        <w:tc>
          <w:tcPr>
            <w:tcW w:w="56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110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8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MSA Description</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Grocery Anchor</w:t>
            </w:r>
          </w:p>
        </w:tc>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9"/>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3"/>
                <w:szCs w:val="13"/>
                <w:b w:val="1"/>
                <w:bCs w:val="1"/>
                <w:color w:val="auto"/>
                <w:w w:val="88"/>
              </w:rPr>
              <w:t>Washington Metropolitan Area</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96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880" w:type="dxa"/>
            <w:vAlign w:val="bottom"/>
          </w:tcPr>
          <w:p>
            <w:pPr>
              <w:ind w:left="200"/>
              <w:spacing w:after="0"/>
              <w:rPr>
                <w:sz w:val="20"/>
                <w:szCs w:val="20"/>
                <w:color w:val="auto"/>
              </w:rPr>
            </w:pPr>
            <w:r>
              <w:rPr>
                <w:rFonts w:ascii="Arial" w:cs="Arial" w:eastAsia="Arial" w:hAnsi="Arial"/>
                <w:sz w:val="13"/>
                <w:szCs w:val="13"/>
                <w:color w:val="auto"/>
              </w:rPr>
              <w:t>Washington, DC-MD-VA</w:t>
            </w:r>
          </w:p>
        </w:tc>
        <w:tc>
          <w:tcPr>
            <w:tcW w:w="76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34,552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20,785</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100,000</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center"/>
              <w:spacing w:after="0"/>
              <w:rPr>
                <w:sz w:val="20"/>
                <w:szCs w:val="20"/>
                <w:color w:val="auto"/>
              </w:rPr>
            </w:pPr>
            <w:r>
              <w:rPr>
                <w:rFonts w:ascii="Arial" w:cs="Arial" w:eastAsia="Arial" w:hAnsi="Arial"/>
                <w:sz w:val="13"/>
                <w:szCs w:val="13"/>
                <w:color w:val="auto"/>
                <w:w w:val="90"/>
              </w:rPr>
              <w:t>46,000</w:t>
            </w:r>
          </w:p>
        </w:tc>
        <w:tc>
          <w:tcPr>
            <w:tcW w:w="1100" w:type="dxa"/>
            <w:vAlign w:val="bottom"/>
          </w:tcPr>
          <w:p>
            <w:pPr>
              <w:ind w:left="100"/>
              <w:spacing w:after="0"/>
              <w:rPr>
                <w:sz w:val="20"/>
                <w:szCs w:val="20"/>
                <w:color w:val="auto"/>
              </w:rPr>
            </w:pPr>
            <w:r>
              <w:rPr>
                <w:rFonts w:ascii="Arial" w:cs="Arial" w:eastAsia="Arial" w:hAnsi="Arial"/>
                <w:sz w:val="13"/>
                <w:szCs w:val="13"/>
                <w:color w:val="auto"/>
              </w:rPr>
              <w:t>Harris Teeter</w:t>
            </w:r>
          </w:p>
        </w:tc>
        <w:tc>
          <w:tcPr>
            <w:tcW w:w="254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81"/>
        </w:trPr>
        <w:tc>
          <w:tcPr>
            <w:tcW w:w="20" w:type="dxa"/>
            <w:vAlign w:val="bottom"/>
            <w:shd w:val="clear" w:color="auto" w:fill="CCEEFF"/>
          </w:tcPr>
          <w:p>
            <w:pPr>
              <w:spacing w:after="0"/>
              <w:rPr>
                <w:sz w:val="15"/>
                <w:szCs w:val="15"/>
                <w:color w:val="auto"/>
              </w:rPr>
            </w:pPr>
          </w:p>
        </w:tc>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 Center</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Washington, DC-MD-VA</w:t>
            </w:r>
          </w:p>
        </w:tc>
        <w:tc>
          <w:tcPr>
            <w:tcW w:w="7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66,912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73,000</w:t>
            </w:r>
          </w:p>
        </w:tc>
        <w:tc>
          <w:tcPr>
            <w:tcW w:w="1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0"/>
              </w:rPr>
              <w:t>TJ Maxx / Ross Dress For Less / Office Depot</w:t>
            </w:r>
          </w:p>
        </w:tc>
      </w:tr>
      <w:tr>
        <w:trPr>
          <w:trHeight w:val="97"/>
        </w:trPr>
        <w:tc>
          <w:tcPr>
            <w:tcW w:w="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Washington, DC-MD-VA</w:t>
            </w:r>
          </w:p>
        </w:tc>
        <w:tc>
          <w:tcPr>
            <w:tcW w:w="76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21,720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11,977</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134"/>
        </w:trPr>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8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w w:val="94"/>
              </w:rPr>
              <w:t>Total Washington Metropolitan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Area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123,184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96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 Jersey</w:t>
            </w: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Nassau-Suffolk, NY</w:t>
            </w:r>
          </w:p>
        </w:tc>
        <w:tc>
          <w:tcPr>
            <w:tcW w:w="7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20,653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46,000</w:t>
            </w:r>
          </w:p>
        </w:tc>
        <w:tc>
          <w:tcPr>
            <w:tcW w:w="1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Waldbaum's</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ind w:left="200"/>
              <w:spacing w:after="0"/>
              <w:rPr>
                <w:sz w:val="20"/>
                <w:szCs w:val="20"/>
                <w:color w:val="auto"/>
              </w:rPr>
            </w:pPr>
            <w:r>
              <w:rPr>
                <w:rFonts w:ascii="Arial" w:cs="Arial" w:eastAsia="Arial" w:hAnsi="Arial"/>
                <w:sz w:val="13"/>
                <w:szCs w:val="13"/>
                <w:color w:val="auto"/>
                <w:w w:val="99"/>
              </w:rPr>
              <w:t>Total New York / New Jersey</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20,653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96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18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w w:val="93"/>
              </w:rPr>
              <w:t>Atlantic Plaza</w:t>
            </w:r>
          </w:p>
        </w:tc>
        <w:tc>
          <w:tcPr>
            <w:tcW w:w="1200" w:type="dxa"/>
            <w:vAlign w:val="bottom"/>
            <w:tcBorders>
              <w:top w:val="single" w:sz="8" w:color="CCEEFF"/>
            </w:tcBorders>
            <w:gridSpan w:val="3"/>
          </w:tcPr>
          <w:p>
            <w:pPr>
              <w:spacing w:after="0"/>
              <w:rPr>
                <w:sz w:val="12"/>
                <w:szCs w:val="12"/>
                <w:color w:val="auto"/>
              </w:rPr>
            </w:pPr>
          </w:p>
        </w:tc>
        <w:tc>
          <w:tcPr>
            <w:tcW w:w="1880" w:type="dxa"/>
            <w:vAlign w:val="bottom"/>
            <w:tcBorders>
              <w:top w:val="single" w:sz="8" w:color="CCEEFF"/>
            </w:tcBorders>
          </w:tcPr>
          <w:p>
            <w:pPr>
              <w:ind w:left="200"/>
              <w:spacing w:after="0" w:line="148" w:lineRule="exact"/>
              <w:rPr>
                <w:sz w:val="20"/>
                <w:szCs w:val="20"/>
                <w:color w:val="auto"/>
              </w:rPr>
            </w:pPr>
            <w:r>
              <w:rPr>
                <w:rFonts w:ascii="Arial" w:cs="Arial" w:eastAsia="Arial" w:hAnsi="Arial"/>
                <w:sz w:val="13"/>
                <w:szCs w:val="13"/>
                <w:color w:val="auto"/>
                <w:w w:val="98"/>
              </w:rPr>
              <w:t>Boston-Worcester-Lawrence-</w:t>
            </w:r>
          </w:p>
        </w:tc>
        <w:tc>
          <w:tcPr>
            <w:tcW w:w="760" w:type="dxa"/>
            <w:vAlign w:val="bottom"/>
            <w:tcBorders>
              <w:top w:val="single" w:sz="8" w:color="CCEEFF"/>
            </w:tcBorders>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rPr>
              <w:t>20,102</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9"/>
              <w:spacing w:after="0" w:line="148" w:lineRule="exact"/>
              <w:rPr>
                <w:sz w:val="20"/>
                <w:szCs w:val="20"/>
                <w:color w:val="auto"/>
              </w:rPr>
            </w:pPr>
            <w:r>
              <w:rPr>
                <w:rFonts w:ascii="Arial" w:cs="Arial" w:eastAsia="Arial" w:hAnsi="Arial"/>
                <w:sz w:val="13"/>
                <w:szCs w:val="13"/>
                <w:color w:val="auto"/>
              </w:rPr>
              <w:t>10,500</w:t>
            </w:r>
          </w:p>
        </w:tc>
        <w:tc>
          <w:tcPr>
            <w:tcW w:w="54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70%</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90"/>
              </w:rPr>
              <w:t>64,000</w:t>
            </w:r>
          </w:p>
        </w:tc>
        <w:tc>
          <w:tcPr>
            <w:tcW w:w="1100" w:type="dxa"/>
            <w:vAlign w:val="bottom"/>
            <w:tcBorders>
              <w:top w:val="single" w:sz="8" w:color="CCEEFF"/>
            </w:tcBorders>
          </w:tcPr>
          <w:p>
            <w:pPr>
              <w:ind w:left="100"/>
              <w:spacing w:after="0" w:line="148" w:lineRule="exact"/>
              <w:rPr>
                <w:sz w:val="20"/>
                <w:szCs w:val="20"/>
                <w:color w:val="auto"/>
              </w:rPr>
            </w:pPr>
            <w:r>
              <w:rPr>
                <w:rFonts w:ascii="Arial" w:cs="Arial" w:eastAsia="Arial" w:hAnsi="Arial"/>
                <w:sz w:val="13"/>
                <w:szCs w:val="13"/>
                <w:color w:val="auto"/>
              </w:rPr>
              <w:t>Stop &amp; Shop</w:t>
            </w:r>
          </w:p>
        </w:tc>
        <w:tc>
          <w:tcPr>
            <w:tcW w:w="2540" w:type="dxa"/>
            <w:vAlign w:val="bottom"/>
            <w:tcBorders>
              <w:top w:val="single" w:sz="8" w:color="CCEEFF"/>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ind w:left="200"/>
              <w:spacing w:after="0"/>
              <w:rPr>
                <w:sz w:val="20"/>
                <w:szCs w:val="20"/>
                <w:color w:val="auto"/>
              </w:rPr>
            </w:pPr>
            <w:r>
              <w:rPr>
                <w:rFonts w:ascii="Arial" w:cs="Arial" w:eastAsia="Arial" w:hAnsi="Arial"/>
                <w:sz w:val="13"/>
                <w:szCs w:val="13"/>
                <w:color w:val="auto"/>
              </w:rPr>
              <w:t>Lowell-Brockton, 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9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Boston-Worcester-Lawrence-</w:t>
            </w:r>
          </w:p>
        </w:tc>
        <w:tc>
          <w:tcPr>
            <w:tcW w:w="7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22,906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46,000</w:t>
            </w:r>
          </w:p>
        </w:tc>
        <w:tc>
          <w:tcPr>
            <w:tcW w:w="1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Roche Bros.</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Lowell-Brockton, MA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960" w:type="dxa"/>
            <w:vAlign w:val="bottom"/>
            <w:gridSpan w:val="4"/>
          </w:tcPr>
          <w:p>
            <w:pPr>
              <w:spacing w:after="0" w:line="148" w:lineRule="exact"/>
              <w:rPr>
                <w:sz w:val="20"/>
                <w:szCs w:val="20"/>
                <w:color w:val="auto"/>
              </w:rPr>
            </w:pPr>
            <w:r>
              <w:rPr>
                <w:rFonts w:ascii="Arial" w:cs="Arial" w:eastAsia="Arial" w:hAnsi="Arial"/>
                <w:sz w:val="13"/>
                <w:szCs w:val="13"/>
                <w:color w:val="auto"/>
              </w:rPr>
              <w:t>Pleasant Shops</w:t>
            </w:r>
          </w:p>
        </w:tc>
        <w:tc>
          <w:tcPr>
            <w:tcW w:w="1880" w:type="dxa"/>
            <w:vAlign w:val="bottom"/>
          </w:tcPr>
          <w:p>
            <w:pPr>
              <w:ind w:left="200"/>
              <w:spacing w:after="0" w:line="148" w:lineRule="exact"/>
              <w:rPr>
                <w:sz w:val="20"/>
                <w:szCs w:val="20"/>
                <w:color w:val="auto"/>
              </w:rPr>
            </w:pPr>
            <w:r>
              <w:rPr>
                <w:rFonts w:ascii="Arial" w:cs="Arial" w:eastAsia="Arial" w:hAnsi="Arial"/>
                <w:sz w:val="13"/>
                <w:szCs w:val="13"/>
                <w:color w:val="auto"/>
                <w:w w:val="98"/>
              </w:rPr>
              <w:t>Boston-Worcester-Lawrence-</w:t>
            </w:r>
          </w:p>
        </w:tc>
        <w:tc>
          <w:tcPr>
            <w:tcW w:w="76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24,171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90"/>
              </w:rPr>
              <w:t>38,000</w:t>
            </w:r>
          </w:p>
        </w:tc>
        <w:tc>
          <w:tcPr>
            <w:tcW w:w="1100" w:type="dxa"/>
            <w:vAlign w:val="bottom"/>
          </w:tcPr>
          <w:p>
            <w:pPr>
              <w:ind w:left="100"/>
              <w:spacing w:after="0" w:line="148" w:lineRule="exact"/>
              <w:rPr>
                <w:sz w:val="20"/>
                <w:szCs w:val="20"/>
                <w:color w:val="auto"/>
              </w:rPr>
            </w:pPr>
            <w:r>
              <w:rPr>
                <w:rFonts w:ascii="Arial" w:cs="Arial" w:eastAsia="Arial" w:hAnsi="Arial"/>
                <w:sz w:val="13"/>
                <w:szCs w:val="13"/>
                <w:color w:val="auto"/>
              </w:rPr>
              <w:t>Whole Foods</w:t>
            </w:r>
          </w:p>
        </w:tc>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Lowell-Brockton, MA</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Total New England</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67,179</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370,000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540" w:type="dxa"/>
            <w:vAlign w:val="bottom"/>
            <w:tcBorders>
              <w:bottom w:val="single" w:sz="8" w:color="auto"/>
            </w:tcBorders>
            <w:shd w:val="clear" w:color="auto" w:fill="CCEEFF"/>
          </w:tcPr>
          <w:p>
            <w:pPr>
              <w:spacing w:after="0"/>
              <w:rPr>
                <w:sz w:val="21"/>
                <w:szCs w:val="2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Grand Totals</w:t>
            </w:r>
          </w:p>
        </w:tc>
        <w:tc>
          <w:tcPr>
            <w:tcW w:w="18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3"/>
              </w:rPr>
              <w:t>211,016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56,862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40" w:top="95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2014 and 2013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40,545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43,850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40,624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107,507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107,507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103,841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2019-12-05T09:12:23Z</dcterms:created>
  <dcterms:modified xsi:type="dcterms:W3CDTF">2019-12-05T09:12:23Z</dcterms:modified>
</cp:coreProperties>
</file>