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AS FILED WITH THE SECURITIES AND EXCHANGE COMMISSION ON OCTOBER 3, 1995</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33-62389</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AMENDMENT</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NO. 2</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700"/>
        <w:spacing w:after="0"/>
        <w:rPr>
          <w:sz w:val="20"/>
          <w:szCs w:val="20"/>
          <w:color w:val="auto"/>
        </w:rPr>
      </w:pPr>
      <w:r>
        <w:rPr>
          <w:rFonts w:ascii="Courier New" w:cs="Courier New" w:eastAsia="Courier New" w:hAnsi="Courier New"/>
          <w:sz w:val="18"/>
          <w:szCs w:val="18"/>
          <w:color w:val="auto"/>
        </w:rPr>
        <w:t>FORM S-3</w:t>
      </w:r>
    </w:p>
    <w:p>
      <w:pPr>
        <w:ind w:left="2960"/>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1440" w:gutter="0" w:footer="0" w:header="0"/>
        </w:sectPr>
      </w:pPr>
    </w:p>
    <w:p>
      <w:pPr>
        <w:spacing w:after="0" w:line="4" w:lineRule="exact"/>
        <w:rPr>
          <w:sz w:val="24"/>
          <w:szCs w:val="24"/>
          <w:color w:val="auto"/>
        </w:rPr>
      </w:pPr>
    </w:p>
    <w:p>
      <w:pPr>
        <w:ind w:left="420" w:right="120" w:firstLine="527"/>
        <w:spacing w:after="0" w:line="268" w:lineRule="auto"/>
        <w:rPr>
          <w:sz w:val="20"/>
          <w:szCs w:val="20"/>
          <w:color w:val="auto"/>
        </w:rPr>
      </w:pPr>
      <w:r>
        <w:rPr>
          <w:rFonts w:ascii="Courier New" w:cs="Courier New" w:eastAsia="Courier New" w:hAnsi="Courier New"/>
          <w:sz w:val="16"/>
          <w:szCs w:val="16"/>
          <w:color w:val="auto"/>
        </w:rPr>
        <w:t>DISTRICT OF COLUMBIA (STATE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519"/>
        <w:spacing w:after="0" w:line="238" w:lineRule="auto"/>
        <w:rPr>
          <w:sz w:val="20"/>
          <w:szCs w:val="20"/>
          <w:color w:val="auto"/>
        </w:rPr>
      </w:pPr>
      <w:r>
        <w:rPr>
          <w:rFonts w:ascii="Courier New" w:cs="Courier New" w:eastAsia="Courier New" w:hAnsi="Courier New"/>
          <w:sz w:val="18"/>
          <w:szCs w:val="18"/>
          <w:color w:val="auto"/>
        </w:rPr>
        <w:t>52-0782497</w:t>
      </w:r>
    </w:p>
    <w:p>
      <w:pPr>
        <w:spacing w:after="0" w:line="5"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4"/>
          <w:szCs w:val="24"/>
          <w:color w:val="auto"/>
        </w:rPr>
      </w:pPr>
    </w:p>
    <w:p>
      <w:pPr>
        <w:sectPr>
          <w:pgSz w:w="11900" w:h="16838" w:orient="portrait"/>
          <w:cols w:equalWidth="0" w:num="2">
            <w:col w:w="3820" w:space="720"/>
            <w:col w:w="5679"/>
          </w:cols>
          <w:pgMar w:left="240" w:top="852" w:right="1440" w:bottom="1440" w:gutter="0" w:footer="0" w:header="0"/>
          <w:type w:val="continuous"/>
        </w:sectPr>
      </w:pPr>
    </w:p>
    <w:p>
      <w:pPr>
        <w:ind w:left="3280"/>
        <w:spacing w:after="0" w:line="233" w:lineRule="auto"/>
        <w:rPr>
          <w:sz w:val="20"/>
          <w:szCs w:val="20"/>
          <w:color w:val="auto"/>
        </w:rPr>
      </w:pPr>
      <w:r>
        <w:rPr>
          <w:rFonts w:ascii="Courier New" w:cs="Courier New" w:eastAsia="Courier New" w:hAnsi="Courier New"/>
          <w:sz w:val="18"/>
          <w:szCs w:val="18"/>
          <w:color w:val="auto"/>
        </w:rPr>
        <w:t>4800 HAMPDEN LANE</w:t>
      </w:r>
    </w:p>
    <w:p>
      <w:pPr>
        <w:ind w:left="2860"/>
        <w:spacing w:after="0"/>
        <w:rPr>
          <w:sz w:val="20"/>
          <w:szCs w:val="20"/>
          <w:color w:val="auto"/>
        </w:rPr>
      </w:pPr>
      <w:r>
        <w:rPr>
          <w:rFonts w:ascii="Courier New" w:cs="Courier New" w:eastAsia="Courier New" w:hAnsi="Courier New"/>
          <w:sz w:val="18"/>
          <w:szCs w:val="18"/>
          <w:color w:val="auto"/>
        </w:rPr>
        <w:t>BETHESDA, MARYLAND 20814</w:t>
      </w:r>
    </w:p>
    <w:p>
      <w:pPr>
        <w:ind w:left="3380"/>
        <w:spacing w:after="0" w:line="237" w:lineRule="auto"/>
        <w:rPr>
          <w:sz w:val="20"/>
          <w:szCs w:val="20"/>
          <w:color w:val="auto"/>
        </w:rPr>
      </w:pPr>
      <w:r>
        <w:rPr>
          <w:rFonts w:ascii="Courier New" w:cs="Courier New" w:eastAsia="Courier New" w:hAnsi="Courier New"/>
          <w:sz w:val="18"/>
          <w:szCs w:val="18"/>
          <w:color w:val="auto"/>
        </w:rPr>
        <w:t>(301) 652-3360</w:t>
      </w:r>
    </w:p>
    <w:p>
      <w:pPr>
        <w:ind w:left="220"/>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STEVEN J. GUTTMAN, PRESIDENT AND TRUSTEE</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3280"/>
        <w:spacing w:after="0" w:line="237" w:lineRule="auto"/>
        <w:rPr>
          <w:sz w:val="20"/>
          <w:szCs w:val="20"/>
          <w:color w:val="auto"/>
        </w:rPr>
      </w:pPr>
      <w:r>
        <w:rPr>
          <w:rFonts w:ascii="Courier New" w:cs="Courier New" w:eastAsia="Courier New" w:hAnsi="Courier New"/>
          <w:sz w:val="18"/>
          <w:szCs w:val="18"/>
          <w:color w:val="auto"/>
        </w:rPr>
        <w:t>4800 HAMPDEN LANE</w:t>
      </w:r>
    </w:p>
    <w:p>
      <w:pPr>
        <w:ind w:left="2860"/>
        <w:spacing w:after="0" w:line="238"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ind w:left="2740"/>
        <w:spacing w:after="0" w:line="238" w:lineRule="auto"/>
        <w:rPr>
          <w:sz w:val="20"/>
          <w:szCs w:val="20"/>
          <w:color w:val="auto"/>
        </w:rPr>
      </w:pPr>
      <w:r>
        <w:rPr>
          <w:rFonts w:ascii="Courier New" w:cs="Courier New" w:eastAsia="Courier New" w:hAnsi="Courier New"/>
          <w:sz w:val="18"/>
          <w:szCs w:val="18"/>
          <w:color w:val="auto"/>
        </w:rPr>
        <w:t>THOMAS F. COONEY, III, ESQ.</w:t>
      </w:r>
    </w:p>
    <w:p>
      <w:pPr>
        <w:ind w:left="2740"/>
        <w:spacing w:after="0"/>
        <w:rPr>
          <w:sz w:val="20"/>
          <w:szCs w:val="20"/>
          <w:color w:val="auto"/>
        </w:rPr>
      </w:pPr>
      <w:r>
        <w:rPr>
          <w:rFonts w:ascii="Courier New" w:cs="Courier New" w:eastAsia="Courier New" w:hAnsi="Courier New"/>
          <w:sz w:val="18"/>
          <w:szCs w:val="18"/>
          <w:color w:val="auto"/>
        </w:rPr>
        <w:t>KIRKPATRICK &amp; LOCKHART LLP</w:t>
      </w:r>
    </w:p>
    <w:p>
      <w:pPr>
        <w:ind w:left="3160"/>
        <w:spacing w:after="0" w:line="237" w:lineRule="auto"/>
        <w:rPr>
          <w:sz w:val="20"/>
          <w:szCs w:val="20"/>
          <w:color w:val="auto"/>
        </w:rPr>
      </w:pPr>
      <w:r>
        <w:rPr>
          <w:rFonts w:ascii="Courier New" w:cs="Courier New" w:eastAsia="Courier New" w:hAnsi="Courier New"/>
          <w:sz w:val="18"/>
          <w:szCs w:val="18"/>
          <w:color w:val="auto"/>
        </w:rPr>
        <w:t>1800 M STREET, N.W.</w:t>
      </w:r>
    </w:p>
    <w:p>
      <w:pPr>
        <w:ind w:left="2960"/>
        <w:spacing w:after="0" w:line="238" w:lineRule="auto"/>
        <w:rPr>
          <w:sz w:val="20"/>
          <w:szCs w:val="20"/>
          <w:color w:val="auto"/>
        </w:rPr>
      </w:pPr>
      <w:r>
        <w:rPr>
          <w:rFonts w:ascii="Courier New" w:cs="Courier New" w:eastAsia="Courier New" w:hAnsi="Courier New"/>
          <w:sz w:val="18"/>
          <w:szCs w:val="18"/>
          <w:color w:val="auto"/>
        </w:rPr>
        <w:t>WASHINGTON, D.C. 20036</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following the effective date of the Registration Statement.</w:t>
      </w:r>
    </w:p>
    <w:p>
      <w:pPr>
        <w:spacing w:after="0" w:line="6" w:lineRule="exact"/>
        <w:rPr>
          <w:sz w:val="24"/>
          <w:szCs w:val="24"/>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5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SUBJECT TO COMPLETION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PRELIMINARY PROSPECTUS DATED OCTOBER 3, 1995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337,527 SHARES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On September 22, 1995, the Trust privately placed 337,527 common shares of beneficial interest, no par or stated value (the "Shares"), to the shareholders of a corporation ("Holders") as consideration for the net assets and liabilities of the corporation ("Private Placement"), consisting primarily of a shopping center encumbered by a mortgage. The Shares offered hereby, or which may be offered hereby, are offered by or for the accounts of the Holders, none of which are "affiliates" of the Trust, as that term is defined in Rule 405 of the Securities Act of 1933, as amended. The Holders have advised the Trust that sales of the Shares may be made, from time to time, by or for the account of the Holders, on the New York Stock Exchange (once such Shares have been included for listing thereon), in private transactions, or otherwise, through broker-dealers. These sales will be made either at market prices prevailing at the time of sale or at negotiated prices. Broker-dealers may either act as agent for a Holder or may purchase any of the Shares as principal and thereafter may sell such Shares, from time to time, in transactions on the New York Stock Exchange at market prices prevailing at the time of sale, or at negotiated prices.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Pursuant to an agreement with the Trust, all expenses incurred by the Trust in connection with this offering are to be borne by the Trust except for brokers' commissions, if any, taxes and other similar selling expenses which are to be borne by the Holders. The Trust's Shares are listed on the New York Stock Exchange under the Symbol "FRT." The last reported sale price for the Shares on October 2, 1995 was $23 1/8.</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8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ind w:left="540"/>
        <w:spacing w:after="0" w:line="234" w:lineRule="auto"/>
        <w:rPr>
          <w:sz w:val="20"/>
          <w:szCs w:val="20"/>
          <w:color w:val="auto"/>
        </w:rPr>
      </w:pPr>
      <w:r>
        <w:rPr>
          <w:rFonts w:ascii="Courier New" w:cs="Courier New" w:eastAsia="Courier New" w:hAnsi="Courier New"/>
          <w:sz w:val="18"/>
          <w:szCs w:val="18"/>
          <w:color w:val="auto"/>
        </w:rPr>
        <w:t>REPRESENTATION TO THE CONTRARY IS A CRIMINAL OFFENSE.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210"/>
        <w:spacing w:after="0" w:line="235"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w:t>
      </w:r>
    </w:p>
    <w:p>
      <w:pPr>
        <w:jc w:val="center"/>
        <w:ind w:right="1879"/>
        <w:spacing w:after="0"/>
        <w:rPr>
          <w:sz w:val="20"/>
          <w:szCs w:val="20"/>
          <w:color w:val="auto"/>
        </w:rPr>
      </w:pPr>
      <w:r>
        <w:rPr>
          <w:rFonts w:ascii="Courier New" w:cs="Courier New" w:eastAsia="Courier New" w:hAnsi="Courier New"/>
          <w:sz w:val="18"/>
          <w:szCs w:val="18"/>
          <w:color w:val="auto"/>
        </w:rPr>
        <w:t>CONTRARY IS UNLAWFUL.</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tabs>
          <w:tab w:leader="none" w:pos="5880" w:val="left"/>
        </w:tabs>
        <w:rPr>
          <w:sz w:val="20"/>
          <w:szCs w:val="20"/>
          <w:color w:val="auto"/>
        </w:rPr>
      </w:pPr>
      <w:r>
        <w:rPr>
          <w:rFonts w:ascii="Courier New" w:cs="Courier New" w:eastAsia="Courier New" w:hAnsi="Courier New"/>
          <w:sz w:val="18"/>
          <w:szCs w:val="18"/>
          <w:color w:val="auto"/>
        </w:rPr>
        <w:t>The date of this Prospectus is October</w:t>
      </w:r>
      <w:r>
        <w:rPr>
          <w:sz w:val="20"/>
          <w:szCs w:val="20"/>
          <w:color w:val="auto"/>
        </w:rPr>
        <w:tab/>
      </w:r>
      <w:r>
        <w:rPr>
          <w:rFonts w:ascii="Courier New" w:cs="Courier New" w:eastAsia="Courier New" w:hAnsi="Courier New"/>
          <w:sz w:val="16"/>
          <w:szCs w:val="16"/>
          <w:color w:val="auto"/>
        </w:rPr>
        <w:t>, 1995.</w:t>
      </w:r>
    </w:p>
    <w:p>
      <w:pPr>
        <w:sectPr>
          <w:pgSz w:w="11900" w:h="16838" w:orient="portrait"/>
          <w:cols w:equalWidth="0" w:num="1">
            <w:col w:w="10219"/>
          </w:cols>
          <w:pgMar w:left="240" w:top="723"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w w:val="98"/>
              </w:rPr>
              <w:t>The Trust will provide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without charge to</w:t>
            </w:r>
          </w:p>
        </w:tc>
        <w:tc>
          <w:tcPr>
            <w:tcW w:w="3680" w:type="dxa"/>
            <w:vAlign w:val="bottom"/>
          </w:tcPr>
          <w:p>
            <w:pPr>
              <w:spacing w:after="0"/>
              <w:rPr>
                <w:sz w:val="20"/>
                <w:szCs w:val="20"/>
                <w:color w:val="auto"/>
              </w:rPr>
            </w:pPr>
            <w:r>
              <w:rPr>
                <w:rFonts w:ascii="Courier New" w:cs="Courier New" w:eastAsia="Courier New" w:hAnsi="Courier New"/>
                <w:sz w:val="18"/>
                <w:szCs w:val="18"/>
                <w:color w:val="auto"/>
                <w:w w:val="99"/>
              </w:rPr>
              <w:t>each person to whom a copy of this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Prospectus is delivered,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upon their written</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or oral request, a copy of any or</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all of the documents incorporated herein by</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reference (other than exhibits to</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such documents). Written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requests for such</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copies should be addressed to Kathy</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Klein, Director--Corporate Communications,</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Investment Trust,</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4800 Hampden Lane, Bethesda, Maryland 20814</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(telephone 301/652-3360).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thereof: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Reports on Form 8-K filed with the Commission on May 26, 1995, August 16, 1995 and September 22, 1995.</w:t>
      </w:r>
    </w:p>
    <w:p>
      <w:pPr>
        <w:spacing w:after="0" w:line="208" w:lineRule="exact"/>
        <w:rPr>
          <w:rFonts w:ascii="Courier New" w:cs="Courier New" w:eastAsia="Courier New" w:hAnsi="Courier New"/>
          <w:sz w:val="18"/>
          <w:szCs w:val="18"/>
          <w:color w:val="auto"/>
        </w:rPr>
      </w:pPr>
    </w:p>
    <w:p>
      <w:pPr>
        <w:ind w:left="220" w:right="2099" w:firstLine="209"/>
        <w:spacing w:after="0" w:line="236"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the Trust subsequently files pursuant to Sections 13(a), 13(c), 14 or 15(d) of the Securities Exchange Act of 1934, as amended, prior to the termination of this offering.</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At that date, the shopping center portfolio had approximately 11.5 million rentable square feet. At June 30, 1995, the occupancy rate of the core shopping center portfolio (which excluded centers acquired in the previous twelve months and centers under redevelopment) was 94%. Including all shopping centers owned at June 30, 1995, the occupancy rate was also 94%.</w:t>
      </w:r>
    </w:p>
    <w:p>
      <w:pPr>
        <w:spacing w:after="0" w:line="216"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Trust intends to continue its acquisition and redevelopment activities in the second half of 1995. Acquisitions are being considered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 In August 1995, the Trust purchased a retail building in Westfield, New Jersey for approximately $2.1 million. On August 1, 1995, the Trust sold North City Shopping Center for $1.8 million. In September 1995, the Trust purchased a retail building in Brookline, Massachusetts for approximately $3.7 million, and a retail building in Evanston, Illinois for approximately $1 million. On September 22, 1995, the Trust purchased Bristol Shopping Plaza in Bristol, Connecticut for approximately $19 million. In connection with this transaction, the Trust assumed a mortgage with a balance</w:t>
      </w:r>
    </w:p>
    <w:p>
      <w:pPr>
        <w:sectPr>
          <w:pgSz w:w="11900" w:h="16838" w:orient="portrait"/>
          <w:cols w:equalWidth="0" w:num="1">
            <w:col w:w="10219"/>
          </w:cols>
          <w:pgMar w:left="240" w:top="717" w:right="1440" w:bottom="0" w:gutter="0" w:footer="0" w:header="0"/>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of approximately $11.3 million and issued the Shares valued at $21.75 per Share.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Trust will receive no proceeds from the sale, if any, of the Shares by the Holders.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DISTRIBUTIONS</w:t>
            </w:r>
          </w:p>
        </w:tc>
      </w:tr>
      <w:tr>
        <w:trPr>
          <w:trHeight w:val="203"/>
        </w:trPr>
        <w:tc>
          <w:tcPr>
            <w:tcW w:w="26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HIGH</w:t>
            </w:r>
          </w:p>
        </w:tc>
        <w:tc>
          <w:tcPr>
            <w:tcW w:w="46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LOW</w:t>
            </w:r>
          </w:p>
        </w:tc>
        <w:tc>
          <w:tcPr>
            <w:tcW w:w="360" w:type="dxa"/>
            <w:vAlign w:val="bottom"/>
          </w:tcPr>
          <w:p>
            <w:pPr>
              <w:spacing w:after="0"/>
              <w:rPr>
                <w:sz w:val="17"/>
                <w:szCs w:val="17"/>
                <w:color w:val="auto"/>
              </w:rPr>
            </w:pP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PAID</w:t>
            </w:r>
          </w:p>
        </w:tc>
      </w:tr>
      <w:tr>
        <w:trPr>
          <w:trHeight w:val="203"/>
        </w:trPr>
        <w:tc>
          <w:tcPr>
            <w:tcW w:w="26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w:t>
            </w:r>
          </w:p>
        </w:tc>
        <w:tc>
          <w:tcPr>
            <w:tcW w:w="360" w:type="dxa"/>
            <w:vAlign w:val="bottom"/>
          </w:tcPr>
          <w:p>
            <w:pPr>
              <w:spacing w:after="0"/>
              <w:rPr>
                <w:sz w:val="17"/>
                <w:szCs w:val="17"/>
                <w:color w:val="auto"/>
              </w:rPr>
            </w:pP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1st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4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 7/8</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2nd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3/4</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3rd Quarter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1/2</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4th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1/8</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1st Quarter.............</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$29 1/2</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spacing w:after="0"/>
              <w:rPr>
                <w:sz w:val="17"/>
                <w:szCs w:val="17"/>
                <w:color w:val="auto"/>
              </w:rPr>
            </w:pP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2nd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1/2</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3rd Quarter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spacing w:after="0"/>
              <w:rPr>
                <w:sz w:val="17"/>
                <w:szCs w:val="17"/>
                <w:color w:val="auto"/>
              </w:rPr>
            </w:pP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4th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5/8</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1st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4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 1/4</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2nd Quarter.............</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3/4</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3rd Quarter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1/8</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4th Quarter (through Oc-</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tober 2)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1/4</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October 2, 1995, was $23 1/8 per Share. As of December 31, 1994, there were 4,549 registered holders of Shares.</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 has made 131 consecutive quarterly distributions and has increased its distribution rate every year for each of the last 28 years. On September 13, 1995 the Trust declared its quarterly dividend in the amount of $.41 per Share, payable October 13, 1995. The current indicated annual distribution rate is $1.64 per Share. The Trust's ability to make distributions depends on a number of factors, including its net cash provided by operating activities, capital commitments and debt repayment schedules.</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1990,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580" w:type="dxa"/>
            <w:vAlign w:val="bottom"/>
          </w:tcPr>
          <w:p>
            <w:pPr>
              <w:spacing w:after="0"/>
              <w:rPr>
                <w:sz w:val="17"/>
                <w:szCs w:val="17"/>
                <w:color w:val="auto"/>
              </w:rPr>
            </w:pP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1990</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4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80" w:type="dxa"/>
            <w:vAlign w:val="bottom"/>
          </w:tcPr>
          <w:p>
            <w:pPr>
              <w:spacing w:after="0"/>
              <w:rPr>
                <w:sz w:val="20"/>
                <w:szCs w:val="20"/>
                <w:color w:val="auto"/>
              </w:rPr>
            </w:pPr>
            <w:r>
              <w:rPr>
                <w:rFonts w:ascii="Courier New" w:cs="Courier New" w:eastAsia="Courier New" w:hAnsi="Courier New"/>
                <w:sz w:val="18"/>
                <w:szCs w:val="18"/>
                <w:color w:val="auto"/>
                <w:w w:val="98"/>
              </w:rPr>
              <w:t>Ordinary income............................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 gains..............................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Return of capital..........................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5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w w:val="97"/>
              </w:rPr>
              <w:t>Total Distributions made</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w w:val="96"/>
              </w:rPr>
              <w:t>................... $1.42</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$1.49</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$1.525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$1.545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$1.565</w:t>
            </w:r>
          </w:p>
        </w:tc>
      </w:tr>
      <w:tr>
        <w:trPr>
          <w:trHeight w:val="203"/>
        </w:trPr>
        <w:tc>
          <w:tcPr>
            <w:tcW w:w="254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540" w:type="dxa"/>
            <w:vAlign w:val="bottom"/>
          </w:tcPr>
          <w:p>
            <w:pPr>
              <w:spacing w:after="0"/>
              <w:rPr>
                <w:sz w:val="24"/>
                <w:szCs w:val="24"/>
                <w:color w:val="auto"/>
              </w:rPr>
            </w:pPr>
          </w:p>
        </w:tc>
        <w:tc>
          <w:tcPr>
            <w:tcW w:w="268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3</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9899"/>
          </w:cols>
          <w:pgMar w:left="560" w:top="136" w:right="1440" w:bottom="1440" w:gutter="0" w:footer="0" w:header="0"/>
        </w:sectPr>
      </w:pPr>
    </w:p>
    <w:bookmarkStart w:id="6" w:name="page7"/>
    <w:bookmarkEnd w:id="6"/>
    <w:p>
      <w:pPr>
        <w:ind w:right="2099" w:firstLine="211"/>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DETERMINATION OF OFFERING PRICE</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Shares offered hereby, or which may be offered hereby, will be offered at prevailing market prices at the time of such sale or at negotiated prices.</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Sales of the Shares by the Holders, if any, will be made in open market transactions on the New York Stock Exchange (once the Shares are included for listing thereon), or in private transactions. Broker-dealers may either act as agent for a Holder or may purchase any of the Shares as principal and thereafter may sell such Shares, from time to time, in transactions on the New York Stock Exchange at market prices prevailing at the time of sale, or at negotiated prices.</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SELLING SECURITY 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are the Carpenter Realty Company, Colonial Realty Corp. and Blair Beach, constituting all of the shareholders of Bristol Shopping Plaza, Inc. The Trust privately placed the Shares with the Holders as consideration for the net assets and liabilities of Bristol Shopping Plaza, Inc., valued at approximately $7.7 million and consisting primarily of a 250,000 square foot shopping center in Bristol, Connecticut. None of the Holders has had any material relationship or held any position or office with the Trust or any of its affiliates. At September 22, 1995, the table below sets forth the ownership by the Holders of Shares of the Trust and the amount of Shares to be offered by each Holder: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SHARES OFFERED</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SHARES HELD</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HEREBY</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w w:val="98"/>
              </w:rPr>
              <w:t>Carpenter Realty Company.......................</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112,509</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112,509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Colonial Realty Corp...........................</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112,509</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112,509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Blair Beach....................................</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112,709</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112,509</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SHARES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are issued pursuant to the Third Amended and Restated Declaration of Trust (the "Declaration of Trust"). The Shares (no par or stated value) are equal with respect to distribution and liquidation rights, are not convertible, have no preemptive rights to subscribe for additional Shares, are nonassessable (except as described under "Shareholder Liability" below) and are transferrable in the same manner as shares of a corporation. Each shareholder is entitled to one vote in person or by proxy for each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Shares offered hereby by the Trust will be, when issued, fully paid and nonassessable (except as described under "Shareholder Liability" below). Without shareholder approval, the Trust may issue an unlimited number of securities, warrants, rights, or other options to purchase Shares and other securities convertible into Shares. None of the Shares being offered hereby is being offered by or on behalf of the Trust.</w:t>
      </w:r>
    </w:p>
    <w:p>
      <w:pPr>
        <w:spacing w:after="0" w:line="210" w:lineRule="exact"/>
        <w:rPr>
          <w:sz w:val="20"/>
          <w:szCs w:val="20"/>
          <w:color w:val="auto"/>
        </w:rPr>
      </w:pPr>
    </w:p>
    <w:p>
      <w:pPr>
        <w:ind w:right="2739" w:firstLine="211"/>
        <w:spacing w:after="0" w:line="237" w:lineRule="auto"/>
        <w:rPr>
          <w:sz w:val="20"/>
          <w:szCs w:val="20"/>
          <w:color w:val="auto"/>
        </w:rPr>
      </w:pPr>
      <w:r>
        <w:rPr>
          <w:rFonts w:ascii="Courier New" w:cs="Courier New" w:eastAsia="Courier New" w:hAnsi="Courier New"/>
          <w:sz w:val="18"/>
          <w:szCs w:val="18"/>
          <w:color w:val="auto"/>
        </w:rPr>
        <w:t>Several provisions in the Declaration of Trust may have the effect of deterring a take-over of the Trust. These provisions (i) establish the percentage of outstanding Shares required to approve certain matters, including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970" w:gutter="0" w:footer="0" w:header="0"/>
        </w:sectPr>
      </w:pPr>
    </w:p>
    <w:bookmarkStart w:id="7" w:name="page8"/>
    <w:bookmarkEnd w:id="7"/>
    <w:p>
      <w:pPr>
        <w:ind w:right="1999"/>
        <w:spacing w:after="0" w:line="238" w:lineRule="auto"/>
        <w:rPr>
          <w:sz w:val="20"/>
          <w:szCs w:val="20"/>
          <w:color w:val="auto"/>
        </w:rPr>
      </w:pPr>
      <w:r>
        <w:rPr>
          <w:rFonts w:ascii="Courier New" w:cs="Courier New" w:eastAsia="Courier New" w:hAnsi="Courier New"/>
          <w:sz w:val="18"/>
          <w:szCs w:val="18"/>
          <w:color w:val="auto"/>
        </w:rPr>
        <w:t>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Shares by a single person to 9.8% of such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Shares for certain defined "business combinations" with shareholders owning more than 9.8% of Shares or their affiliates if the transaction is neither approved by the Board of Trustees nor meets certain price and procedural conditions.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13, 1989, the Trustees adopted a Shareholder Rights Plan (the "Plan"). Under the Plan, one right was issued for each outstanding Share held as of April 24, 1989, and a right will be attached to each Share issued in the future. The rights authorize the holders to purchase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on April 24,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Trust operates in a manner intended to qualify for treatment as a real estate investment trust under Sections 856 to 860 of the Code. In general, a real estate investment trust that distributes to its shareholders at least 95% of its taxable income (other than net capital gain) for a taxable year and that meets certain other conditions will not be taxed on income (including net capital gain) distributed for that year. If the Trust fails to qualify in any taxable year, it will be taxed as a corporation for that year, and distributions to shareholders will not be deductible by the Trust in computing its taxable income. Under certain circumstances, the Trust also will be disqualified from being treated as a real estate investment trust for the ensuing four taxable years. The Trust may, at its election, redeem Shares if the Trustees believe in good faith that the ownership interest of the holder of such Shares might adversely affect the federal income tax status of the Trust or its shareholders. Redemption in such circumstances will be at the fair market value of the Shares as determined in good faith by the Trustees.</w:t>
      </w:r>
    </w:p>
    <w:p>
      <w:pPr>
        <w:spacing w:after="0" w:line="184"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Certain REIT tax matters relating to the Trust are being passed upon by Goodwin, Procter &amp; Hoar, Exchange Place, Boston, Massachusetts 02109.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Shares with respect to which the distribution is paid or, to the extent that they exceed such basis, will be taxed in the same manner as gain from the sale of those Shares.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Shares offered hereby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Shares is American Stock Transfer &amp; Trust Company, New York, New York.</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Shares offered hereby is being passed upon for the Trust by Kirkpatrick &amp; Lockhart LLP, 1800 M Street, N.W., Washington, D.C. 20036. Certain REIT tax matters relating to the Trust are being passed upon by Goodwin, Procter &amp; Hoar, Exchange Place, Boston, Massachusetts 02109.</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Act.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Statement of Revenue and Certain Expenses of Sidcor Finley Associates for the year ended December 31, 1994, included in the Trust's Current Report on Form 8-K filed with the Securities and Exchange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THE TRUST. THIS PROSPECTUS DOES NOT CONSTITUTE AN OFFER TO SELL, OR A SOLICITATION OF AN OFFER TO BUY, THE SHARES IN ANY JURISDICTION WHERE, OR TO ANY PERSON TO WHOM, IT IS UNLAWFUL TO MAKE SUCH OFFER OR SOLICITATION. NEITHER THE DELIVERY OF THIS PROSPECTUS NOR ANY SALE MADE HEREUNDER SHALL, UNDER ANY CIRCUMSTANCES, CREATE AN IMPLICATION THAT THERE HAS NOT BEEN ANY CHANGE IN THE FACTS SET FORTH IN THIS PROSPECTUS OR IN THE AFFAIRS OF THE TRUST SINCE THE DATE HEREOF.</w:t>
      </w: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the Shares and Distributions................................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Determination of Offering Price............................................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Security 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337,527 SHARES</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OCTOBER</w:t>
      </w:r>
      <w:r>
        <w:rPr>
          <w:sz w:val="20"/>
          <w:szCs w:val="20"/>
          <w:color w:val="auto"/>
        </w:rPr>
        <w:tab/>
      </w:r>
      <w:r>
        <w:rPr>
          <w:rFonts w:ascii="Courier New" w:cs="Courier New" w:eastAsia="Courier New" w:hAnsi="Courier New"/>
          <w:sz w:val="16"/>
          <w:szCs w:val="16"/>
          <w:color w:val="auto"/>
        </w:rPr>
        <w:t>, 1995</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ISSUANCES AND DISTRIBUTION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w w:val="98"/>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$ 2,883</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 Exchange Listing Fee..............................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Engraving Costs.....................................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Accounting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Legal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Agent and Registrar's Fees..............................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Miscellaneous....................................................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9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Total</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9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he is personally liable as stated above.</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420"/>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Amended and Restated Declaration of Trust+</w:t>
      </w:r>
    </w:p>
    <w:p>
      <w:pPr>
        <w:ind w:left="1060" w:hanging="420"/>
        <w:spacing w:after="0" w:line="238"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ind w:left="1060" w:hanging="420"/>
        <w:spacing w:after="0" w:line="238"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1060" w:hanging="525"/>
        <w:spacing w:after="0"/>
        <w:tabs>
          <w:tab w:leader="none" w:pos="106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 II-3)</w:t>
      </w:r>
    </w:p>
    <w:p>
      <w:pPr>
        <w:ind w:left="1060" w:hanging="525"/>
        <w:spacing w:after="0" w:line="238" w:lineRule="auto"/>
        <w:tabs>
          <w:tab w:leader="none" w:pos="10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Independent Accountants (included on II-3)</w:t>
      </w:r>
    </w:p>
    <w:p>
      <w:pPr>
        <w:ind w:left="1060" w:hanging="525"/>
        <w:spacing w:after="0" w:line="238" w:lineRule="auto"/>
        <w:tabs>
          <w:tab w:leader="none" w:pos="10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of Counsel (included in opinions)</w:t>
      </w:r>
    </w:p>
    <w:p>
      <w:pPr>
        <w:ind w:left="1060" w:hanging="525"/>
        <w:spacing w:after="0" w:line="238" w:lineRule="auto"/>
        <w:tabs>
          <w:tab w:leader="none" w:pos="10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2099" w:hanging="201"/>
        <w:spacing w:after="0" w:line="235" w:lineRule="auto"/>
        <w:tabs>
          <w:tab w:leader="none" w:pos="4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Registration Statement No. 33-30912, dated September 12, 1989.</w:t>
      </w:r>
    </w:p>
    <w:p>
      <w:pPr>
        <w:ind w:left="220"/>
        <w:spacing w:after="0"/>
        <w:rPr>
          <w:sz w:val="20"/>
          <w:szCs w:val="20"/>
          <w:color w:val="auto"/>
        </w:rPr>
      </w:pPr>
      <w:r>
        <w:rPr>
          <w:rFonts w:ascii="Courier New" w:cs="Courier New" w:eastAsia="Courier New" w:hAnsi="Courier New"/>
          <w:sz w:val="18"/>
          <w:szCs w:val="18"/>
          <w:color w:val="auto"/>
        </w:rPr>
        <w:t>*Previously filed.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999"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file, during any period in which offers or sales are being made, a post-effective amendment to this registration statement: (a) to include any prospectus required by section 10(a)(3) of the Securities Act of 1933; (b)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(c) to include any material information with respect to the plan of distribution not previously disclosed in the registration statement or any material change to such information in the registration statement.</w:t>
      </w:r>
    </w:p>
    <w:p>
      <w:pPr>
        <w:spacing w:after="0" w:line="215"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12" w:name="page13"/>
    <w:bookmarkEnd w:id="12"/>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issued our reports dated February 10, 1995, accompanying the consolidated financial statements of Federal Realty Investment Trust appearing in the 1994 Annual Report of the Trust to its shareholders and accompanying the schedules included in the Annual Report on Form 10-K for the year ended December 31, 1994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3, 1995</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issued our report dated June 13, 1995 accompanying the Statement of Revenue and Certain Expenses of Sidcor Finley Associates for the year ended December 31, 1994 included in the Trust's Current Report on Form 8-K filed with the Securities and Exchange Commission on September 22, 1995, which are incorporated by reference in this Registration Statement. We hereby consent to the incorporation by reference of said report in this Registration Statement and the related Prospectus and to the use of our name as it appears under the caption "Experts."</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Warady &amp; Davis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Deerfield, Illinois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3, 1995</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ACKNOWLEDGEMENT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hereby acknowledge our awareness of the use of our reports included in the Trust's Quarterly Reports on Form 10-Q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 7 and 11 of the Act.</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3, 1995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CONSENTS OF COUNSEL</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Kirkpatrick &amp; Lockhart LLP is contained in its opinion filed as Exhibit 5 to this Registration Statement.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Goodwin, Procter &amp; Hoar is contained in its opinion filed as Exhibit 8 to this Registration Statement.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2 TO THIS REGISTRATION STATEMENT TO BE SIGNED ON ITS BEHALF BY THE UNDERSIGNED, THEREUNTO DULY AUTHORIZED IN THE STATE OF MARYLAND ON THIS 3RD DAY OF OCTOBER 1995.</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STEVEN J. GUTTMAN, PRESIDENT</w:t>
      </w:r>
    </w:p>
    <w:p>
      <w:pPr>
        <w:spacing w:after="0" w:line="200" w:lineRule="exact"/>
        <w:rPr>
          <w:sz w:val="20"/>
          <w:szCs w:val="20"/>
          <w:color w:val="auto"/>
        </w:rPr>
      </w:pPr>
    </w:p>
    <w:p>
      <w:pPr>
        <w:sectPr>
          <w:pgSz w:w="11900" w:h="16838" w:orient="portrait"/>
          <w:cols w:equalWidth="0" w:num="2">
            <w:col w:w="4740" w:space="120"/>
            <w:col w:w="5359"/>
          </w:cols>
          <w:pgMar w:left="240" w:top="717" w:right="1440" w:bottom="1440" w:gutter="0" w:footer="0" w:header="0"/>
          <w:type w:val="continuous"/>
        </w:sectPr>
      </w:pPr>
    </w:p>
    <w:p>
      <w:pPr>
        <w:spacing w:after="0" w:line="7" w:lineRule="exact"/>
        <w:rPr>
          <w:sz w:val="20"/>
          <w:szCs w:val="20"/>
          <w:color w:val="auto"/>
        </w:rPr>
      </w:pPr>
    </w:p>
    <w:p>
      <w:pPr>
        <w:ind w:right="2199" w:firstLine="211"/>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AMENDMENT NO. 2 TO THIS FORM S-3 REGISTRATION STATEMENT HAS BEEN SIGNED BELOW BY THE FOLLOWING PERSONS IN THE CAPACITIES AND ON THE DATE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SIGNATURES</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TITLE</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41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/s/ Steven J. Guttman</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President and</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Trustee (Chief</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STEVEN J. GUTTMAN</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800" w:type="dxa"/>
            <w:vAlign w:val="bottom"/>
          </w:tcPr>
          <w:p>
            <w:pPr>
              <w:spacing w:after="0"/>
              <w:rPr>
                <w:sz w:val="17"/>
                <w:szCs w:val="17"/>
                <w:color w:val="auto"/>
              </w:rPr>
            </w:pPr>
          </w:p>
        </w:tc>
      </w:tr>
      <w:tr>
        <w:trPr>
          <w:trHeight w:val="405"/>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Mary Jane Morrow</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Senior Vice</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Finance &amp;</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MARY JANE MORROW</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Treasurer (Chief</w:t>
            </w:r>
          </w:p>
        </w:tc>
        <w:tc>
          <w:tcPr>
            <w:tcW w:w="18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800" w:type="dxa"/>
            <w:vAlign w:val="bottom"/>
          </w:tcPr>
          <w:p>
            <w:pPr>
              <w:spacing w:after="0"/>
              <w:rPr>
                <w:sz w:val="17"/>
                <w:szCs w:val="17"/>
                <w:color w:val="auto"/>
              </w:rPr>
            </w:pPr>
          </w:p>
        </w:tc>
      </w:tr>
      <w:tr>
        <w:trPr>
          <w:trHeight w:val="405"/>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Cecily A. Ward</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Controller (Chief</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CECILY A. WARD</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1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/s/ Dennis L. Berman*</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Trustee</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DENNIS L. BERMAN</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1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Trustee</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KRISTIN GAMBLE</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12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/s/ Samuel J. Gorlitz*</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Trustee</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SAMUEL J. GORLITZ</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12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7"/>
              </w:rPr>
              <w:t>/s/ Morton Lerner*</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Trustee</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MORTON LERNER</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41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/s/ Walter F. Loeb*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Trustee</w:t>
            </w:r>
          </w:p>
        </w:tc>
        <w:tc>
          <w:tcPr>
            <w:tcW w:w="1800" w:type="dxa"/>
            <w:vAlign w:val="bottom"/>
          </w:tcPr>
          <w:p>
            <w:pPr>
              <w:spacing w:after="0"/>
              <w:rPr>
                <w:sz w:val="24"/>
                <w:szCs w:val="24"/>
                <w:color w:val="auto"/>
              </w:rPr>
            </w:pPr>
          </w:p>
        </w:tc>
      </w:tr>
      <w:tr>
        <w:trPr>
          <w:trHeight w:val="203"/>
        </w:trPr>
        <w:tc>
          <w:tcPr>
            <w:tcW w:w="4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520" w:type="dxa"/>
            <w:vAlign w:val="bottom"/>
          </w:tcPr>
          <w:p>
            <w:pPr>
              <w:spacing w:after="0"/>
              <w:rPr>
                <w:sz w:val="17"/>
                <w:szCs w:val="17"/>
                <w:color w:val="auto"/>
              </w:rPr>
            </w:pP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October 3, 1995</w:t>
            </w:r>
          </w:p>
        </w:tc>
      </w:tr>
      <w:tr>
        <w:trPr>
          <w:trHeight w:val="203"/>
        </w:trPr>
        <w:tc>
          <w:tcPr>
            <w:tcW w:w="412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WALTER F. LOEB</w:t>
            </w:r>
          </w:p>
        </w:tc>
        <w:tc>
          <w:tcPr>
            <w:tcW w:w="252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type w:val="continuous"/>
        </w:sectPr>
      </w:pPr>
    </w:p>
    <w:bookmarkStart w:id="14" w:name="page15"/>
    <w:bookmarkEnd w:id="14"/>
    <w:p>
      <w:pPr>
        <w:spacing w:after="0" w:line="6"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4340" w:space="720"/>
            <w:col w:w="1500" w:space="720"/>
            <w:col w:w="2939"/>
          </w:cols>
          <w:pgMar w:left="240" w:top="717" w:right="1440" w:bottom="1440" w:gutter="0" w:footer="0" w:header="0"/>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 George Perry*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21"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3, 1995</w:t>
      </w:r>
    </w:p>
    <w:p>
      <w:pPr>
        <w:spacing w:after="0" w:line="21" w:lineRule="exact"/>
        <w:rPr>
          <w:sz w:val="20"/>
          <w:szCs w:val="20"/>
          <w:color w:val="auto"/>
        </w:rPr>
      </w:pPr>
    </w:p>
    <w:p>
      <w:pPr>
        <w:sectPr>
          <w:pgSz w:w="11900" w:h="16838" w:orient="portrait"/>
          <w:cols w:equalWidth="0" w:num="2">
            <w:col w:w="6140" w:space="720"/>
            <w:col w:w="3359"/>
          </w:cols>
          <w:pgMar w:left="240" w:top="717"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GEORGE PERRY</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 Donald H. Misner*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1"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3, 1995</w:t>
      </w:r>
    </w:p>
    <w:p>
      <w:pPr>
        <w:spacing w:after="0" w:line="21" w:lineRule="exact"/>
        <w:rPr>
          <w:sz w:val="20"/>
          <w:szCs w:val="20"/>
          <w:color w:val="auto"/>
        </w:rPr>
      </w:pPr>
    </w:p>
    <w:p>
      <w:pPr>
        <w:sectPr>
          <w:pgSz w:w="11900" w:h="16838" w:orient="portrait"/>
          <w:cols w:equalWidth="0" w:num="2">
            <w:col w:w="6140" w:space="720"/>
            <w:col w:w="3359"/>
          </w:cols>
          <w:pgMar w:left="240" w:top="717"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DONALD H. MISNER</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A. Cornet De Ways Ruart*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21"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October 3, 1995</w:t>
      </w:r>
    </w:p>
    <w:p>
      <w:pPr>
        <w:spacing w:after="0" w:line="21" w:lineRule="exact"/>
        <w:rPr>
          <w:sz w:val="20"/>
          <w:szCs w:val="20"/>
          <w:color w:val="auto"/>
        </w:rPr>
      </w:pPr>
    </w:p>
    <w:p>
      <w:pPr>
        <w:sectPr>
          <w:pgSz w:w="11900" w:h="16838" w:orient="portrait"/>
          <w:cols w:equalWidth="0" w:num="2">
            <w:col w:w="6140" w:space="720"/>
            <w:col w:w="3359"/>
          </w:cols>
          <w:pgMar w:left="240" w:top="717" w:right="1440" w:bottom="144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A. CORNET DE WAYS RUART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right="2519" w:firstLine="8"/>
        <w:spacing w:after="0" w:line="235"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by Steven J. Guttman pursuant to a Power of Attorney, previously filed.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type w:val="continuous"/>
        </w:sectPr>
      </w:pPr>
    </w:p>
    <w:bookmarkStart w:id="15" w:name="page16"/>
    <w:bookmarkEnd w:id="15"/>
    <w:tbl>
      <w:tblPr>
        <w:tblLayout w:type="fixed"/>
        <w:tblInd w:w="12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rPr>
              <w:t>EXHIBIT INDEX</w:t>
            </w:r>
          </w:p>
        </w:tc>
        <w:tc>
          <w:tcPr>
            <w:tcW w:w="1020" w:type="dxa"/>
            <w:vAlign w:val="bottom"/>
          </w:tcPr>
          <w:p>
            <w:pPr>
              <w:spacing w:after="0"/>
              <w:rPr>
                <w:sz w:val="17"/>
                <w:szCs w:val="17"/>
                <w:color w:val="auto"/>
              </w:rPr>
            </w:pPr>
          </w:p>
        </w:tc>
      </w:tr>
      <w:tr>
        <w:trPr>
          <w:trHeight w:val="810"/>
        </w:trPr>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 NO.</w:t>
            </w:r>
          </w:p>
        </w:tc>
        <w:tc>
          <w:tcPr>
            <w:tcW w:w="1900" w:type="dxa"/>
            <w:vAlign w:val="bottom"/>
          </w:tcPr>
          <w:p>
            <w:pPr>
              <w:spacing w:after="0"/>
              <w:rPr>
                <w:sz w:val="24"/>
                <w:szCs w:val="24"/>
                <w:color w:val="auto"/>
              </w:rPr>
            </w:pPr>
          </w:p>
        </w:tc>
        <w:tc>
          <w:tcPr>
            <w:tcW w:w="4100" w:type="dxa"/>
            <w:vAlign w:val="bottom"/>
          </w:tcPr>
          <w:p>
            <w:pPr>
              <w:ind w:left="900"/>
              <w:spacing w:after="0"/>
              <w:rPr>
                <w:sz w:val="20"/>
                <w:szCs w:val="20"/>
                <w:color w:val="auto"/>
              </w:rPr>
            </w:pPr>
            <w:r>
              <w:rPr>
                <w:rFonts w:ascii="Courier New" w:cs="Courier New" w:eastAsia="Courier New" w:hAnsi="Courier New"/>
                <w:sz w:val="18"/>
                <w:szCs w:val="18"/>
                <w:color w:val="auto"/>
              </w:rPr>
              <w:t>ITEM</w:t>
            </w:r>
          </w:p>
        </w:tc>
        <w:tc>
          <w:tcPr>
            <w:tcW w:w="1020" w:type="dxa"/>
            <w:vAlign w:val="bottom"/>
          </w:tcPr>
          <w:p>
            <w:pPr>
              <w:ind w:left="16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900" w:type="dxa"/>
            <w:vAlign w:val="bottom"/>
          </w:tcPr>
          <w:p>
            <w:pPr>
              <w:spacing w:after="0"/>
              <w:rPr>
                <w:sz w:val="17"/>
                <w:szCs w:val="17"/>
                <w:color w:val="auto"/>
              </w:rPr>
            </w:pPr>
          </w:p>
        </w:tc>
        <w:tc>
          <w:tcPr>
            <w:tcW w:w="41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Third Amended and</w:t>
            </w:r>
          </w:p>
        </w:tc>
        <w:tc>
          <w:tcPr>
            <w:tcW w:w="4100" w:type="dxa"/>
            <w:vAlign w:val="bottom"/>
          </w:tcPr>
          <w:p>
            <w:pPr>
              <w:ind w:left="60"/>
              <w:spacing w:after="0"/>
              <w:rPr>
                <w:sz w:val="20"/>
                <w:szCs w:val="20"/>
                <w:color w:val="auto"/>
              </w:rPr>
            </w:pPr>
            <w:r>
              <w:rPr>
                <w:rFonts w:ascii="Courier New" w:cs="Courier New" w:eastAsia="Courier New" w:hAnsi="Courier New"/>
                <w:sz w:val="18"/>
                <w:szCs w:val="18"/>
                <w:color w:val="auto"/>
              </w:rPr>
              <w:t>Restated Declaration of Trust........</w:t>
            </w:r>
          </w:p>
        </w:tc>
        <w:tc>
          <w:tcPr>
            <w:tcW w:w="10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Opinion regarding</w:t>
            </w: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legality.............................</w:t>
            </w:r>
          </w:p>
        </w:tc>
        <w:tc>
          <w:tcPr>
            <w:tcW w:w="1020" w:type="dxa"/>
            <w:vAlign w:val="bottom"/>
          </w:tcPr>
          <w:p>
            <w:pPr>
              <w:spacing w:after="0"/>
              <w:rPr>
                <w:sz w:val="17"/>
                <w:szCs w:val="17"/>
                <w:color w:val="auto"/>
              </w:rPr>
            </w:pPr>
          </w:p>
        </w:tc>
      </w:tr>
    </w:tbl>
    <w:p>
      <w:pPr>
        <w:ind w:left="1380" w:hanging="1056"/>
        <w:spacing w:after="0" w:line="238"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w:t>
      </w:r>
    </w:p>
    <w:tbl>
      <w:tblPr>
        <w:tblLayout w:type="fixed"/>
        <w:tblInd w:w="220" w:type="dxa"/>
        <w:tblCellMar>
          <w:top w:w="0" w:type="dxa"/>
          <w:left w:w="0" w:type="dxa"/>
          <w:bottom w:w="0" w:type="dxa"/>
          <w:right w:w="0" w:type="dxa"/>
        </w:tblCellMar>
      </w:tblPr>
      <w:tr>
        <w:trPr>
          <w:trHeight w:val="203"/>
        </w:trPr>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(15)</w:t>
            </w:r>
          </w:p>
        </w:tc>
        <w:tc>
          <w:tcPr>
            <w:tcW w:w="65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II-3)..................................................</w:t>
            </w:r>
          </w:p>
        </w:tc>
        <w:tc>
          <w:tcPr>
            <w:tcW w:w="48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w:t>
            </w:r>
          </w:p>
        </w:tc>
        <w:tc>
          <w:tcPr>
            <w:tcW w:w="6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Consent of Independent Accountants (included on II-3)..</w:t>
            </w:r>
          </w:p>
        </w:tc>
        <w:tc>
          <w:tcPr>
            <w:tcW w:w="48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(23)</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Consents</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Counsel (included in opinions).............</w:t>
            </w:r>
          </w:p>
        </w:tc>
        <w:tc>
          <w:tcPr>
            <w:tcW w:w="480" w:type="dxa"/>
            <w:vAlign w:val="bottom"/>
          </w:tcPr>
          <w:p>
            <w:pPr>
              <w:spacing w:after="0"/>
              <w:rPr>
                <w:sz w:val="17"/>
                <w:szCs w:val="17"/>
                <w:color w:val="auto"/>
              </w:rPr>
            </w:pP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(24)</w:t>
            </w:r>
          </w:p>
        </w:tc>
        <w:tc>
          <w:tcPr>
            <w:tcW w:w="13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Power of</w:t>
            </w:r>
          </w:p>
        </w:tc>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 (included on signature page).........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Registration Statement No. 33-30912, dated</w:t>
      </w:r>
    </w:p>
    <w:p>
      <w:pPr>
        <w:ind w:left="320"/>
        <w:spacing w:after="0"/>
        <w:rPr>
          <w:sz w:val="20"/>
          <w:szCs w:val="20"/>
          <w:color w:val="auto"/>
        </w:rPr>
      </w:pPr>
      <w:r>
        <w:rPr>
          <w:rFonts w:ascii="Courier New" w:cs="Courier New" w:eastAsia="Courier New" w:hAnsi="Courier New"/>
          <w:sz w:val="18"/>
          <w:szCs w:val="18"/>
          <w:color w:val="auto"/>
        </w:rPr>
        <w:t>September 12, 1989.</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w:t>
      </w:r>
    </w:p>
    <w:p>
      <w:pPr>
        <w:sectPr>
          <w:pgSz w:w="11900" w:h="16838" w:orient="portrait"/>
          <w:cols w:equalWidth="0" w:num="1">
            <w:col w:w="10219"/>
          </w:cols>
          <w:pgMar w:left="240"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[LETTERHEAD OF KIRKPATRICK &amp; LOCKHART LLP APPEARS HERE]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October 3,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 Suite 500</w:t>
      </w:r>
    </w:p>
    <w:p>
      <w:pPr>
        <w:spacing w:after="0"/>
        <w:rPr>
          <w:sz w:val="20"/>
          <w:szCs w:val="20"/>
          <w:color w:val="auto"/>
        </w:rPr>
      </w:pPr>
      <w:r>
        <w:rPr>
          <w:rFonts w:ascii="Courier New" w:cs="Courier New" w:eastAsia="Courier New" w:hAnsi="Courier New"/>
          <w:sz w:val="18"/>
          <w:szCs w:val="18"/>
          <w:color w:val="auto"/>
        </w:rPr>
        <w:t>Bethesda, Maryland 20814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Bethesda, Maryland ("Trust"), in connection with the Trust's registration of resales of common shares of beneficial interest of the Trust, no par or stated value ("Shares"), by certain selling shareholders, as described in the registration statement on Form S-3 ("Registration Statement").</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We have participated in the preparation of the Registration Statement and the prospectus included therein ("Prospectus") relating to the Trust's registration of the resales of the Shares,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 on the basis of such examination, the Trust has been duly organized and is validly</w:t>
      </w:r>
    </w:p>
    <w:p>
      <w:pPr>
        <w:sectPr>
          <w:pgSz w:w="11900" w:h="16838" w:orient="portrait"/>
          <w:cols w:equalWidth="0" w:num="1">
            <w:col w:w="10219"/>
          </w:cols>
          <w:pgMar w:left="240" w:top="541" w:right="1440" w:bottom="1440" w:gutter="0" w:footer="0" w:header="0"/>
        </w:sectPr>
      </w:pPr>
    </w:p>
    <w:bookmarkStart w:id="17" w:name="page18"/>
    <w:bookmarkEnd w:id="17"/>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280"/>
        <w:spacing w:after="0"/>
        <w:rPr>
          <w:sz w:val="20"/>
          <w:szCs w:val="20"/>
          <w:color w:val="auto"/>
        </w:rPr>
      </w:pPr>
      <w:r>
        <w:rPr>
          <w:rFonts w:ascii="Courier New" w:cs="Courier New" w:eastAsia="Courier New" w:hAnsi="Courier New"/>
          <w:sz w:val="18"/>
          <w:szCs w:val="18"/>
          <w:color w:val="auto"/>
        </w:rPr>
        <w:t>[LETTERHEAD OF KIRKPATRICK &amp; LOCKHART LLP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October 3,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existing under the laws of the District of Columbia as a voluntary business association of the type commonly known as a business trust and that the Trust has authority to issue an unlimited number of Shares, each without par value. It also is our opinion that the Shares referred to in the Registration Statement, when issued and sold to the selling shareholders were legally issued, fully paid and non-assessable and, except as hereinafter set forth, no personal liability will attach to the ownership of such Shares and when such Shares are issued and sold as contemplated in the Registration Statement, will be legally issued, fully paid and non-assessable and, except as hereinafter set forth, no personal liability will attach to the ownership of such Shares.</w:t>
      </w:r>
    </w:p>
    <w:p>
      <w:pPr>
        <w:spacing w:after="0" w:line="21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Declaration of Trust provides that the holders of the Shares shall not be subject to any liability for the acts or obligations of the Trust and that the funds and property of the Trust shall be solely liable for such acts or obligations. The Declaration of Trust requires that, as far as practicable, each written instrument creating an obligation of the Trust shall contain a provision to such effect. We are of the opinion that no personal liability will attach to the holders of the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207" w:lineRule="exact"/>
        <w:rPr>
          <w:sz w:val="20"/>
          <w:szCs w:val="20"/>
          <w:color w:val="auto"/>
        </w:rPr>
      </w:pPr>
    </w:p>
    <w:p>
      <w:pPr>
        <w:ind w:right="2199" w:firstLine="843"/>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Registraion Statement and we consent to the reference to our firm under the caption "Legal Opinions" in the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KIRKPATRICK &amp; LOCKHART LLP</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Thomas F. Cooney, III</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Thomas F. Cooney, III</w:t>
      </w:r>
    </w:p>
    <w:p>
      <w:pPr>
        <w:sectPr>
          <w:pgSz w:w="11900" w:h="16838" w:orient="portrait"/>
          <w:cols w:equalWidth="0" w:num="1">
            <w:col w:w="10219"/>
          </w:cols>
          <w:pgMar w:left="240" w:top="717"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October 3,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w:t>
      </w:r>
    </w:p>
    <w:p>
      <w:pPr>
        <w:spacing w:after="0"/>
        <w:rPr>
          <w:sz w:val="20"/>
          <w:szCs w:val="20"/>
          <w:color w:val="auto"/>
        </w:rPr>
      </w:pPr>
      <w:r>
        <w:rPr>
          <w:rFonts w:ascii="Courier New" w:cs="Courier New" w:eastAsia="Courier New" w:hAnsi="Courier New"/>
          <w:sz w:val="18"/>
          <w:szCs w:val="18"/>
          <w:color w:val="auto"/>
        </w:rPr>
        <w:t>Suite 500</w:t>
      </w:r>
    </w:p>
    <w:p>
      <w:pPr>
        <w:spacing w:after="0" w:line="237" w:lineRule="auto"/>
        <w:rPr>
          <w:sz w:val="20"/>
          <w:szCs w:val="20"/>
          <w:color w:val="auto"/>
        </w:rPr>
      </w:pPr>
      <w:r>
        <w:rPr>
          <w:rFonts w:ascii="Courier New" w:cs="Courier New" w:eastAsia="Courier New" w:hAnsi="Courier New"/>
          <w:sz w:val="18"/>
          <w:szCs w:val="18"/>
          <w:color w:val="auto"/>
        </w:rPr>
        <w:t>Bethesda, MD 20814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 Federal Tax Matters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This opinion is delivered to you in our capacity as special tax counsel to Federal Realty Investment Trust (the "Trust") for your use in connection with Amendment No. 2 to Form S-3 Registration Statement (Regis. No. 33-62389) filed with the Securities and Exchange Commission on October 3, 1995 (the "Registration Statement"). This opinion relates to the Trust's qualification for federal income tax purposes as a real estate investment trust ("REIT") under the Internal Revenue Code of 1986, as amended (the "Code").</w:t>
      </w:r>
    </w:p>
    <w:p>
      <w:pPr>
        <w:spacing w:after="0" w:line="188"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In rendering this opinion, we have reviewed and relied upon copies of the Trust's federal income tax return on Form 1120-REIT dated June 28, 1988 for the taxable year of the Trust ended December 31, 1987; on Form 1120-REIT dated September 7, 1989 for the taxable year of the Trust ended December 31, 1988; on Form 1120-REIT dated September 14, 1990 for the taxable year of the Trust ended December 31, 1989; on Form 1120-REIT dated September 12, 1991 for the taxable year of the Trust ended December 31, 1990; on Form 1120-REIT dated September 8, 1992 for the taxable year of the Trust ended December 31, 1991; on Form</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1120-REIT dated September 13, 1993 for the taxable year of the Trust ended December 31, 1992; on Form 1120-REIT dated September 9, 1994 for the taxable year of the Trust ended December 31, 1993, and on Form 1120-REIT dated September 13, 1995 for the taxable year of the Trust ended December 31, 1994. We assume that each of the foregoing returns was timely filed following timely filing of application for automatic extension in each year.</w:t>
      </w:r>
    </w:p>
    <w:p>
      <w:pPr>
        <w:spacing w:after="0" w:line="210"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have reviewed and relied upon the description of the Trust, its investments and its operations contained or incorporated by reference in the Registration Statement and have had discussions with management of the Trust concerning the investments and operations of the Trust. We have also reviewed certain documents of the Trust relating to the ownership and operation of selected real estate properties, leasehold interests, and other investments owned by the Trust, including management agreements relating to such properties and leasehold interests and forms of leases relating to the Trust's properties and leasehold interests, and we</w:t>
      </w:r>
    </w:p>
    <w:p>
      <w:pPr>
        <w:sectPr>
          <w:pgSz w:w="11900" w:h="16838" w:orient="portrait"/>
          <w:cols w:equalWidth="0" w:num="1">
            <w:col w:w="10219"/>
          </w:cols>
          <w:pgMar w:left="240" w:top="339" w:right="1440" w:bottom="1440" w:gutter="0" w:footer="0" w:header="0"/>
        </w:sectPr>
      </w:pPr>
    </w:p>
    <w:bookmarkStart w:id="20" w:name="page21"/>
    <w:bookmarkEnd w:id="20"/>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October 3,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rely upon representations made to us that such documents, forms of leases and management agreements are representative of those existing and in effect for the other properties and investments of the Trust.</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Representations we have received from management of the Trust and from Kirkpatrick &amp; Lockhart, corporate counsel to the Trust, have also focused upon the number and holdings of shareholders of the Trust; the past and present distribution policy of the Trust; various record keeping requirements; and other matters which we deem relevant and upon which we rely for purposes of rendering this opinion, including without limitation the Trust's quarterly REIT compliance workpapers for each quarter of the Trust commencing January 1, 1987 and ending June 30, 1995 as prepared by Grant Thornton, independent auditors for the Trust. Except as specifically noted herein, we have not made an independent investigation of any of the facts set forth in such representations or workpapers. We have also assumed, without investigation, that all documents, certificates, warranties and covenants on which we have relied in rendering the opinion set forth below and that were given and dated earlier than the date of this letter continue to remain accurate, insofar as relevant to the opinion set forth herein, from such earlier date through and including the date of this letter.</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Our activities described in the immediately preceding two paragraphs relate to the periods covered by the aforementioned tax returns and to the present investments and operations of the Trust. With respect to the qualification of the Trust as a REIT for taxable years prior to 1987 we have relied exclusively and without any investigation on our part on the opinions of Kirkpatrick &amp; Lockhart dated April 30, 1987 and of Content, Tatusko, Patterson &amp; Weinberger dated March 18, 1985 adopted by Green Stewart &amp; Farber, P.C. as to the qualification of the Trust as a REIT for the taxable years ended December 31, 1982 through December 31, 1986.</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Trust has qualified as a REIT for the taxable years ended December 31, 1985 through December 31, 1994; that the form of organization of the Trust and its current operations, assets and contemplated income are such that the Trust is in a position under present law to so qualify for the taxable year ending December 31, 1995; and that the Trust should so qualify for the taxable year ending December 31, 1995 and thereafter provided that the Trust continues to meet the asset composition, source of income, shareholder diversification, distributions, record-keeping and other requirements of the Code necessary for the Trust to qualify as a REIT.</w:t>
      </w:r>
    </w:p>
    <w:p>
      <w:pPr>
        <w:spacing w:after="0" w:line="215"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We wish to point out that our opinion is not binding on the Internal Revenue Service and, without limiting our opinion, we note that there can be no assurance that all of the</w:t>
      </w:r>
    </w:p>
    <w:p>
      <w:pPr>
        <w:sectPr>
          <w:pgSz w:w="11900" w:h="16838" w:orient="portrait"/>
          <w:cols w:equalWidth="0" w:num="1">
            <w:col w:w="10219"/>
          </w:cols>
          <w:pgMar w:left="240" w:top="717" w:right="1440" w:bottom="1440" w:gutter="0" w:footer="0" w:header="0"/>
        </w:sectPr>
      </w:pPr>
    </w:p>
    <w:bookmarkStart w:id="21" w:name="page22"/>
    <w:bookmarkEnd w:id="21"/>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October 3, 1995</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requirements for qualification as a REIT for any particular taxable year have in fact been met until the return for such taxable year has been reviewed by the Internal Revenue Service or the period for such review has expired.</w:t>
      </w:r>
    </w:p>
    <w:p>
      <w:pPr>
        <w:spacing w:after="0" w:line="209"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We concur with the accuracy of the legal statements in the Registration Statement set forth under the section entitled "Description of Common Shares" under the captions "REIT Qualification" and "Federal Income Tax Considerations."</w:t>
      </w:r>
    </w:p>
    <w:p>
      <w:pPr>
        <w:spacing w:after="0" w:line="178"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We consent to this opinion being filed as an exhibit to the Registration Statement and to the reference to our firm in the Registration Statement.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Goodwin, Procter &amp; Hoar</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GOODWIN, PROCTER &amp; HOAR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
      <w:numFmt w:val="bullet"/>
      <w:start w:val="1"/>
    </w:lvl>
    <w:lvl w:ilvl="1">
      <w:lvlJc w:val="left"/>
      <w:lvlText w:val="+"/>
      <w:numFmt w:val="bullet"/>
      <w:start w:val="1"/>
    </w:lvl>
    <w:lvl w:ilvl="2">
      <w:lvlJc w:val="left"/>
      <w:lvlText w:val="(%3)"/>
      <w:numFmt w:val="decimal"/>
      <w:start w:val="15"/>
    </w:lvl>
  </w:abstractNum>
  <w:abstractNum w:abstractNumId="10">
    <w:nsid w:val="109CF92E"/>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11">
    <w:nsid w:val="DED7263"/>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8"/>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2019-12-13T00:53:35Z</dcterms:created>
  <dcterms:modified xsi:type="dcterms:W3CDTF">2019-12-13T00:53:35Z</dcterms:modified>
</cp:coreProperties>
</file>