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294640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337820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2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229235</wp:posOffset>
            </wp:positionV>
            <wp:extent cx="14744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(Rule 14a-101)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INFORMATION REQUIRED IN PROXY STATEMENT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220980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4"/>
        <w:spacing w:after="0" w:line="16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                    Filed by a party other than the Registrant 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Check the appropriate box: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Preliminary Proxy Statement</w:t>
      </w:r>
    </w:p>
    <w:p>
      <w:pPr>
        <w:spacing w:after="0" w:line="163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63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Proxy Statement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Additional Materials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Soliciting Material Pursuant to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b w:val="1"/>
          <w:bCs w:val="1"/>
          <w:color w:val="auto"/>
        </w:rPr>
        <w:t>FEDERAL REALTY INVESTMENT TRUST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30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Payment of Filing Fee (Check all boxes that apply):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 fee required.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paid previously with preliminary materials.</w:t>
      </w:r>
    </w:p>
    <w:p>
      <w:pPr>
        <w:spacing w:after="0" w:line="122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452120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495300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94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2026-03-27T07:18:32Z</dcterms:created>
  <dcterms:modified xsi:type="dcterms:W3CDTF">2026-03-27T07:18:32Z</dcterms:modified>
</cp:coreProperties>
</file>