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333-277767</w:t>
      </w: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MARCH 8, 2024)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$750,000,000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182245</wp:posOffset>
            </wp:positionV>
            <wp:extent cx="223710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We have entered into an equity distribution agreement, dated February 14, 2022, as amended on March 8, 2024 and as further amended on February 14, 2025, with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 or the Agents, and the forward purchasers (as defined below) relating to Federal Realty Investment Trust’s common shares of beneficial interest, $.01 par value per share, which we refer to as common shares, offered by this prospectus supplement and the accompanying prospectus pursuant to an “at the market” offering program. In accordance with the terms of the equity distribution agreement, our common shares may from time to time be offered and sold to or through the Agents as our sales agents or, if applicable, as forward sellers (as defined below). Effective as of the March 8, 2024 amendment, common shares with an aggregate offering price of up to $500,000,000 were available for sale pursuant to the equity distribution agreement. Following the March 8, 2024 amendment, 3,183,181 common shares, with an aggregate offering price of $355,592,783, were sold under the equity distribution agreement. The February 14, 2025 amendment increased the aggregate offering price of common shares that may be offered and sold under the equity distribution agreement to $750,000,000 as of the date of this prospectus supplement. Unless the context otherwise requires, references in this prospectus supplement to the equity distribution agreement mean the equity distribution agreement as amended by the March 8, 2024 amendment and as further amended by the February 14, 2025 amendment.</w:t>
      </w:r>
    </w:p>
    <w:p>
      <w:pPr>
        <w:spacing w:after="0" w:line="176" w:lineRule="exact"/>
        <w:rPr>
          <w:sz w:val="24"/>
          <w:szCs w:val="24"/>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or the NYSE, under the symbol “FRT.” On February 13, 2025, the last reported sale price of our common shares on the NYSE was $111.82 per share.</w:t>
      </w:r>
    </w:p>
    <w:p>
      <w:pPr>
        <w:spacing w:after="0" w:line="162" w:lineRule="exact"/>
        <w:rPr>
          <w:sz w:val="24"/>
          <w:szCs w:val="24"/>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and the accompanying prospectus may be made in negotiated transactions, including block trades, or transactions that are deemed to be “at the market” offerings as defined in Rule 415 under the Securities Act of 1933, as amended, or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The Agents are not required to sell any specific number or dollar amount of common shares, but as instructed by us will make all sales using commercially reasonable efforts, as our sales agents or as forward sellers and subject to the terms of the equity distribution agreement. Our common shares to which this prospectus supplement relates will be sold through only one Agent on any given day. The offering of common shares pursuant to the equity distribution agreement will terminate upon the earlier of (1) the sale of common shares having an aggregate offering price of $750,000,000, from the date of this prospectus supplement, and (2) the termination of the equity distribution agreement.</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equity distribution agreement contemplates that, in addition to the issuance and sale by us of common shares to or through the Agents as our sales agents or as principal, we may enter into separate forward sale agreements with certain of the Agents, or one of their respective affiliates, whom we refer to as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refer to an Agent when acting as sales agent for the relevant forward purchaser as a forward seller.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We will not receive any proceeds from any sale of common shares borrowed by a forward purchaser (or its affiliate) and sold through a forward seller.</w:t>
      </w:r>
    </w:p>
    <w:p>
      <w:pPr>
        <w:spacing w:after="0" w:line="188" w:lineRule="exact"/>
        <w:rPr>
          <w:sz w:val="20"/>
          <w:szCs w:val="20"/>
          <w:color w:val="auto"/>
        </w:rPr>
      </w:pPr>
    </w:p>
    <w:p>
      <w:pPr>
        <w:jc w:val="both"/>
        <w:ind w:left="120" w:right="440" w:firstLine="440"/>
        <w:spacing w:after="0" w:line="272" w:lineRule="auto"/>
        <w:rPr>
          <w:sz w:val="20"/>
          <w:szCs w:val="20"/>
          <w:color w:val="auto"/>
        </w:rPr>
      </w:pPr>
      <w:r>
        <w:rPr>
          <w:rFonts w:ascii="Times New Roman" w:cs="Times New Roman" w:eastAsia="Times New Roman" w:hAnsi="Times New Roman"/>
          <w:sz w:val="17"/>
          <w:szCs w:val="17"/>
          <w:color w:val="auto"/>
        </w:rPr>
        <w:t>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common shares specified in such forward sale agreement multiplied by the relevant forward sale price per share.</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However, subject to certain exceptions, we may also elect, in our sole discretion, to cash settle or net share settle all or any portion of our obligations under any forward sale agreement, in which case we may not (in the case of cash settlement) or will not (in the case of net share settlement) receive any proceeds, and we may owe cash (in the case of cash settlement) or common shares (in the case of net share settlement) to the relevant forward purchaser. See “Plan of Distribution (Conflicts of Interest)” in this prospectus supplement.</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sale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1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shares involves risks. See the information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 our most recent Annual Report on Form 10-K filed with the Securities and Exchange Commission, or the SEC, and subsequent filings that we make with the SEC that are incorporated by reference herein, as well as page S-3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78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Wells Fargo Securities</w:t>
            </w:r>
          </w:p>
        </w:tc>
        <w:tc>
          <w:tcPr>
            <w:tcW w:w="258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BNP PARIBAS</w:t>
            </w:r>
          </w:p>
        </w:tc>
        <w:tc>
          <w:tcPr>
            <w:tcW w:w="26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BofA Securities</w:t>
            </w:r>
          </w:p>
        </w:tc>
        <w:tc>
          <w:tcPr>
            <w:tcW w:w="2680" w:type="dxa"/>
            <w:vAlign w:val="bottom"/>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8"/>
              </w:rPr>
              <w:t>Citigroup</w:t>
            </w:r>
          </w:p>
        </w:tc>
      </w:tr>
      <w:tr>
        <w:trPr>
          <w:trHeight w:val="243"/>
        </w:trPr>
        <w:tc>
          <w:tcPr>
            <w:tcW w:w="2780" w:type="dxa"/>
            <w:vAlign w:val="bottom"/>
          </w:tcPr>
          <w:p>
            <w:pPr>
              <w:jc w:val="center"/>
              <w:ind w:right="3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Deutsche Bank Securities</w:t>
            </w:r>
          </w:p>
        </w:tc>
        <w:tc>
          <w:tcPr>
            <w:tcW w:w="258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J.P. Morgan</w:t>
            </w:r>
          </w:p>
        </w:tc>
        <w:tc>
          <w:tcPr>
            <w:tcW w:w="264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Jefferies</w:t>
            </w:r>
          </w:p>
        </w:tc>
        <w:tc>
          <w:tcPr>
            <w:tcW w:w="2680" w:type="dxa"/>
            <w:vAlign w:val="bottom"/>
          </w:tcPr>
          <w:p>
            <w:pPr>
              <w:jc w:val="center"/>
              <w:ind w:left="3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Regions Securities LLC</w:t>
            </w:r>
          </w:p>
        </w:tc>
      </w:tr>
      <w:tr>
        <w:trPr>
          <w:trHeight w:val="286"/>
        </w:trPr>
        <w:tc>
          <w:tcPr>
            <w:tcW w:w="278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Scotiabank</w:t>
            </w:r>
          </w:p>
        </w:tc>
        <w:tc>
          <w:tcPr>
            <w:tcW w:w="258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7"/>
              </w:rPr>
              <w:t>SMBC Nikko</w:t>
            </w:r>
          </w:p>
        </w:tc>
        <w:tc>
          <w:tcPr>
            <w:tcW w:w="26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TD Securities</w:t>
            </w:r>
          </w:p>
        </w:tc>
        <w:tc>
          <w:tcPr>
            <w:tcW w:w="2680" w:type="dxa"/>
            <w:vAlign w:val="bottom"/>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Truist Securities</w:t>
            </w:r>
          </w:p>
        </w:tc>
      </w:tr>
    </w:tbl>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14, 2025.</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80" w:type="dxa"/>
            <w:vAlign w:val="bottom"/>
            <w:gridSpan w:val="7"/>
            <w:vMerge w:val="restart"/>
          </w:tcPr>
          <w:p>
            <w:pPr>
              <w:spacing w:after="0"/>
              <w:rPr>
                <w:sz w:val="15"/>
                <w:szCs w:val="15"/>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80" w:type="dxa"/>
            <w:vAlign w:val="bottom"/>
            <w:tcBorders>
              <w:bottom w:val="single" w:sz="8" w:color="0000EE"/>
            </w:tcBorders>
            <w:gridSpan w:val="11"/>
            <w:vMerge w:val="continue"/>
          </w:tcPr>
          <w:p>
            <w:pPr>
              <w:spacing w:after="0"/>
              <w:rPr>
                <w:sz w:val="13"/>
                <w:szCs w:val="13"/>
                <w:color w:val="auto"/>
              </w:rPr>
            </w:pPr>
          </w:p>
        </w:tc>
        <w:tc>
          <w:tcPr>
            <w:tcW w:w="8080" w:type="dxa"/>
            <w:vAlign w:val="bottom"/>
            <w:gridSpan w:val="7"/>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46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9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9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8980" w:type="dxa"/>
            <w:vAlign w:val="bottom"/>
            <w:gridSpan w:val="11"/>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1580" w:type="dxa"/>
            <w:vAlign w:val="bottom"/>
            <w:tcBorders>
              <w:bottom w:val="single" w:sz="8" w:color="0000EE"/>
            </w:tcBorders>
            <w:gridSpan w:val="7"/>
            <w:vMerge w:val="continue"/>
          </w:tcPr>
          <w:p>
            <w:pPr>
              <w:spacing w:after="0"/>
              <w:rPr>
                <w:sz w:val="13"/>
                <w:szCs w:val="13"/>
                <w:color w:val="auto"/>
              </w:rPr>
            </w:pPr>
          </w:p>
        </w:tc>
        <w:tc>
          <w:tcPr>
            <w:tcW w:w="8980" w:type="dxa"/>
            <w:vAlign w:val="bottom"/>
            <w:gridSpan w:val="11"/>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46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0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that may be Offered by Federal Realty Investment Trust or a Selling Security Holder</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1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2800" w:type="dxa"/>
            <w:vAlign w:val="bottom"/>
            <w:tcBorders>
              <w:top w:val="single" w:sz="8" w:color="0000EE"/>
            </w:tcBorders>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34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80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14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9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and indirectly owned subsidiaries, unless the context otherwise requires. The term “you” refers to a prospective investor. References to the “Company” refer to Federal Realty Investment Trust and not its subsidiaries, unless the context otherwise requires.</w:t>
      </w:r>
    </w:p>
    <w:p>
      <w:pPr>
        <w:spacing w:after="0" w:line="1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or the forward purchasers, authorized any other person to provide you with additional or different information. If anyone provides you with additional or different information, you should not rely on it. We are not, nor are the Agents or the forward purchasers,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Section 21E of the Securities Exchange Act of 1934, as amended, or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in our most recent Annual Report on Form 10-K filed with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215" w:lineRule="exact"/>
        <w:rPr>
          <w:sz w:val="20"/>
          <w:szCs w:val="20"/>
          <w:color w:val="auto"/>
        </w:rPr>
      </w:pPr>
    </w:p>
    <w:p>
      <w:pPr>
        <w:ind w:left="1080" w:right="10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 See “Where You Can Find More Information” in the accompanying prospectus.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Mid-Atlantic and Northeast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supplement, the Company owns all of the outstanding limited partnership interests in the Partnership.</w:t>
      </w:r>
    </w:p>
    <w:p>
      <w:pPr>
        <w:spacing w:after="0" w:line="192"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2024, we owned or had a majority interest in community and neighborhood shopping centers and mixed-use properties which are operated as 102 predominantly retail real estate projects comprising approximately 26.8 million commercial square feet. In total, the real estate projects were 96.2% leased and 94.1% occupied at December 31, 2024. Our revenue is primarily generated from lease agreements with tenants. We have paid quarterly dividends to our shareholders continuously since our founding in 1962 and have increased our dividends per common share for 57 consecutive years.</w:t>
      </w:r>
    </w:p>
    <w:p>
      <w:pPr>
        <w:spacing w:after="0" w:line="183"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909 Rose Ave., Suite 200, North Bethesda, MD 20852. Our telephone number</w:t>
      </w:r>
    </w:p>
    <w:p>
      <w:pPr>
        <w:spacing w:after="0" w:line="27" w:lineRule="exact"/>
        <w:rPr>
          <w:sz w:val="20"/>
          <w:szCs w:val="20"/>
          <w:color w:val="auto"/>
        </w:rPr>
      </w:pPr>
    </w:p>
    <w:p>
      <w:pPr>
        <w:ind w:left="300" w:right="820"/>
        <w:spacing w:after="0" w:line="260" w:lineRule="auto"/>
        <w:rPr>
          <w:sz w:val="20"/>
          <w:szCs w:val="20"/>
          <w:color w:val="auto"/>
        </w:rPr>
      </w:pPr>
      <w:r>
        <w:rPr>
          <w:rFonts w:ascii="Times New Roman" w:cs="Times New Roman" w:eastAsia="Times New Roman" w:hAnsi="Times New Roman"/>
          <w:sz w:val="18"/>
          <w:szCs w:val="18"/>
          <w:color w:val="auto"/>
        </w:rPr>
        <w:t xml:space="preserve">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supplement or the accompanying prospectus and is not incorporated herein or therein by reference.</w:t>
      </w: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660" w:firstLine="426"/>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the terms of the common shares being offered by this prospectus supplement and the accompanying prospectus, see “Description of Securities that may be Offered by Federal Realty Investment Trust or a Selling Security Holder—Shares of Beneficial Interest of Federal Realty Investment Trust” in the accompanying prospectus.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offered</w:t>
            </w: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shares with an aggregate offering price of up to $750,000,000.</w:t>
            </w:r>
          </w:p>
        </w:tc>
      </w:tr>
      <w:tr>
        <w:trPr>
          <w:trHeight w:val="32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Stock Exchange symbol</w:t>
            </w: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FRT</w:t>
            </w:r>
          </w:p>
        </w:tc>
      </w:tr>
      <w:tr>
        <w:trPr>
          <w:trHeight w:val="30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any forward sale agreement to fund potential</w:t>
            </w:r>
          </w:p>
        </w:tc>
      </w:tr>
      <w:tr>
        <w:trPr>
          <w:trHeight w:val="216"/>
        </w:trPr>
        <w:tc>
          <w:tcPr>
            <w:tcW w:w="304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opportunities, to fund our development or redevelopment pipeline, to repay indebtedness,</w:t>
            </w:r>
          </w:p>
        </w:tc>
      </w:tr>
      <w:tr>
        <w:trPr>
          <w:trHeight w:val="216"/>
        </w:trPr>
        <w:tc>
          <w:tcPr>
            <w:tcW w:w="304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which may include amounts outstanding under our $1.25 billion revolving credit facility or our</w:t>
            </w:r>
          </w:p>
        </w:tc>
      </w:tr>
      <w:tr>
        <w:trPr>
          <w:trHeight w:val="216"/>
        </w:trPr>
        <w:tc>
          <w:tcPr>
            <w:tcW w:w="304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$600.0 million unsecured term loan, and/or for general corporate purposes. See “Use of Proceeds” on</w:t>
            </w:r>
          </w:p>
        </w:tc>
      </w:tr>
      <w:tr>
        <w:trPr>
          <w:trHeight w:val="234"/>
        </w:trPr>
        <w:tc>
          <w:tcPr>
            <w:tcW w:w="304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page S-6 for more information.</w:t>
            </w:r>
          </w:p>
        </w:tc>
      </w:tr>
      <w:tr>
        <w:trPr>
          <w:trHeight w:val="172"/>
        </w:trPr>
        <w:tc>
          <w:tcPr>
            <w:tcW w:w="304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S-1</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366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Material U.S. federal income tax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For a description of material U.S. federal income tax considerations of an investment in our common shares, please review the disclosure in the accompanying prospectus under “Material Federal Income Tax Considerations,” as may be updated from time to time in filings we make with the SEC that are incorporated by reference into this prospectus supplement or the accompanying prospectus.</w:t>
      </w:r>
    </w:p>
    <w:p>
      <w:pPr>
        <w:spacing w:after="0" w:line="72" w:lineRule="exact"/>
        <w:rPr>
          <w:sz w:val="20"/>
          <w:szCs w:val="20"/>
          <w:color w:val="auto"/>
        </w:rPr>
      </w:pPr>
    </w:p>
    <w:p>
      <w:pPr>
        <w:sectPr>
          <w:pgSz w:w="11900" w:h="16838" w:orient="portrait"/>
          <w:cols w:equalWidth="0" w:num="2">
            <w:col w:w="2780" w:space="720"/>
            <w:col w:w="76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Investing in our common shares involves risks. Please review the risk factors discussed on page S-3 of</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this prospectus supplement, in our most recent Annual Report on Form 10-K filed with the SEC and in</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subsequent filings that we make with the SEC that are incorporated by reference herein, as well as the</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other information contained in or incorporated by reference into this prospectus supplement and the</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 should consider before investing in our</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common shares. You may obtain a copy of our Annual Report on Form 10-K and the other documents</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incorporated by reference into this prospectus supplement and the accompanying prospectus by</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following the procedures described under “Where You Can Find More Information” on page 59 of the</w:t>
            </w:r>
          </w:p>
        </w:tc>
      </w:tr>
      <w:tr>
        <w:trPr>
          <w:trHeight w:val="234"/>
        </w:trPr>
        <w:tc>
          <w:tcPr>
            <w:tcW w:w="2500" w:type="dxa"/>
            <w:vAlign w:val="bottom"/>
          </w:tcPr>
          <w:p>
            <w:pPr>
              <w:spacing w:after="0"/>
              <w:rPr>
                <w:sz w:val="20"/>
                <w:szCs w:val="20"/>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30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Affiliates of some of the Agents are lenders under our revolving credit facility and/or our unsecured</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term loan and will receive a pro rata portion of any proceeds used to repay amounts outstanding</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thereunder. If we enter into a forward sale agreement with any forward purchaser, we expect that such</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forward purchaser (or its affiliate) will attempt to borrow from third parties and sell, through the</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relevant Agent, acting as sales agent for such forward purchaser, common shares to hedge such</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forward purchaser’s exposure under such forward sale agreement. All of the net proceeds from the sale</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any such borrowed common shares will be paid to the applicable forward purchaser (or one or more</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its affiliates). Each forward purchaser will be either an Agent or an affiliate of an Agent. As a result,</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 Agent or its affiliate will receive the net proceeds from any sale of borrowed common shares made</w:t>
            </w:r>
          </w:p>
        </w:tc>
      </w:tr>
      <w:tr>
        <w:trPr>
          <w:trHeight w:val="216"/>
        </w:trPr>
        <w:tc>
          <w:tcPr>
            <w:tcW w:w="2500" w:type="dxa"/>
            <w:vAlign w:val="bottom"/>
          </w:tcPr>
          <w:p>
            <w:pPr>
              <w:spacing w:after="0"/>
              <w:rPr>
                <w:sz w:val="18"/>
                <w:szCs w:val="18"/>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 connection with any forward sale agreement. See “Plan of Distribution (Conflicts of Interest)—</w:t>
            </w:r>
          </w:p>
        </w:tc>
      </w:tr>
      <w:tr>
        <w:trPr>
          <w:trHeight w:val="234"/>
        </w:trPr>
        <w:tc>
          <w:tcPr>
            <w:tcW w:w="2500" w:type="dxa"/>
            <w:vAlign w:val="bottom"/>
          </w:tcPr>
          <w:p>
            <w:pPr>
              <w:spacing w:after="0"/>
              <w:rPr>
                <w:sz w:val="20"/>
                <w:szCs w:val="20"/>
                <w:color w:val="auto"/>
              </w:rPr>
            </w:pPr>
          </w:p>
        </w:tc>
        <w:tc>
          <w:tcPr>
            <w:tcW w:w="8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Conflicts of Interest.”</w:t>
            </w:r>
          </w:p>
        </w:tc>
      </w:tr>
      <w:tr>
        <w:trPr>
          <w:trHeight w:val="172"/>
        </w:trPr>
        <w:tc>
          <w:tcPr>
            <w:tcW w:w="2500" w:type="dxa"/>
            <w:vAlign w:val="bottom"/>
            <w:tcBorders>
              <w:bottom w:val="single" w:sz="8" w:color="auto"/>
            </w:tcBorders>
          </w:tcPr>
          <w:p>
            <w:pPr>
              <w:spacing w:after="0"/>
              <w:rPr>
                <w:sz w:val="14"/>
                <w:szCs w:val="14"/>
                <w:color w:val="auto"/>
              </w:rPr>
            </w:pPr>
          </w:p>
        </w:tc>
        <w:tc>
          <w:tcPr>
            <w:tcW w:w="8520" w:type="dxa"/>
            <w:vAlign w:val="bottom"/>
            <w:tcBorders>
              <w:bottom w:val="single" w:sz="8" w:color="auto"/>
            </w:tcBorders>
          </w:tcPr>
          <w:p>
            <w:pPr>
              <w:spacing w:after="0"/>
              <w:rPr>
                <w:sz w:val="14"/>
                <w:szCs w:val="14"/>
                <w:color w:val="auto"/>
              </w:rPr>
            </w:pPr>
          </w:p>
        </w:tc>
      </w:tr>
      <w:tr>
        <w:trPr>
          <w:trHeight w:val="361"/>
        </w:trPr>
        <w:tc>
          <w:tcPr>
            <w:tcW w:w="2500" w:type="dxa"/>
            <w:vAlign w:val="bottom"/>
          </w:tcPr>
          <w:p>
            <w:pPr>
              <w:spacing w:after="0"/>
              <w:rPr>
                <w:sz w:val="24"/>
                <w:szCs w:val="24"/>
                <w:color w:val="auto"/>
              </w:rPr>
            </w:pPr>
          </w:p>
        </w:tc>
        <w:tc>
          <w:tcPr>
            <w:tcW w:w="85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risks. Before you decide to purchase our common shares, you should carefully consider the following risk factors, together with all of the other information contained in or incorporated by reference herein, including the additional risk factors in our most recent Annual Report on Form 10-K filed with the SEC and in subsequent filings that we make with the SEC that are incorporated by reference herein.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289"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You may experience significant dilution as a result of this offering and any additional issuances of our securities, including common shares, which could harm the market price of our common shares.</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additional common or preferred shares or other securities, including sales of common shares in this offering to or through the Agents or through a forward sale agreement, based on market conditions and other factors that may be beyond our control.</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Sales of our common shares pursuant to a forward sale agreement may have a dilutive effect on our earnings per share and funds from operations per share after giving effect to the issuance of our common shares and the application of the expected net proceeds. The actual amount of dilution from this offering, from sales pursuant to a forward sale agreement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a forward sale agreement, or otherwise, or as a result of the perception or expectation that such sales could occur.</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Holders of our debt or preferred shares have liquidation and other rights that are senior to the rights of the holders of our common shares, and any future incurrence of debt or issuance of preferred shares could adversely affect the market price of our common shares.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2024, we had approximately $4.5 billion of debt outstanding, 392,878 of our 5.417% Series 1 Cumulative Convertible Preferred Shares, or the Series 1 Preferred Shares, with an aggregate liquidation preference of $10 million, were issued and outstanding, and 6,000 of our 5.000% Series C Cumulative Redeemable Preferred Shares, or Series C Preferred Shares, with an aggregate liquidation preference of $150 million,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and Series C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 provisions contained in forward sale agreements subject us to certain risks.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Each forward sale agreement provides the applicable forward purchaser with the right to accelerate its forward sale agreement with respect to all or any portion of the transaction under such forward sale agreement (except with respect to events specified in (1) and (3) below, where accelerated settlement is limited to the portion of common shares whose settlement would address the relevant event or that is affected by the relevant event) that it enters into with us and require us to physically settle such common shares on a date specified by such forward purchaser if: (1) in such forward purchaser’s commercially reasonable judgment, it or its affiliate is unable to hedge (or maintain a hedge of) its exposure in a commercially reasonable manner under such forward sale agreement because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hanging="4"/>
        <w:spacing w:after="0" w:line="272" w:lineRule="auto"/>
        <w:tabs>
          <w:tab w:leader="none" w:pos="3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 (a) cash in excess of specified amounts (unless it is an extraordinary dividend),</w:t>
      </w:r>
    </w:p>
    <w:p>
      <w:pPr>
        <w:spacing w:after="0" w:line="1" w:lineRule="exact"/>
        <w:rPr>
          <w:rFonts w:ascii="Times New Roman" w:cs="Times New Roman" w:eastAsia="Times New Roman" w:hAnsi="Times New Roman"/>
          <w:sz w:val="17"/>
          <w:szCs w:val="17"/>
          <w:color w:val="auto"/>
        </w:rPr>
      </w:pPr>
    </w:p>
    <w:p>
      <w:pPr>
        <w:ind w:left="120" w:hanging="4"/>
        <w:spacing w:after="0" w:line="252"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forward purchaser’s decision to exercise its right to accelerate all or a portion of the settlement of any forward sale agreement and to require us to physically settle the relevant common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physically settle a forward sale agreement, the forward sale price we expect to receive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sale price. In addition, the forward sale price will be subject to decrease on certain dates specified in the relevant forward sale agreement by the amount per share of quarterly dividends we expect to declare on our common shares during the term of such forward sale agreement.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have the right, in lieu of physical settlement of any forward sale agreement, to elect cash or net share settlement in respect of any or all of our common shares subject to the forward sale agreements.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85" w:lineRule="exact"/>
        <w:rPr>
          <w:sz w:val="20"/>
          <w:szCs w:val="20"/>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net share settlement, deliver common shares to us to the extent required upon settlement of such forward sale agreement.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price of our common shares at which these purchases by such forward purchaser (or its affiliate) are made is below the relevant forward sale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sale price, then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 See “Plan of Distribution (Conflicts of Interest)—Sales Through Forward Sellers.”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decreasing the amount of cash (in the case of cash settlement) or the number of common shares (in the case of net share settlement) that such forward purchaser would owe us upon settlement of the applicable forward sale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In case of our bankruptcy or insolvency, the forward sale agreements will automatically terminate, and we would not receive the expected net proceeds from any forward sales of our common shares under such agreement.</w:t>
      </w:r>
    </w:p>
    <w:p>
      <w:pPr>
        <w:spacing w:after="0" w:line="51"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forward sale agreement that is then in effect will automatically terminate. If any such forward sale agreement so terminates under these circumstances, we would not be obligated to deliver to the relevant forward purchaser any common shares not previously delivered, and the relevant forward purchaser would be discharged from its obligation to pay the applicable forward sale price per share in respect of any common shares not previously settled under the applicable forward sale agreement. Therefore, to the extent that there are any common shares with respect to which any forward sale agreement has not been settled at the time of the commencement of any such bankruptcy or insolvency proceedings, we would not receive the relevant forward sale price per share in respect of those common shares.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federal income tax treatment of the cash that we might receive from cash settlement of any forward sale agreement is unclear and could jeopardize our ability to meet the REIT qualification requirements.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 we elect to settle any forward sale agreement for cash and the settlement price is below the applicable forward sale price, we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be entitled to receive a cash payment from the applicable forward purchaser. Under Section 1032 of the Code, generally, no gains and losses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recognized by a corporation in dealing in its own shares, including pursuant to a “securities futures contract,” as defined in the Code by reference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Act. Although we believe that any amount received by us in exchange for our common shares would qualify for the exemption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1032 of the Code, because it is not entirely clear whether a forward sale agreement qualifies as a “securities futures contract,” the federal income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treatment of any cash settlement payment we receive is uncertain. In the event that we recognize a significant gain from the cash settlement of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 sale agreement, we might not be able to satisfy the gross income requirements applicable to REITs under the Code. In that case, we may be 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rely upon the relief provisions under the Code in order to avoid the loss of our REIT status. Even if the relief provisions apply, we will be subject to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tax on the greater of (i) the excess of 75% of our gross income (excluding gross income from prohibited transactions) over the amount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attributable to sources that qualify under the 75% test or (ii) the excess of 95% of our gross income (excluding gross income from prohibited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over the amount of such gross income attributable to sources that qualify under the 95% test, as discussed in the accompanying prospectus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“Material Federal Income Tax Considerations—Taxation of the Company,” multiplied in either case by a fraction intended to reflect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profitability. In the event that these relief provisions were not available, we could lose our REIT status under the Code.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Agents or their affiliates may receive benefits in connection with this offering.</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As of the date of this prospectus supplement, affiliates of certain of the Agents are lenders and, in certain cases, agents, under our revolving credit facility and/or unsecured term loan. Additionally, the Agents or affiliates thereof may extend additional credit to us in the future. To the extent that we use a portion of the net proceeds to repay the outstanding balance under our revolving credit facility and/or unsecured term loan or other credit from an Agent or an affiliate thereof, the Agent or applicable affiliate will receive their proportionate share of any amount that is repaid with such net proceeds. These transactions create potential conflicts of interest because the Agents have an interest in the successful completion of this offering beyond the sales commissions they will receive. These interests may influence decisions regarding the terms and circumstances under which the offering is completed.</w:t>
      </w:r>
    </w:p>
    <w:p>
      <w:pPr>
        <w:spacing w:after="0" w:line="27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have in the past entered into, and may in the future enter into, forward sale transactions that subject us to risks similar to those described above.</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previously entered into forward sale agreements and may in the future enter into forward sale agreements that are not part of this offering. As of February 13, 2025, we remained obligated to issue (subject to our right to elect cash settlement or net share settlement) a total of 476,497 common shares pursuant to forward sale agreements. These forward sale agreements and other forward sale agreements we may enter into in the future subject us to risks that are substantially similar to the risks described above in this section.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and any forward sale agreement to fund potential acquisition opportunities, to fund our development or redevelopment pipeline, to repay indebtedness, which may include amounts outstanding under our $1.25 billion revolving credit facility or our $600.0 million unsecured term loan, and/or for general corporate purposes.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revolving credit facility matures on April 5, 2027, subject to two six-month extensions at our option. Our unsecured term loan matures on April 16, 2025, subject to one twelve-month extension at our option. All such indebtedness bears interest based on the secured overnight financing rate, or SOFR, at Daily Simple SOFR or Term SOFR, as defined in the respective credit agreements governing the terms of such indebtedness, plus 0.10%, plus a spread based on our credit rating. The current spreads are 77.5 basis points on our revolving credit facility and 85 basis points on our unsecured term loan. In addition, we have an option (subject to bank approval) to increase the revolving credit facility through an accordion feature to $1.75 billion. As of February 13, 2025, there was no outstanding balance under our revolving credit facility.</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Affiliates of some of the Agents are lenders under our revolving credit facility and/or our unsecured term loan and will receive a pro rata portion of any proceeds used to repay amounts outstanding thereunder.</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common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an equity distribution agreement, dated as of February 14, 2022, as amended on March 8, 2024 and as further amended on February 14, 2025, with the Agents and the forward purchasers under which an aggregate offering price of up to $750,000,000 of our common shares, as of the date of this prospectus supplement, may from time to time be offered and sold to or through the Agents. Sales of our common shares, if any, under this prospectus supplement and the accompanying prospectus may be made in negotiated transactions, including block trades, or transactions that are deemed to be “at the market” offerings as defined in Rule 415 under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As our sales agents or, if applicable, forward sellers, the Agents will not engage in any transactions that stabilize the price of our common shares.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its acceptance of written instructions from us, an Agent will use its commercially reasonable efforts, consistent with its sales and trading practices, to solicit offers to purchase our common shares under the terms and subject to the conditions set forth in the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 will be sold through only one of the Agents on any given day. We or the Agents may suspend the offering of common shares upon proper notice and subject to other conditions.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relevant Agent will provide written confirmation to us and, if applicable, the related forward purchaser no later than the opening of the NYSE on the trading day following the trading day on which common shares were sold under the equity distribution agreement. Each confirmation will include the number of common shares sold on the preceding day, the net proceeds and the compensation payable to the Agent in connection with the sales.</w:t>
      </w:r>
    </w:p>
    <w:p>
      <w:pPr>
        <w:spacing w:after="0" w:line="15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equity distribution agreement contemplates that, in addition to the issuance and sale by us of common shares to or through the Agents as our sales agents or as principal, we may enter into separate forward sale agreements with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will not receive any proceeds from any sale of common shares borrowed by a forward purchaser (or its affiliate) and sold through a forward seller.</w:t>
      </w:r>
    </w:p>
    <w:p>
      <w:pPr>
        <w:spacing w:after="0" w:line="16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sale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for the offering, excluding compensation payable to the Agents under the terms of the equity distribution agreement, will be approximately $1 million. In connection with the sale of common shares, the Agents may be deemed to be “underwriters” within the meaning of the Securities Act, and the compensation paid to the Agents may be deemed to be underwriting commissions and discounts.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Settlement of sales of common shares (other than pursuant to a forward sale agreement) will occur on the first business day following the date on which such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common shares sold through the Agents under the equity distribution agreement, the net proceeds to us and the compensation paid by us to the Agents in connection with the sales of common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Agents have determined that our common shares are “actively-traded securities” excepted from the requirements of Rule 101 of Regulation M under the Exchange Act by Rule 101(c)(1) under the Exchange Act. If an Agent has, or we have, reason to believe that the exemptive provisions set forth in Rule 101(c)(1) of Regulation M under the Exchange Act are not satisfied, the party will promptly notify the other parties, and sales of common shares under the equity distribution agreement will be suspended until that or other exemptive provisions have been satisfied in the judgment of the Agents and us.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offering of common shares pursuant to the equity distribution agreement will terminate upon the earlier of (1) the sale of common shares having an aggregate offering price of $750,000,000, from the date of this prospectus supplement, pursuant to this offering and (2) the termination of the equity distribution agreement. The equity distribution agreement may be terminated by an Agent, a forward purchaser or us at any time upon three days’ notice. An Agent or a forward purchaser may terminate the equity distribution agreement earlier in certain circumstances, including our failure to maintain a listing of our common shares on the NYSE or the occurrence of a material adverse change in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Through Forward Sellers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any forward sale agreement, we will deliver instructions to the relevant Agent directing such Agent, as forward seller, to sell the applicable borrowed common shares on behalf of the relevant forward purchaser. Upon its acceptance of such instructions, such Agent has agreed to use its commercially reasonable efforts consistent with its normal trading and sales practices to sell such common shares, as forward seller on behalf of such forward purchaser, on the terms and subject to the conditions set forth in the equity distribution agreement. We may instruct such Agent as to the amount of common shares to be sold by it as forward seller and may also instruct such Agent not to sell such common shares if the sales cannot be effected at or above a price designated by us. We or the applicable Agent may at any time immediately suspend the offering of common shares through such Agent, as forward seller, upon notice to the other parties.</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Pursuant to each forward sale agreement, if any, we will have the right to issue and deliver to the forward purchaser party thereto a specified number of common shares on the terms and subject to the conditions set forth therein, or, alternatively, to elect cash settlement or net share settlement, for all or any portion of such shares. The initial forward sale price per share under each forward sale agreement will equal the product of (1) an amount equal to one minus the applicable forward selling commission and (2) the volume weighted average price per share at which the borrowed common shares were sold pursuant to the equity distribution agreement by the relevant Agent, acting as forward seller, during the applicable forward selling period for such shares to hedge the relevant forward purchaser’s exposure under such forward sale agreement (subject to certain possible adjustments to such gross sales price for daily accruals and any quarterly dividends having an “ex-dividend” date during such forward selling period). Thereafter, the forward sale price will be subject to the price adjustment provisions of the applicable forward sale agreement. We will not receive any proceeds from any sale of borrowed common shares through an Agent, acting as forward seller, and all of such net proceeds will be paid to the relevant forward purchaser (or one or more of its affiliates).</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expect to fully physically settle each forward sale agreement, if any, with the relevant forward purchaser on one or more dates specified by us on or prior to the maturity date of such forward sale agreement. Although, we will generally have the right, subject to certain exceptions, to elect cash settlement or net share settlement instead of physical settlement for any of the common shares we have agreed to sell under such forward sale agreement. If we elect or are deemed to have elected to physically settle any forward sale agreement by delivering common shares, we will receive an amount of cash from the relevant forward purchaser equal to the product of (1) the forward sale price per share under such forward sale agreement and (2) the number of common shares as to which we have elected or are deemed to have elected physical settlement, subject to the price adjustment and other provisions of such forward sale agreement. Each forward sale agreement will provide that the forward sale price will be subject to adjustment on a daily basis based on a floating interest rate factor equal to a specified daily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rate less a spread. If the specified daily rate is less than the applicable spread on any day, the interest rate factor will result in a daily reduction of the forward sale price. In addition, the forward sale price will be subject to decrease on certain dates specified in the relevant forward sale agreement by the amount per share of quarterly dividends we expect to declare on our common shares during the term of such forward sale agreement.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before any issuance of common shares upon physical settlement or net share settlement of any forward sale agreement, the common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common shares that would be issued upon physical settlement of such forward sale agreement over the number of common shares that could be purchased by us in the market (based on the average market price during the relevant period) using the proceeds receivable upon physical settlement (based on the adjusted forward sale price at the end of the relevant reporting period). Consequently, prior to physical or net share settlement of a forward sale agreement and subject to the occurrence of certain events, we anticipate there will be no dilutive effect on our earnings per share or funds from operations per share as a result of such forward sale agreement except during periods when the average market price of our common shares is above the per share adjusted forward sale price of such forward sale agreement, subject to increase or decrease based on a specified daily rate less a spread, and subject to decrease by amounts related to expected dividends on our common shares during the term of that particular forward sale agreement. However, if we decide to physically or net share settle any forward sale agreement, delivery of common shares by us will result in dilution to our earnings per share and funds from operations per share.</w:t>
      </w:r>
    </w:p>
    <w:p>
      <w:pPr>
        <w:spacing w:after="0" w:line="19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have the right, in lieu of physical settlement of any forward sale agreement, to elect cash or net share settlement in respect of any or all of our common shares subject to the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85" w:lineRule="exact"/>
        <w:rPr>
          <w:sz w:val="20"/>
          <w:szCs w:val="20"/>
          <w:color w:val="auto"/>
        </w:rPr>
      </w:pPr>
    </w:p>
    <w:p>
      <w:pPr>
        <w:ind w:left="540" w:right="260" w:hanging="316"/>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67" w:lineRule="exact"/>
        <w:rPr>
          <w:rFonts w:ascii="Times New Roman" w:cs="Times New Roman" w:eastAsia="Times New Roman" w:hAnsi="Times New Roman"/>
          <w:sz w:val="18"/>
          <w:szCs w:val="18"/>
          <w:color w:val="auto"/>
        </w:rPr>
      </w:pPr>
    </w:p>
    <w:p>
      <w:pPr>
        <w:ind w:left="540" w:right="740" w:hanging="316"/>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net share settlement, deliver common shares to us to the extent required upon settlement of such forward sale agreement.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price of our common shares at which these purchases by such forward purchaser (or its affiliate) are made is below the relevant forward sale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sale price, then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decreasing the amount of cash (in the case of cash settlement) or the number of common shares (in the case of net share settlement) that such forward purchaser would owe us upon settlement of the applicable forward sale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color w:val="auto"/>
        </w:rPr>
        <w:t>Each forward sale agreement provides the applicable forward purchaser with the right to accelerate its forward sale agreement with respect to all or any portion of the transaction under such forward sale agreement (except with respect to events specified in (1) and (3) below, where accelerated settlement is limited to the portion of common shares whose settlement would address the relevant event or that is affected by the relevant event) that it enters into with us and require us to physically settle such shares on a date specified by such forward purchaser if: (1) in such forward purchaser’s commercially reasonable judgment, it or its affiliate is unable to hedge (or maintain a hedge of) its exposure in a commercially 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w:t>
      </w:r>
    </w:p>
    <w:p>
      <w:pPr>
        <w:spacing w:after="0" w:line="2" w:lineRule="exact"/>
        <w:rPr>
          <w:sz w:val="20"/>
          <w:szCs w:val="20"/>
          <w:color w:val="auto"/>
        </w:rPr>
      </w:pPr>
    </w:p>
    <w:p>
      <w:pPr>
        <w:ind w:left="120" w:hanging="4"/>
        <w:spacing w:after="0" w:line="253" w:lineRule="auto"/>
        <w:tabs>
          <w:tab w:leader="none" w:pos="3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forward purchaser’s decision to exercise its right to accelerate all or a portion of the settlement of any forward sale agreement and to require us to physically settle the relevant common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upon certain events of bankruptcy or insolvency relating to us, the forward sale agreements will terminate without further liability of the parties thereto. Following any such termination, we would not issue any common shares pursuant to such forward sale agreements, and we would not receive any proceeds pursuant to the forward sale agreements.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descriptions of certain provisions of the forward sale agreements appearing above and elsewhere in this prospectus supplement are not complete and are subject to, and qualified in their entirety by reference to, the terms and provisions of such forward sale agreements. A form of the forward sale agreement is included as an exhibit to the equity distribution agreement, and the equity distribution agreement has been or will be filed as an exhibit to a document incorporated by reference in the accompanying prospectus and may be obtained as described under “Where You Can Find More Information” in the accompanying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under “Use of Proceeds,” some of the net proceeds of this offering and sales pursuant to a forward sale agreement may be used to repay amounts outstanding under our revolving credit facility and/or unsecured term loan. The Agents or their affiliates are lenders under our revolving credit facility and/or unsecured term loan; therefore, the Agents or their affiliates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addition, in the ordinary course of their business activities, the Agents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common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New York Stock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NYSE under the symbol “FRT.”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Pursuant to the equity distribution agreement, we have agreed to indemnify the Agents and the forward purchasers against certain liabilities, including liabilities under the Securities Act, or to contribute to payments the Agents may be required to make because of any of those liabilities.</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the accompanying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common shares offered by this prospectus supplement will be passed upon for us by Pillsbury Winthrop Shaw Pittman LLP, Washington, DC. Sidley Austin LLP, New York, New York, will act as counsel to the Agents and the forward purchasers.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728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599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Common Shares, Preferred Shares, Depositary Shares, Share Purchase</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or any selling security holder, may from time to time offer, in one or more classes or series, separately or together:</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par value $.01 per share, which we refer to as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beneficial interest, par value $.01 per share, which we refer to as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interests in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contracts to purchase or sell common shares or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shares or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 issued by Federal Realty OP LP,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two or more securities described in this prospectus.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Realty OP LP, which we refer to as the Partnership, may from time to time offer debt securities in one or more classes or series.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if applicable, will offer our securities in amounts, at prices and on terms to be determined at the time such securities are offered. We will prepare a prospectus supplement describing the offering and the terms of the class or series of securities being offered. Such terms may include limitations on direct or beneficial ownership and restrictions on transfer that we believe are appropriate to preserve the Company’s status as a real estate investment trust for federal income tax purposes.</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may offer our securities directly, through agents or to or through underwriters or dealers, on a continuous or delayed basis.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Company’s common shares and depositary shares representing interests in the Company’s Series C preferred shares are listed on the New York Stock Exchange under the symbols “FRT” and “FRT-C,”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w:t>
      </w:r>
    </w:p>
    <w:p>
      <w:pPr>
        <w:spacing w:after="0" w:line="21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0"/>
          </w:cols>
          <w:pgMar w:left="320" w:top="455" w:right="599" w:bottom="1043"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The date of this prospectus is March 8, 2024.</w:t>
      </w:r>
    </w:p>
    <w:p>
      <w:pPr>
        <w:sectPr>
          <w:pgSz w:w="11900" w:h="16838" w:orient="portrait"/>
          <w:cols w:equalWidth="0" w:num="1">
            <w:col w:w="10980"/>
          </w:cols>
          <w:pgMar w:left="320" w:top="455" w:right="599" w:bottom="104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5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1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that may be Offered by Federal Realty Investment Trust or a Selling Security Holder</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1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2800" w:type="dxa"/>
            <w:vAlign w:val="bottom"/>
            <w:tcBorders>
              <w:top w:val="single" w:sz="8" w:color="0000EE"/>
            </w:tcBorders>
          </w:tcPr>
          <w:p>
            <w:pPr>
              <w:spacing w:after="0"/>
              <w:rPr>
                <w:sz w:val="17"/>
                <w:szCs w:val="17"/>
                <w:color w:val="auto"/>
              </w:rPr>
            </w:pPr>
          </w:p>
        </w:tc>
        <w:tc>
          <w:tcPr>
            <w:tcW w:w="2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9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2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or any selling security holder may sell any combination of the securities described in this prospectus either separately or in units, in one or more offerings. Our prospectus provides you with a general description of these securities. Each time we sell, or any selling security holder sells, securities, we or they will provide a prospectus supplement that will contain specific information about all of the terms of that offering. The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not based on historical facts,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statements or information with words such as “may,” “will,” “seeks,” “could,” “should,” “plans,” “intends,” “expects,” “believes,”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“anticipates,” “continues” and other similar words. These statements constitute forward-looking statements within the meaning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27A of the Securities Act of 1933, as amended, or the “Securities Act,” Section 21E of the Securities Exchange Act of 1934, as amended,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Act,” and the Private Securities Litigation Reform Act of 1995. In particular, the risk factors included in or incorporated by reference into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describe forward-looking information. The risk factors, including those in our Annual Report on Form 10-K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filed with the SEC on February 12, 2024, describe risks that may affect these statements but are not exhaustive, particularly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possible future events. Many things can happen that can cause actual results to be different from those we describe. These factors include, but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not limited to:</w:t>
      </w:r>
    </w:p>
    <w:p>
      <w:pPr>
        <w:spacing w:after="0" w:line="112" w:lineRule="exact"/>
        <w:rPr>
          <w:sz w:val="20"/>
          <w:szCs w:val="20"/>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20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6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83"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909 Rose Ave., Suite 200, North Bethesda, MD 20852. Our telephone number is</w:t>
      </w:r>
    </w:p>
    <w:p>
      <w:pPr>
        <w:spacing w:after="0" w:line="27" w:lineRule="exact"/>
        <w:rPr>
          <w:sz w:val="20"/>
          <w:szCs w:val="20"/>
          <w:color w:val="auto"/>
        </w:rPr>
      </w:pPr>
    </w:p>
    <w:p>
      <w:pPr>
        <w:ind w:left="30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pursuant to this prospectus for one or more of the following: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the sale of securities by selling security holders.</w:t>
      </w:r>
    </w:p>
    <w:p>
      <w:pPr>
        <w:spacing w:after="0" w:line="200" w:lineRule="exact"/>
        <w:rPr>
          <w:sz w:val="20"/>
          <w:szCs w:val="20"/>
          <w:color w:val="auto"/>
        </w:rPr>
      </w:pPr>
    </w:p>
    <w:p>
      <w:pPr>
        <w:spacing w:after="0" w:line="237" w:lineRule="exact"/>
        <w:rPr>
          <w:sz w:val="20"/>
          <w:szCs w:val="20"/>
          <w:color w:val="auto"/>
        </w:rPr>
      </w:pPr>
    </w:p>
    <w:p>
      <w:pPr>
        <w:jc w:val="center"/>
        <w:ind w:left="440" w:right="46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THAT MAY BE OFFERED BY FEDERAL REALTY INVESTMENT TRUST OR A SELLING SECURITY HOLDER</w:t>
      </w:r>
    </w:p>
    <w:p>
      <w:pPr>
        <w:spacing w:after="0" w:line="15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of Beneficial Interest of Federal Realty Investment Trust</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declaration of trust allows us to issue up to 200,000,000 common shares of beneficial interest, par value $.01 per share, and 15,000,000 preferred shares of beneficial interest, par value $.01 per share. As of December 31, 2023, we had issued and outstanding 82,775,286 common shares, 392,878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the following actions without approval by any shareholder:</w:t>
      </w:r>
    </w:p>
    <w:p>
      <w:pPr>
        <w:spacing w:after="0" w:line="64" w:lineRule="exact"/>
        <w:rPr>
          <w:sz w:val="20"/>
          <w:szCs w:val="20"/>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our shareholders to solicit that approval.</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of the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common shares, you will not have any right to:</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80" w:right="3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in any election in which the number of nominees exceeds the number of trustees to be elected (which requires a plurality of all the votes cast at a meeting of our shareholders at which a quorum is present);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our declaration of trust, no holder of shares of beneficial interest has any preemptive rights to subscribe to any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Equiniti Trust Company, LLC, New York, New York.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1 Preferred Shares of the Company</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passu with the Series C preferred shares and senior to the common shares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 per share, plus all accrued and unpaid dividends, before any distribution shall be made with respect to the common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Rights. </w:t>
      </w:r>
      <w:r>
        <w:rPr>
          <w:rFonts w:ascii="Times New Roman" w:cs="Times New Roman" w:eastAsia="Times New Roman" w:hAnsi="Times New Roman"/>
          <w:sz w:val="17"/>
          <w:szCs w:val="17"/>
          <w:color w:val="auto"/>
        </w:rPr>
        <w:t>Subject to other applicable provisions within our declaration of trust pertaining to the Series 1 preferred shares, the Series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shall be convertible, at the option of each holder, into a number of fully paid and nonassessable common shares determined by dividing</w:t>
      </w:r>
    </w:p>
    <w:p>
      <w:pPr>
        <w:spacing w:after="0" w:line="1" w:lineRule="exact"/>
        <w:rPr>
          <w:sz w:val="20"/>
          <w:szCs w:val="20"/>
          <w:color w:val="auto"/>
        </w:rPr>
      </w:pPr>
    </w:p>
    <w:p>
      <w:pPr>
        <w:ind w:left="120" w:right="780" w:hanging="4"/>
        <w:spacing w:after="0" w:line="260"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Equiniti Trust Company, LLC, New York, New</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Preferred Shares of the Company</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5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C preferred shares rank pari passu with the Series 1 preferred shares and senior to the common shares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8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5.000% of the liquidation price of $25,000, which is equivalent to $1,250 per annum.</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$25,000 per share, plus all accrued and unpaid dividends, before any distribution shall be made with respect to the common shares.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Company. </w:t>
      </w:r>
      <w:r>
        <w:rPr>
          <w:rFonts w:ascii="Times New Roman" w:cs="Times New Roman" w:eastAsia="Times New Roman" w:hAnsi="Times New Roman"/>
          <w:sz w:val="18"/>
          <w:szCs w:val="18"/>
          <w:color w:val="auto"/>
        </w:rPr>
        <w:t>The Series C preferred shares may be redeemed for cash, in whole or from time to time in part, on any date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September 29, 2022 at the option of the Company at a price per share equal to $25,000.00 plus accrued and unpaid dividends thereon, if any, to, but excluding, the redemption date.</w:t>
      </w:r>
    </w:p>
    <w:p>
      <w:pPr>
        <w:spacing w:after="0" w:line="17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Depositary Shares. </w:t>
      </w:r>
      <w:r>
        <w:rPr>
          <w:rFonts w:ascii="Times New Roman" w:cs="Times New Roman" w:eastAsia="Times New Roman" w:hAnsi="Times New Roman"/>
          <w:sz w:val="18"/>
          <w:szCs w:val="18"/>
          <w:color w:val="auto"/>
        </w:rPr>
        <w:t>Interests in the Series C preferred shares are represented by depositary shares, which we refer to as the “Series C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Each Series C depositary share represents a 1/1000th fractional interest in a Series C preferred share. The Series C preferred shares have been deposited with Equiniti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the Series C preferred shares is Equiniti Trust Company, LLC, New York, New</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79"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rights upon our liquidation, dissolution or winding up, rank:</w:t>
      </w:r>
    </w:p>
    <w:p>
      <w:pPr>
        <w:spacing w:after="0" w:line="6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supplement relating to the offering of those preferred shares. These terms typically will include:</w:t>
      </w:r>
    </w:p>
    <w:p>
      <w:pPr>
        <w:spacing w:after="0" w:line="6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shares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(which includes any common shares and our preferred shares). In this prospectus, the term “ownership limitation” is used to describe this provision of our declaration of trust.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8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 of the Company</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depositary shares, each of which will represent a fractional interest of a share of a particular series of preferred shares.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2023, we had 6,000,000 depositary shares issued and outstanding, each representing a 1/1000th fractional interest in a Series C preferred share. See “—Series C Preferred Shares of the Company.”</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3"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Resignation and Removal of Depositary. </w:t>
      </w:r>
      <w:r>
        <w:rPr>
          <w:rFonts w:ascii="Times New Roman" w:cs="Times New Roman" w:eastAsia="Times New Roman" w:hAnsi="Times New Roman"/>
          <w:sz w:val="17"/>
          <w:szCs w:val="17"/>
          <w:color w:val="auto"/>
        </w:rPr>
        <w:t>The depositary may resign at any time by delivering a notice to us of its election to do so. Additionally,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6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6"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that may be offered by Federal Realty Investment Trust</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Purchase Contracts</w:t>
      </w:r>
      <w:r>
        <w:rPr>
          <w:rFonts w:ascii="Times New Roman" w:cs="Times New Roman" w:eastAsia="Times New Roman" w:hAnsi="Times New Roman"/>
          <w:sz w:val="18"/>
          <w:szCs w:val="18"/>
          <w:color w:val="auto"/>
        </w:rPr>
        <w:t>. We may issue share purchase contracts, which are contracts obligating holders to purchase from or sell to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share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share purchase contracts;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shares, preferred shares or depositary shares representing interests in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preferred shares or depositary shares representing interests in preferred shares that may be purchased on exercise of the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any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to be entered into between us and a bank or trust company, as unit agent, governing the units;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listed on any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Maryland General Corporation Law and our declaration of trust and bylaws for more complete information.</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5540" w:right="2500" w:hanging="4884"/>
        <w:spacing w:after="0" w:line="454" w:lineRule="auto"/>
        <w:tabs>
          <w:tab w:leader="none" w:pos="10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 16</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15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left="120" w:firstLine="4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earlier than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203" w:lineRule="exact"/>
        <w:rPr>
          <w:sz w:val="20"/>
          <w:szCs w:val="20"/>
          <w:color w:val="auto"/>
        </w:rPr>
      </w:pPr>
    </w:p>
    <w:p>
      <w:pPr>
        <w:ind w:left="120" w:right="80" w:firstLine="440"/>
        <w:spacing w:after="0" w:line="232" w:lineRule="auto"/>
        <w:rPr>
          <w:sz w:val="20"/>
          <w:szCs w:val="20"/>
          <w:color w:val="auto"/>
        </w:rPr>
      </w:pPr>
      <w:r>
        <w:rPr>
          <w:rFonts w:ascii="Times New Roman" w:cs="Times New Roman" w:eastAsia="Times New Roman" w:hAnsi="Times New Roman"/>
          <w:sz w:val="17"/>
          <w:szCs w:val="17"/>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20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jc w:val="both"/>
        <w:ind w:left="120" w:right="3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 THAT MAY BE OFFERED BY FEDERAL REALTY OP LP</w:t>
      </w:r>
    </w:p>
    <w:p>
      <w:pPr>
        <w:spacing w:after="0" w:line="227"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“us,” “our” and “ours” refer only to Federal Realty OP LP and not to the Company unless the context requires otherwise.</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Trust Company,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class or series of debt securities offered.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calculating such rate or rates.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80" w:right="1460" w:hanging="424"/>
        <w:spacing w:after="0" w:line="28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by non-U.S. persons for taxes, assessments or similar charges.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class or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will be payable and the manner in which, or the person to whom, any interest on any bearer securities of the class or series will be payable.</w:t>
      </w:r>
    </w:p>
    <w:p>
      <w:pPr>
        <w:spacing w:after="0" w:line="76"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class or series that are different from or in addition to the definitions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applicable indenture, including, without limitation, the definition of “unrestricted subsidiary” to be used for such class or series.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80" w:right="520" w:hanging="424"/>
        <w:spacing w:after="0" w:line="28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80" w:right="100" w:hanging="424"/>
        <w:spacing w:after="0" w:line="26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class or series.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80" w:right="5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ind w:left="120" w:right="20" w:firstLine="44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on the debt securities is U.S. Bank Trust Company, National Association, 214 North Tryon Street,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104"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class or series of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of a class or series in the form of one or more fully registered global securities. Each registered global security will:</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jc w:val="center"/>
        <w:ind w:left="5540" w:right="1300" w:hanging="4884"/>
        <w:spacing w:after="0" w:line="454" w:lineRule="auto"/>
        <w:tabs>
          <w:tab w:leader="none" w:pos="10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 23</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80" w:right="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540" w:right="320" w:hanging="331"/>
        <w:spacing w:after="0" w:line="261"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5"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80" w:right="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left="120" w:right="300" w:firstLine="436"/>
        <w:spacing w:after="0" w:line="282" w:lineRule="auto"/>
        <w:tabs>
          <w:tab w:leader="none" w:pos="7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7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720" w:hanging="164"/>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class or series.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7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800" w:hanging="244"/>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class or series.</w:t>
      </w:r>
    </w:p>
    <w:p>
      <w:pPr>
        <w:spacing w:after="0" w:line="225" w:lineRule="exact"/>
        <w:rPr>
          <w:sz w:val="20"/>
          <w:szCs w:val="20"/>
          <w:color w:val="auto"/>
        </w:rPr>
      </w:pPr>
    </w:p>
    <w:p>
      <w:pPr>
        <w:ind w:left="120" w:right="180" w:firstLine="436"/>
        <w:spacing w:after="0" w:line="254" w:lineRule="auto"/>
        <w:tabs>
          <w:tab w:leader="none" w:pos="7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days.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class or series.</w:t>
      </w:r>
    </w:p>
    <w:p>
      <w:pPr>
        <w:spacing w:after="0" w:line="221"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may waive any past default except for:</w:t>
      </w:r>
    </w:p>
    <w:p>
      <w:pPr>
        <w:spacing w:after="0" w:line="64"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class or series and any related coupons,</w:t>
      </w:r>
    </w:p>
    <w:p>
      <w:pPr>
        <w:spacing w:after="0" w:line="67"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1" w:lineRule="exact"/>
        <w:rPr>
          <w:sz w:val="20"/>
          <w:szCs w:val="20"/>
          <w:color w:val="auto"/>
        </w:rPr>
      </w:pPr>
    </w:p>
    <w:p>
      <w:pPr>
        <w:ind w:left="1080" w:right="4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discharge of obligations using this process is known as “covenant defeasance.” If we defease covenants under debt securities, then certain events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including non-payment, enforceability of any guarantee, bankruptcy and insolvency events) described under “— Events of Default” will no longer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constitute an event of default with respect to the debt securities.</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class or series:</w:t>
      </w:r>
    </w:p>
    <w:p>
      <w:pPr>
        <w:spacing w:after="0" w:line="67" w:lineRule="exact"/>
        <w:rPr>
          <w:sz w:val="20"/>
          <w:szCs w:val="20"/>
          <w:color w:val="auto"/>
        </w:rPr>
      </w:pPr>
    </w:p>
    <w:p>
      <w:pPr>
        <w:ind w:left="1080" w:hanging="424"/>
        <w:spacing w:after="0" w:line="25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1" w:lineRule="exact"/>
        <w:rPr>
          <w:sz w:val="20"/>
          <w:szCs w:val="20"/>
          <w:color w:val="auto"/>
        </w:rPr>
      </w:pPr>
    </w:p>
    <w:p>
      <w:pPr>
        <w:ind w:left="108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85"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class or series of outstanding debt security;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class or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class or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class or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class or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class or series not yet issued;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for U.S. federal income tax purposes, any debt security with a term of more than one year from the date of issuance that:</w:t>
      </w:r>
    </w:p>
    <w:p>
      <w:pPr>
        <w:spacing w:after="0" w:line="93"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 de minimis exception, issued at a price lower than its stated redemption price at maturity.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Unless we say otherwise in a prospectus supplement, each indenture and the debt securities will be governed by the laws of the State of New York.</w:t>
      </w:r>
    </w:p>
    <w:p>
      <w:pPr>
        <w:spacing w:after="0" w:line="1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80" w:right="4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w:t>
      </w:r>
    </w:p>
    <w:p>
      <w:pPr>
        <w:spacing w:after="0" w:line="2"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of gain that we recognize at the time of the sale or disposition and (ii) the amount of gain that we would have recognized if we had sold the asset at the time we acquired the asset.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Treasury regulations; and</w:t>
      </w:r>
    </w:p>
    <w:p>
      <w:pPr>
        <w:spacing w:after="0" w:line="67" w:lineRule="exact"/>
        <w:rPr>
          <w:rFonts w:ascii="Times New Roman" w:cs="Times New Roman" w:eastAsia="Times New Roman" w:hAnsi="Times New Roman"/>
          <w:sz w:val="18"/>
          <w:szCs w:val="18"/>
          <w:color w:val="auto"/>
        </w:rPr>
      </w:pPr>
    </w:p>
    <w:p>
      <w:pPr>
        <w:ind w:left="1080" w:right="9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5"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w:t>
      </w: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or non-managing member in some of the Subsidiary Partnerships. If a Subsidiary Partnership in which the Partnership owns an interest but does not have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80" w:right="20" w:hanging="424"/>
        <w:spacing w:after="0" w:line="25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The Partnership’s primary source of income derives from leasing properties. There are various limitations on whether rent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80" w:right="40" w:hanging="424"/>
        <w:spacing w:after="0" w:line="25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9" w:lineRule="exact"/>
        <w:rPr>
          <w:sz w:val="20"/>
          <w:szCs w:val="20"/>
          <w:color w:val="auto"/>
        </w:rPr>
      </w:pPr>
    </w:p>
    <w:p>
      <w:pPr>
        <w:ind w:left="1080" w:right="20" w:hanging="424"/>
        <w:spacing w:after="0" w:line="25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93"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9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86"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424"/>
        <w:spacing w:after="0" w:line="312" w:lineRule="auto"/>
        <w:tabs>
          <w:tab w:leader="none" w:pos="10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80" w:right="5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91"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w:t>
      </w:r>
    </w:p>
    <w:p>
      <w:pPr>
        <w:spacing w:after="0" w:line="1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The Partnership may dispose of properties in transactions intended to qualify as like-kind exchanges under the Code.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146" w:lineRule="exact"/>
        <w:rPr>
          <w:sz w:val="20"/>
          <w:szCs w:val="20"/>
          <w:color w:val="auto"/>
        </w:rPr>
      </w:pPr>
    </w:p>
    <w:p>
      <w:pPr>
        <w:ind w:left="1080" w:right="3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85"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3"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2"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a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share dividend.</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0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3"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This discussion also does not address the tax treatment of any conversion or exchange of notes into our shares for persons who would become non-U.S. shareholders upon such conversion or exchange. Such persons are urged to consult their tax advisors regarding the U.S. income tax treatment of such a conversion or exchange. As used herein,</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the term “non-U.S. shareholder” means any taxable beneficial owner of our shares (other than a partnership or entity that is treated as a partnership for U.S. federal income tax purposes) that is not a taxable U.S. shareholder or exempt organization.</w:t>
      </w:r>
    </w:p>
    <w:p>
      <w:pPr>
        <w:spacing w:after="0" w:line="17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7"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are a “domestically controlled REIT.” A “domestically controlled REIT” is a REIT in which at all times during a specified testing</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w:t>
      </w: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4"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92" w:lineRule="exact"/>
        <w:rPr>
          <w:sz w:val="20"/>
          <w:szCs w:val="20"/>
          <w:color w:val="auto"/>
        </w:rPr>
      </w:pPr>
    </w:p>
    <w:p>
      <w:pPr>
        <w:jc w:val="both"/>
        <w:ind w:left="120" w:right="1200" w:firstLine="440"/>
        <w:spacing w:after="0" w:line="312" w:lineRule="auto"/>
        <w:rPr>
          <w:sz w:val="20"/>
          <w:szCs w:val="20"/>
          <w:color w:val="auto"/>
        </w:rPr>
      </w:pPr>
      <w:r>
        <w:rPr>
          <w:rFonts w:ascii="Times New Roman" w:cs="Times New Roman" w:eastAsia="Times New Roman" w:hAnsi="Times New Roman"/>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36"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5"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Under sections 1471 through 1474 of the Code, Treasury regulations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as Partnerships. </w:t>
      </w:r>
      <w:r>
        <w:rPr>
          <w:rFonts w:ascii="Times New Roman" w:cs="Times New Roman" w:eastAsia="Times New Roman" w:hAnsi="Times New Roman"/>
          <w:sz w:val="18"/>
          <w:szCs w:val="18"/>
          <w:color w:val="auto"/>
        </w:rPr>
        <w:t>We are entitled to include in our income our distributive share of the Partnership’s and Subsidiary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8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 Not the Partnership, Subject to Tax. </w:t>
      </w:r>
      <w:r>
        <w:rPr>
          <w:rFonts w:ascii="Times New Roman" w:cs="Times New Roman" w:eastAsia="Times New Roman" w:hAnsi="Times New Roman"/>
          <w:sz w:val="18"/>
          <w:szCs w:val="18"/>
          <w:color w:val="auto"/>
        </w:rPr>
        <w:t>The partners of the Partnership are subject to taxation. Except as discussed below in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Partnership Allocations</w:t>
      </w:r>
      <w:r>
        <w:rPr>
          <w:rFonts w:ascii="Times New Roman" w:cs="Times New Roman" w:eastAsia="Times New Roman" w:hAnsi="Times New Roman"/>
          <w:sz w:val="18"/>
          <w:szCs w:val="18"/>
          <w:color w:val="auto"/>
        </w:rPr>
        <w:t>. Although a partnership agreement generally will determine the allocation of income and losses among partners,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r>
        <w:rPr>
          <w:rFonts w:ascii="Times New Roman" w:cs="Times New Roman" w:eastAsia="Times New Roman" w:hAnsi="Times New Roman"/>
          <w:sz w:val="18"/>
          <w:szCs w:val="18"/>
          <w:color w:val="auto"/>
        </w:rPr>
        <w:t>. Pursuant to Section 704(c) of the Code, income, gain, loss and deduction attributable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Book-Tax Difference may also arise as a result of the revaluation of property owned by the Partnership in connection with certain types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including in connection with certain non-pro rata contributions or distributions of assets by the Partnership in exchange for interests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In the event of such a revaluation, the partners (including us) who were partners in the Partnership immediately prior to the revaluation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required to take any Book-Tax Difference created as a result of such revaluation into account in substantially the same manner as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704(c) rules discussed above. This would result in us being allocated income, gain, loss and deduction for tax purposes in amounts different than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economic or book income allocated to us by the Partnership.</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in Partnership Interest</w:t>
      </w:r>
      <w:r>
        <w:rPr>
          <w:rFonts w:ascii="Times New Roman" w:cs="Times New Roman" w:eastAsia="Times New Roman" w:hAnsi="Times New Roman"/>
          <w:sz w:val="18"/>
          <w:szCs w:val="18"/>
          <w:color w:val="auto"/>
        </w:rPr>
        <w:t>. Our adjusted tax basis in our partnership interest in the Partnership generally is equal to:</w:t>
      </w:r>
    </w:p>
    <w:p>
      <w:pPr>
        <w:spacing w:after="0" w:line="135"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adjusted tax basis of any other property contributed by us to the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income,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debt of the Partnership;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loss,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basis of any property distributed to us,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the Partnership’s Property. </w:t>
      </w:r>
      <w:r>
        <w:rPr>
          <w:rFonts w:ascii="Times New Roman" w:cs="Times New Roman" w:eastAsia="Times New Roman" w:hAnsi="Times New Roman"/>
          <w:sz w:val="18"/>
          <w:szCs w:val="18"/>
          <w:color w:val="auto"/>
        </w:rPr>
        <w:t>Generally, any gain realized by the Partnership on the sale of property held by the Partnership for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Revised Partnership Audit Rules</w:t>
      </w:r>
      <w:r>
        <w:rPr>
          <w:rFonts w:ascii="Times New Roman" w:cs="Times New Roman" w:eastAsia="Times New Roman" w:hAnsi="Times New Roman"/>
          <w:sz w:val="18"/>
          <w:szCs w:val="18"/>
          <w:color w:val="auto"/>
        </w:rPr>
        <w:t>. Under partnership audit changes generally effective for audits in 2018 and later, a partnership (and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Information about selling security holders and the terms of the securities offered for resale, where applicable, will be set forth in a prospectus supplement, in a post-effective amendment or in filings we make with the SEC under the Exchange Act that are incorporated into this prospectus by reference. Selling security holders may be deemed to be underwriters in connection with the securities they resell and any profits on the resale may be deemed to be underwriting discounts and commissions under the Securities Act. The selling security holders will receive all the proceeds from the resale of our securities. We will not receive any proceeds from resales by selling security holders.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by Us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80" w:right="1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by Selling Security 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w:t>
      </w:r>
    </w:p>
    <w:p>
      <w:pPr>
        <w:spacing w:after="0" w:line="94" w:lineRule="exact"/>
        <w:rPr>
          <w:sz w:val="20"/>
          <w:szCs w:val="20"/>
          <w:color w:val="auto"/>
        </w:rPr>
      </w:pPr>
    </w:p>
    <w:p>
      <w:pPr>
        <w:ind w:left="1080" w:right="1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include cross trades)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resales by the broker or dealer for its own account;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or secondary distribution in accordance with the rules of any stock exchange on which the securities may be listed;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offering at other than a fixed price on or through the facilities of any stock exchange on which the securities are listed or to or through a market-maker other than on that stock exchange;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 directly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securities, whether or the options are listed on an options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security holder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between a broker or dealer and any security holder to sell a specified number of the securities at a stipulated price per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or distribution, or any other method permitted by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security holders may also transfer the securities by gift.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92"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securities by the selling security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the selling security holders will sell all or any portion of the securities offered hereby.</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w:t>
      </w:r>
    </w:p>
    <w:p>
      <w:pPr>
        <w:spacing w:after="0" w:line="81"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securities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underwriter, dealer or agent;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fees or other items constituting compensation to underwriters, dealers or agents with respect to the particular transaction (which may exceed customary commissions or compensation).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12,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9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11, 2024;</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responsive to part III of our Annual Report on Form 10-K for the year ended December 31, 2022 provided in our definitive proxy statement on </w:t>
      </w:r>
      <w:hyperlink r:id="rId10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March 24, 2023;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common shares and Series C depositary shares contained in </w:t>
      </w:r>
      <w:hyperlink r:id="rId101">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February 12, 2024.</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rFonts w:ascii="Times New Roman" w:cs="Times New Roman" w:eastAsia="Times New Roman" w:hAnsi="Times New Roman"/>
          <w:sz w:val="18"/>
          <w:szCs w:val="18"/>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344170</wp:posOffset>
            </wp:positionV>
            <wp:extent cx="2237105" cy="694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Federal Realty Investment Trust</w:t>
      </w: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78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Wells Fargo Securities</w:t>
            </w:r>
          </w:p>
        </w:tc>
        <w:tc>
          <w:tcPr>
            <w:tcW w:w="258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BNP PARIBAS</w:t>
            </w:r>
          </w:p>
        </w:tc>
        <w:tc>
          <w:tcPr>
            <w:tcW w:w="26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BofA Securities</w:t>
            </w:r>
          </w:p>
        </w:tc>
        <w:tc>
          <w:tcPr>
            <w:tcW w:w="2680" w:type="dxa"/>
            <w:vAlign w:val="bottom"/>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8"/>
              </w:rPr>
              <w:t>Citigroup</w:t>
            </w:r>
          </w:p>
        </w:tc>
      </w:tr>
      <w:tr>
        <w:trPr>
          <w:trHeight w:val="243"/>
        </w:trPr>
        <w:tc>
          <w:tcPr>
            <w:tcW w:w="2780" w:type="dxa"/>
            <w:vAlign w:val="bottom"/>
          </w:tcPr>
          <w:p>
            <w:pPr>
              <w:jc w:val="center"/>
              <w:ind w:right="3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Deutsche Bank Securities</w:t>
            </w:r>
          </w:p>
        </w:tc>
        <w:tc>
          <w:tcPr>
            <w:tcW w:w="258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J.P. Morgan</w:t>
            </w:r>
          </w:p>
        </w:tc>
        <w:tc>
          <w:tcPr>
            <w:tcW w:w="264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Jefferies</w:t>
            </w:r>
          </w:p>
        </w:tc>
        <w:tc>
          <w:tcPr>
            <w:tcW w:w="2680" w:type="dxa"/>
            <w:vAlign w:val="bottom"/>
          </w:tcPr>
          <w:p>
            <w:pPr>
              <w:jc w:val="center"/>
              <w:ind w:left="3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Regions Securities LLC</w:t>
            </w:r>
          </w:p>
        </w:tc>
      </w:tr>
      <w:tr>
        <w:trPr>
          <w:trHeight w:val="286"/>
        </w:trPr>
        <w:tc>
          <w:tcPr>
            <w:tcW w:w="278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Scotiabank</w:t>
            </w:r>
          </w:p>
        </w:tc>
        <w:tc>
          <w:tcPr>
            <w:tcW w:w="258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7"/>
              </w:rPr>
              <w:t>SMBC Nikko</w:t>
            </w:r>
          </w:p>
        </w:tc>
        <w:tc>
          <w:tcPr>
            <w:tcW w:w="26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TD Securities</w:t>
            </w:r>
          </w:p>
        </w:tc>
        <w:tc>
          <w:tcPr>
            <w:tcW w:w="2680" w:type="dxa"/>
            <w:vAlign w:val="bottom"/>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Truist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377825</wp:posOffset>
            </wp:positionV>
            <wp:extent cx="1474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February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24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Paid in</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2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2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2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124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 (1)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3"/>
                <w:szCs w:val="13"/>
                <w:color w:val="auto"/>
                <w:w w:val="98"/>
              </w:rPr>
              <w:t>Number</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9"/>
        </w:trPr>
        <w:tc>
          <w:tcPr>
            <w:tcW w:w="124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of</w:t>
            </w: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beneficial interest,</w:t>
            </w: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40" w:type="dxa"/>
            <w:vAlign w:val="bottom"/>
            <w:tcBorders>
              <w:left w:val="single" w:sz="8" w:color="auto"/>
              <w:right w:val="single" w:sz="8" w:color="auto"/>
            </w:tcBorders>
            <w:vMerge w:val="continue"/>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par value $.01 per</w:t>
            </w: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2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$114,825</w:t>
            </w:r>
          </w:p>
        </w:tc>
        <w:tc>
          <w:tcPr>
            <w:tcW w:w="5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Fees</w:t>
            </w:r>
          </w:p>
        </w:tc>
        <w:tc>
          <w:tcPr>
            <w:tcW w:w="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Previously</w:t>
            </w:r>
          </w:p>
        </w:tc>
        <w:tc>
          <w:tcPr>
            <w:tcW w:w="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2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4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center"/>
              <w:ind w:left="218"/>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2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$114,825</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$21,314</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$93,511</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80" w:name="page81"/>
    <w:bookmarkEnd w:id="80"/>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1240" w:type="dxa"/>
            <w:vAlign w:val="bottom"/>
            <w:tcBorders>
              <w:top w:val="single" w:sz="8" w:color="auto"/>
              <w:left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Unsold</w:t>
            </w:r>
          </w:p>
        </w:tc>
        <w:tc>
          <w:tcPr>
            <w:tcW w:w="760" w:type="dxa"/>
            <w:vAlign w:val="bottom"/>
            <w:tcBorders>
              <w:top w:val="single" w:sz="8" w:color="auto"/>
              <w:right w:val="single" w:sz="8" w:color="auto"/>
            </w:tcBorders>
          </w:tcPr>
          <w:p>
            <w:pPr>
              <w:spacing w:after="0"/>
              <w:rPr>
                <w:sz w:val="12"/>
                <w:szCs w:val="12"/>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760" w:type="dxa"/>
            <w:vAlign w:val="bottom"/>
            <w:tcBorders>
              <w:right w:val="single" w:sz="8" w:color="auto"/>
            </w:tcBorders>
          </w:tcPr>
          <w:p>
            <w:pPr>
              <w:spacing w:after="0"/>
              <w:rPr>
                <w:sz w:val="11"/>
                <w:szCs w:val="1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760" w:type="dxa"/>
            <w:vAlign w:val="bottom"/>
            <w:tcBorders>
              <w:right w:val="single" w:sz="8" w:color="auto"/>
            </w:tcBorders>
          </w:tcPr>
          <w:p>
            <w:pPr>
              <w:spacing w:after="0"/>
              <w:rPr>
                <w:sz w:val="11"/>
                <w:szCs w:val="1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Type</w:t>
            </w:r>
          </w:p>
        </w:tc>
        <w:tc>
          <w:tcPr>
            <w:tcW w:w="880" w:type="dxa"/>
            <w:vAlign w:val="bottom"/>
            <w:tcBorders>
              <w:right w:val="single" w:sz="8" w:color="auto"/>
            </w:tcBorders>
          </w:tcPr>
          <w:p>
            <w:pPr>
              <w:jc w:val="center"/>
              <w:ind w:left="2"/>
              <w:spacing w:after="0" w:line="135" w:lineRule="exact"/>
              <w:rPr>
                <w:sz w:val="20"/>
                <w:szCs w:val="20"/>
                <w:color w:val="auto"/>
              </w:rPr>
            </w:pPr>
            <w:r>
              <w:rPr>
                <w:rFonts w:ascii="Times New Roman" w:cs="Times New Roman" w:eastAsia="Times New Roman" w:hAnsi="Times New Roman"/>
                <w:sz w:val="13"/>
                <w:szCs w:val="13"/>
                <w:color w:val="auto"/>
                <w:w w:val="97"/>
              </w:rPr>
              <w:t>Title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associated</w:t>
            </w:r>
          </w:p>
        </w:tc>
        <w:tc>
          <w:tcPr>
            <w:tcW w:w="880" w:type="dxa"/>
            <w:vAlign w:val="bottom"/>
            <w:tcBorders>
              <w:right w:val="single" w:sz="8" w:color="auto"/>
            </w:tcBorders>
          </w:tcPr>
          <w:p>
            <w:pPr>
              <w:jc w:val="center"/>
              <w:ind w:left="2"/>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Paid</w:t>
            </w: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with Fee</w:t>
            </w:r>
          </w:p>
        </w:tc>
        <w:tc>
          <w:tcPr>
            <w:tcW w:w="880" w:type="dxa"/>
            <w:vAlign w:val="bottom"/>
            <w:tcBorders>
              <w:right w:val="single" w:sz="8" w:color="auto"/>
            </w:tcBorders>
          </w:tcPr>
          <w:p>
            <w:pPr>
              <w:jc w:val="center"/>
              <w:ind w:left="2"/>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with Fee</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with 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or Filer</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880" w:type="dxa"/>
            <w:vAlign w:val="bottom"/>
            <w:tcBorders>
              <w:right w:val="single" w:sz="8" w:color="auto"/>
            </w:tcBorders>
          </w:tcPr>
          <w:p>
            <w:pPr>
              <w:jc w:val="center"/>
              <w:ind w:left="21"/>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1000" w:type="dxa"/>
            <w:vAlign w:val="bottom"/>
            <w:tcBorders>
              <w:right w:val="single" w:sz="8" w:color="auto"/>
            </w:tcBorders>
          </w:tcPr>
          <w:p>
            <w:pPr>
              <w:jc w:val="center"/>
              <w:ind w:left="10"/>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Fee Offset</w:t>
            </w:r>
          </w:p>
        </w:tc>
      </w:tr>
      <w:tr>
        <w:trPr>
          <w:trHeight w:val="174"/>
        </w:trPr>
        <w:tc>
          <w:tcPr>
            <w:tcW w:w="1240" w:type="dxa"/>
            <w:vAlign w:val="bottom"/>
            <w:tcBorders>
              <w:left w:val="single" w:sz="8" w:color="auto"/>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color w:val="auto"/>
                <w:w w:val="97"/>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Source</w:t>
            </w:r>
          </w:p>
        </w:tc>
      </w:tr>
      <w:tr>
        <w:trPr>
          <w:trHeight w:val="239"/>
        </w:trPr>
        <w:tc>
          <w:tcPr>
            <w:tcW w:w="124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Rule 457(p)</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09"/>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 Offset</w:t>
            </w: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Claims</w:t>
            </w: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shares of</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beneficial</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Federal</w:t>
            </w: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Realty</w:t>
            </w: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Investment</w:t>
            </w: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8,</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 per</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1"/>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Trust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424(b)(5)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333-277767</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$21,314(2)</w:t>
            </w:r>
          </w:p>
        </w:tc>
        <w:tc>
          <w:tcPr>
            <w:tcW w:w="64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Equity</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$144,407,217</w:t>
            </w:r>
          </w:p>
        </w:tc>
        <w:tc>
          <w:tcPr>
            <w:tcW w:w="760" w:type="dxa"/>
            <w:vAlign w:val="bottom"/>
            <w:tcBorders>
              <w:bottom w:val="single" w:sz="8" w:color="auto"/>
              <w:right w:val="single" w:sz="8" w:color="auto"/>
            </w:tcBorders>
          </w:tcPr>
          <w:p>
            <w:pPr>
              <w:spacing w:after="0"/>
              <w:rPr>
                <w:sz w:val="20"/>
                <w:szCs w:val="20"/>
                <w:color w:val="auto"/>
              </w:rPr>
            </w:pPr>
          </w:p>
        </w:tc>
      </w:tr>
      <w:tr>
        <w:trPr>
          <w:trHeight w:val="211"/>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 Offset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Federal</w:t>
            </w: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Sources</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Realty</w:t>
            </w: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Investment</w:t>
            </w: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8"/>
              </w:rPr>
              <w:t>March 8,</w:t>
            </w: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41"/>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Trust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424(b)(5)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333-277767</w:t>
            </w: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$73,800</w:t>
            </w:r>
          </w:p>
        </w:tc>
      </w:tr>
    </w:tbl>
    <w:p>
      <w:pPr>
        <w:spacing w:after="0" w:line="225" w:lineRule="exact"/>
        <w:rPr>
          <w:sz w:val="20"/>
          <w:szCs w:val="20"/>
          <w:color w:val="auto"/>
        </w:rPr>
      </w:pPr>
    </w:p>
    <w:p>
      <w:pPr>
        <w:ind w:left="424" w:right="400" w:hanging="424"/>
        <w:spacing w:after="0" w:line="261"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457(o) of the Securities Act of 1933, as amended (the “Securities Act”), based on the proposed maximum aggregate offering price, and Rules 456(b) and 457(r) of the Securities Act.</w:t>
      </w:r>
    </w:p>
    <w:p>
      <w:pPr>
        <w:ind w:left="424" w:right="40" w:hanging="424"/>
        <w:spacing w:after="0" w:line="250"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in aggregate offering amount of the Registrant’s common shares of beneficial interest, par value $.01 per share (“Common Shares”), was previously registered under the prospectus supplement filed by the Registrant on March 8, 2024 and the registration statement on</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S-3ASR (File Nos. 333-277767 and 333-277767-01) filed by the Registrant and Federal Realty OP LP on March 8, 2024, of which</w:t>
      </w:r>
    </w:p>
    <w:p>
      <w:pPr>
        <w:spacing w:after="0" w:line="9" w:lineRule="exact"/>
        <w:rPr>
          <w:rFonts w:ascii="Times New Roman" w:cs="Times New Roman" w:eastAsia="Times New Roman" w:hAnsi="Times New Roman"/>
          <w:sz w:val="18"/>
          <w:szCs w:val="18"/>
          <w:color w:val="auto"/>
        </w:rPr>
      </w:pPr>
    </w:p>
    <w:p>
      <w:pPr>
        <w:ind w:left="42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$144,407,217 in aggregate offering amount has not been sold. Pursuant to Rule 457(p) under the Securities Act, the registration fee due hereunder is offset by the amount of filing fees of $21,314 attributable to such unsold shares. The Registrant has terminated the offering that included the unsold securities associated with the claimed offset under the prior prospectus supplement.</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lowerLetter"/>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30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upperLetter"/>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lvl w:ilvl="1">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lvl w:ilvl="1">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lvl w:ilvl="1">
      <w:lvlJc w:val="left"/>
      <w:lvlText w:val="•"/>
      <w:numFmt w:val="bullet"/>
      <w:start w:val="1"/>
    </w:lvl>
  </w:abstractNum>
  <w:abstractNum w:abstractNumId="48">
    <w:nsid w:val="15014ACB"/>
    <w:multiLevelType w:val="hybridMultilevel"/>
    <w:lvl w:ilvl="0">
      <w:lvlJc w:val="left"/>
      <w:lvlText w:val="•"/>
      <w:numFmt w:val="bullet"/>
      <w:start w:val="1"/>
    </w:lvl>
    <w:lvl w:ilvl="1">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3"/>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decimal"/>
      <w:start w:val="5"/>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lvl w:ilvl="1">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lvl w:ilvl="1">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lvl w:ilvl="1">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lvl w:ilvl="1">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jpe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98" Type="http://schemas.openxmlformats.org/officeDocument/2006/relationships/hyperlink" Target="http://www.sec.gov/ix?doc=/Archives/edgar/data/34903/000003490324000032/frt-20231231.htm" TargetMode="External"/><Relationship Id="rId99" Type="http://schemas.openxmlformats.org/officeDocument/2006/relationships/hyperlink" Target="http://www.sec.gov/ix?doc=/Archives/edgar/data/34903/000119312524006607/d712379d8k.htm" TargetMode="External"/><Relationship Id="rId100" Type="http://schemas.openxmlformats.org/officeDocument/2006/relationships/hyperlink" Target="http://www.sec.gov/ix?doc=/Archives/edgar/data/34903/000119312523078574/d396603ddef14a.htm" TargetMode="External"/><Relationship Id="rId101" Type="http://schemas.openxmlformats.org/officeDocument/2006/relationships/hyperlink" Target="http://www.sec.gov/Archives/edgar/data/34903/000003490324000032/frt-12312023x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2025-02-14T05:20:53Z</dcterms:created>
  <dcterms:modified xsi:type="dcterms:W3CDTF">2025-02-14T05:20:53Z</dcterms:modified>
</cp:coreProperties>
</file>